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5E3011">
      <w:pPr>
        <w:pStyle w:val="145"/>
        <w:rPr>
          <w:rFonts w:hint="eastAsia"/>
          <w:lang w:eastAsia="zh-CN"/>
        </w:rPr>
      </w:pPr>
      <w:bookmarkStart w:id="0" w:name="_Toc418070112"/>
      <w:bookmarkStart w:id="1" w:name="_Toc438987549"/>
      <w:bookmarkStart w:id="2" w:name="_Toc481801204"/>
      <w:bookmarkStart w:id="3" w:name="OLE_LINK15"/>
      <w:bookmarkStart w:id="4" w:name="_Toc453597319"/>
      <w:bookmarkStart w:id="5" w:name="OLE_LINK13"/>
      <w:bookmarkStart w:id="6" w:name="_Toc415818939"/>
      <w:bookmarkStart w:id="7" w:name="_Toc415143481"/>
      <w:bookmarkStart w:id="8" w:name="_Toc415142861"/>
      <w:bookmarkStart w:id="9" w:name="_Toc517262917"/>
      <w:bookmarkStart w:id="10" w:name="OLE_LINK40"/>
      <w:bookmarkStart w:id="11" w:name="OLE_LINK24"/>
      <w:bookmarkStart w:id="12" w:name="OLE_LINK39"/>
      <w:r>
        <w:rPr>
          <w:rFonts w:hint="eastAsia"/>
          <w:lang w:eastAsia="zh-CN"/>
        </w:rPr>
        <w:t>据QYResearch调研团队最新报告“全球老化板市场报告2024-2030”显示，预计2030年全球老化板市场规模将达到2.9亿美元，未来几年年复合增长率CAGR为4.7%。</w:t>
      </w:r>
    </w:p>
    <w:p w14:paraId="5EF7ABBB">
      <w:pPr>
        <w:pStyle w:val="145"/>
        <w:rPr>
          <w:rFonts w:hint="eastAsia"/>
          <w:lang w:eastAsia="zh-CN"/>
        </w:rPr>
      </w:pPr>
      <w:r>
        <w:rPr>
          <w:rFonts w:hint="eastAsia"/>
          <w:lang w:eastAsia="zh-CN"/>
        </w:rPr>
        <w:t>老化板市场与半导体行业的整体健康状况和创新步伐密切相关。尽管该领域面临着成本、复杂性和产品生命周期缩短等挑战，但它在确保半导体可靠性方面发挥着关键作用，尤其是在汽车和航空航天等高风险应用中，这确保了其持续的相关性。向高性能和专用芯片的转变开辟了新的增长途径，尤其是在安全性和可靠性至关重要的领域。专注于模块化、热管理和智能测试功能的公司将最有可能抓住未来机遇。</w:t>
      </w:r>
    </w:p>
    <w:p w14:paraId="3F6C2722">
      <w:pPr>
        <w:pStyle w:val="148"/>
        <w:rPr>
          <w:lang w:eastAsia="zh-CN"/>
        </w:rPr>
      </w:pPr>
      <w:r>
        <w:rPr>
          <w:lang w:eastAsia="zh-CN"/>
        </w:rPr>
        <w:t>老化板</w:t>
      </w:r>
      <w:r>
        <w:rPr>
          <w:rFonts w:hint="eastAsia"/>
          <w:lang w:eastAsia="zh-CN"/>
        </w:rPr>
        <w:t>，全球市场总体规模</w:t>
      </w:r>
    </w:p>
    <w:p w14:paraId="33261207">
      <w:pPr>
        <w:pStyle w:val="145"/>
        <w:rPr>
          <w:lang w:eastAsia="zh-CN"/>
        </w:rPr>
      </w:pPr>
      <w:r>
        <w:rPr>
          <w:lang w:val="en-US" w:eastAsia="zh-CN"/>
        </w:rPr>
        <w:drawing>
          <wp:inline distT="0" distB="0" distL="0" distR="0">
            <wp:extent cx="6127115" cy="3602990"/>
            <wp:effectExtent l="0" t="0" r="698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6127115" cy="3602990"/>
                    </a:xfrm>
                    <a:prstGeom prst="rect">
                      <a:avLst/>
                    </a:prstGeom>
                    <a:noFill/>
                  </pic:spPr>
                </pic:pic>
              </a:graphicData>
            </a:graphic>
          </wp:inline>
        </w:drawing>
      </w:r>
    </w:p>
    <w:p w14:paraId="548964BA">
      <w:pPr>
        <w:pStyle w:val="143"/>
        <w:rPr>
          <w:lang w:eastAsia="zh-CN"/>
        </w:rPr>
      </w:pPr>
      <w:r>
        <w:rPr>
          <w:rFonts w:hint="eastAsia"/>
          <w:lang w:eastAsia="zh-CN"/>
        </w:rPr>
        <w:t>来源：QYResearch 研究中心</w:t>
      </w:r>
    </w:p>
    <w:p w14:paraId="12FD9BEF">
      <w:pPr>
        <w:pStyle w:val="145"/>
        <w:rPr>
          <w:lang w:eastAsia="zh-CN"/>
        </w:rPr>
      </w:pPr>
    </w:p>
    <w:p w14:paraId="720E31E2">
      <w:pPr>
        <w:pStyle w:val="148"/>
        <w:rPr>
          <w:lang w:eastAsia="zh-CN"/>
        </w:rPr>
      </w:pPr>
      <w:r>
        <w:rPr>
          <w:rFonts w:hint="eastAsia"/>
          <w:lang w:eastAsia="zh-CN"/>
        </w:rPr>
        <w:t>全球</w:t>
      </w:r>
      <w:r>
        <w:rPr>
          <w:lang w:eastAsia="zh-CN"/>
        </w:rPr>
        <w:t>老化板</w:t>
      </w:r>
      <w:r>
        <w:rPr>
          <w:rFonts w:hint="eastAsia"/>
          <w:lang w:eastAsia="zh-CN"/>
        </w:rPr>
        <w:t>市场生产商排名及市场占有率（基于2024年调研数据；目前最新数据以本公司最新调研数据为准）</w:t>
      </w:r>
    </w:p>
    <w:p w14:paraId="773AFA33">
      <w:pPr>
        <w:widowControl/>
        <w:topLinePunct w:val="0"/>
        <w:spacing w:after="0"/>
        <w:rPr>
          <w:rFonts w:ascii="宋体" w:hAnsi="宋体" w:cs="宋体"/>
          <w:kern w:val="0"/>
          <w:sz w:val="24"/>
          <w:szCs w:val="24"/>
        </w:rPr>
      </w:pPr>
      <w:r>
        <w:rPr>
          <w:rFonts w:ascii="宋体" w:hAnsi="宋体" w:cs="宋体"/>
          <w:kern w:val="0"/>
          <w:sz w:val="24"/>
          <w:szCs w:val="24"/>
        </w:rPr>
        <w:drawing>
          <wp:inline distT="0" distB="0" distL="0" distR="0">
            <wp:extent cx="6120765" cy="5401310"/>
            <wp:effectExtent l="0" t="0" r="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120765" cy="5401310"/>
                    </a:xfrm>
                    <a:prstGeom prst="rect">
                      <a:avLst/>
                    </a:prstGeom>
                    <a:noFill/>
                  </pic:spPr>
                </pic:pic>
              </a:graphicData>
            </a:graphic>
          </wp:inline>
        </w:drawing>
      </w:r>
    </w:p>
    <w:p w14:paraId="04A43543">
      <w:pPr>
        <w:pStyle w:val="143"/>
        <w:rPr>
          <w:lang w:eastAsia="zh-CN"/>
        </w:rPr>
      </w:pPr>
      <w:r>
        <w:rPr>
          <w:rFonts w:hint="eastAsia"/>
          <w:lang w:eastAsia="zh-CN"/>
        </w:rPr>
        <w:t xml:space="preserve">来源：QYResearch </w:t>
      </w:r>
      <w:r>
        <w:rPr>
          <w:rFonts w:hint="eastAsia"/>
          <w:sz w:val="22"/>
          <w:szCs w:val="36"/>
          <w:lang w:eastAsia="zh-CN"/>
        </w:rPr>
        <w:t xml:space="preserve"> </w:t>
      </w:r>
      <w:r>
        <w:rPr>
          <w:rFonts w:hint="eastAsia"/>
          <w:lang w:eastAsia="zh-CN"/>
        </w:rPr>
        <w:t>研究中心。行业处于不断变动之中，最新数据请联系QYResearch咨询。</w:t>
      </w:r>
    </w:p>
    <w:p w14:paraId="3B2E5865">
      <w:pPr>
        <w:pStyle w:val="145"/>
        <w:rPr>
          <w:rFonts w:hint="eastAsia"/>
          <w:lang w:eastAsia="zh-CN"/>
        </w:rPr>
      </w:pPr>
      <w:r>
        <w:rPr>
          <w:rFonts w:hint="eastAsia"/>
          <w:lang w:eastAsia="zh-CN"/>
        </w:rPr>
        <w:t>根据QYResearch头部企业研究中心调研，全球范围内老化板生产商主要包括雍智科技、ESA Electronics、Shikino、兴森科技、Ace Tech Circuit、MCT、Sunright、Micro Control、天光半导体、EDA Industries等。2024年，全球前五大厂商占有大约38.0%的市场份额。</w:t>
      </w:r>
    </w:p>
    <w:p w14:paraId="29488DD4">
      <w:pPr>
        <w:pStyle w:val="145"/>
        <w:rPr>
          <w:lang w:eastAsia="zh-CN"/>
        </w:rPr>
      </w:pPr>
    </w:p>
    <w:p w14:paraId="3E6DE9A8">
      <w:pPr>
        <w:pStyle w:val="148"/>
        <w:rPr>
          <w:lang w:eastAsia="zh-CN"/>
        </w:rPr>
      </w:pPr>
      <w:r>
        <w:rPr>
          <w:lang w:eastAsia="zh-CN"/>
        </w:rPr>
        <w:t>老化板</w:t>
      </w:r>
      <w:r>
        <w:rPr>
          <w:rFonts w:hint="eastAsia"/>
          <w:lang w:eastAsia="zh-CN"/>
        </w:rPr>
        <w:t>，全球市场规模，按产品类型细分</w:t>
      </w:r>
    </w:p>
    <w:p w14:paraId="1DAC1641">
      <w:pPr>
        <w:pStyle w:val="145"/>
        <w:rPr>
          <w:lang w:eastAsia="zh-CN"/>
        </w:rPr>
      </w:pPr>
      <w:r>
        <w:rPr>
          <w:lang w:val="en-US" w:eastAsia="zh-CN"/>
        </w:rPr>
        <w:drawing>
          <wp:inline distT="0" distB="0" distL="0" distR="0">
            <wp:extent cx="3985895" cy="2346325"/>
            <wp:effectExtent l="0" t="0" r="14605" b="158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985895" cy="2346325"/>
                    </a:xfrm>
                    <a:prstGeom prst="rect">
                      <a:avLst/>
                    </a:prstGeom>
                    <a:noFill/>
                  </pic:spPr>
                </pic:pic>
              </a:graphicData>
            </a:graphic>
          </wp:inline>
        </w:drawing>
      </w:r>
    </w:p>
    <w:p w14:paraId="39AE0722">
      <w:pPr>
        <w:pStyle w:val="143"/>
        <w:rPr>
          <w:lang w:eastAsia="zh-CN"/>
        </w:rPr>
      </w:pPr>
      <w:r>
        <w:rPr>
          <w:rFonts w:hint="eastAsia"/>
          <w:lang w:eastAsia="zh-CN"/>
        </w:rPr>
        <w:t>来源：QYResearch 研究中心</w:t>
      </w:r>
    </w:p>
    <w:p w14:paraId="7A8E9D46">
      <w:pPr>
        <w:pStyle w:val="145"/>
        <w:rPr>
          <w:lang w:eastAsia="zh-CN"/>
        </w:rPr>
      </w:pPr>
      <w:r>
        <w:rPr>
          <w:rFonts w:hint="eastAsia"/>
          <w:lang w:eastAsia="zh-CN"/>
        </w:rPr>
        <w:t>就产品类型而言，目前通用老化板是最主要的细分产品，占据大约74.7%的份额。</w:t>
      </w:r>
    </w:p>
    <w:p w14:paraId="41C3AE68">
      <w:pPr>
        <w:pStyle w:val="145"/>
        <w:rPr>
          <w:lang w:eastAsia="zh-CN"/>
        </w:rPr>
      </w:pPr>
    </w:p>
    <w:p w14:paraId="0B069045">
      <w:pPr>
        <w:pStyle w:val="148"/>
        <w:rPr>
          <w:lang w:eastAsia="zh-CN"/>
        </w:rPr>
      </w:pPr>
      <w:r>
        <w:rPr>
          <w:lang w:eastAsia="zh-CN"/>
        </w:rPr>
        <w:t>老化板</w:t>
      </w:r>
      <w:r>
        <w:rPr>
          <w:rFonts w:hint="eastAsia"/>
          <w:lang w:eastAsia="zh-CN"/>
        </w:rPr>
        <w:t>，全球市场规模，按应用细分</w:t>
      </w:r>
    </w:p>
    <w:p w14:paraId="0A4DB270">
      <w:pPr>
        <w:widowControl/>
        <w:topLinePunct w:val="0"/>
        <w:spacing w:after="0"/>
        <w:jc w:val="left"/>
        <w:rPr>
          <w:rFonts w:ascii="宋体" w:hAnsi="宋体" w:cs="宋体"/>
          <w:kern w:val="0"/>
          <w:sz w:val="24"/>
          <w:szCs w:val="24"/>
        </w:rPr>
      </w:pPr>
      <w:r>
        <w:rPr>
          <w:rFonts w:ascii="宋体" w:hAnsi="宋体" w:cs="宋体"/>
          <w:kern w:val="0"/>
          <w:sz w:val="24"/>
          <w:szCs w:val="24"/>
        </w:rPr>
        <w:drawing>
          <wp:inline distT="0" distB="0" distL="0" distR="0">
            <wp:extent cx="4107180" cy="2413635"/>
            <wp:effectExtent l="0" t="0" r="762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107180" cy="2413635"/>
                    </a:xfrm>
                    <a:prstGeom prst="rect">
                      <a:avLst/>
                    </a:prstGeom>
                    <a:noFill/>
                  </pic:spPr>
                </pic:pic>
              </a:graphicData>
            </a:graphic>
          </wp:inline>
        </w:drawing>
      </w:r>
    </w:p>
    <w:p w14:paraId="1753BDFC">
      <w:pPr>
        <w:pStyle w:val="143"/>
        <w:rPr>
          <w:lang w:eastAsia="zh-CN"/>
        </w:rPr>
      </w:pPr>
      <w:r>
        <w:rPr>
          <w:rFonts w:hint="eastAsia"/>
          <w:lang w:eastAsia="zh-CN"/>
        </w:rPr>
        <w:t>来源：QYResearch 研究中心</w:t>
      </w:r>
    </w:p>
    <w:p w14:paraId="08CA65EC">
      <w:pPr>
        <w:pStyle w:val="143"/>
      </w:pPr>
    </w:p>
    <w:p w14:paraId="47509C72">
      <w:pPr>
        <w:pStyle w:val="145"/>
        <w:rPr>
          <w:lang w:eastAsia="zh-CN"/>
        </w:rPr>
      </w:pPr>
      <w:r>
        <w:rPr>
          <w:rFonts w:hint="eastAsia"/>
          <w:lang w:eastAsia="zh-CN"/>
        </w:rPr>
        <w:t>就产品应用而言，目前消费电子是最主要的需求来源，占据大约50.0%的份额。</w:t>
      </w:r>
    </w:p>
    <w:p w14:paraId="265C5B20">
      <w:pPr>
        <w:pStyle w:val="143"/>
        <w:rPr>
          <w:lang w:eastAsia="zh-CN"/>
        </w:rPr>
      </w:pPr>
    </w:p>
    <w:p w14:paraId="4020B357">
      <w:pPr>
        <w:pStyle w:val="145"/>
      </w:pPr>
    </w:p>
    <w:p w14:paraId="04711324">
      <w:pPr>
        <w:pStyle w:val="145"/>
        <w:rPr>
          <w:lang w:eastAsia="zh-CN"/>
        </w:rPr>
      </w:pPr>
    </w:p>
    <w:bookmarkEnd w:id="0"/>
    <w:bookmarkEnd w:id="1"/>
    <w:bookmarkEnd w:id="2"/>
    <w:bookmarkEnd w:id="3"/>
    <w:bookmarkEnd w:id="4"/>
    <w:bookmarkEnd w:id="5"/>
    <w:bookmarkEnd w:id="6"/>
    <w:bookmarkEnd w:id="7"/>
    <w:bookmarkEnd w:id="8"/>
    <w:bookmarkEnd w:id="9"/>
    <w:bookmarkEnd w:id="10"/>
    <w:bookmarkEnd w:id="11"/>
    <w:bookmarkEnd w:id="12"/>
    <w:p w14:paraId="6757ABAD">
      <w:pPr>
        <w:pStyle w:val="145"/>
        <w:rPr>
          <w:rFonts w:hint="eastAsia"/>
          <w:lang w:eastAsia="zh-CN"/>
        </w:rPr>
      </w:pPr>
      <w:r>
        <w:rPr>
          <w:rFonts w:hint="eastAsia"/>
          <w:lang w:eastAsia="zh-CN"/>
        </w:rPr>
        <w:t>市场驱动力</w:t>
      </w:r>
    </w:p>
    <w:p w14:paraId="63008ACC">
      <w:pPr>
        <w:pStyle w:val="145"/>
        <w:rPr>
          <w:rFonts w:hint="eastAsia"/>
          <w:lang w:eastAsia="zh-CN"/>
        </w:rPr>
      </w:pPr>
      <w:r>
        <w:rPr>
          <w:rFonts w:hint="eastAsia"/>
          <w:lang w:eastAsia="zh-CN"/>
        </w:rPr>
        <w:t>对高可靠性半导体的需求不断增长：随着汽车电子、航空航天、电信和医疗设备等行业的增长，对需要老化测试的高可靠性半导体的需求也在增长。半导体行业的增长：全球集成电路 (IC)、存储设备和微处理器产量的不断扩大，推动了对老化板作为重要测试组件的需求。汽车电子应用日益广泛：先进驾驶辅助系统 (ADAS)、电动汽车 (EV) 和车载信息娱乐系统的普及，对可靠且经过全面测试的元器件的需求日益增长。</w:t>
      </w:r>
    </w:p>
    <w:p w14:paraId="7D49DFE3">
      <w:pPr>
        <w:pStyle w:val="145"/>
        <w:rPr>
          <w:rFonts w:hint="eastAsia"/>
          <w:lang w:eastAsia="zh-CN"/>
        </w:rPr>
      </w:pPr>
      <w:r>
        <w:rPr>
          <w:rFonts w:hint="eastAsia"/>
          <w:lang w:eastAsia="zh-CN"/>
        </w:rPr>
        <w:t>市场制约因素</w:t>
      </w:r>
    </w:p>
    <w:p w14:paraId="772DF277">
      <w:pPr>
        <w:pStyle w:val="145"/>
        <w:rPr>
          <w:rFonts w:hint="eastAsia"/>
          <w:lang w:eastAsia="zh-CN"/>
        </w:rPr>
      </w:pPr>
      <w:r>
        <w:rPr>
          <w:rFonts w:hint="eastAsia"/>
          <w:lang w:eastAsia="zh-CN"/>
        </w:rPr>
        <w:t>定制老化板成本高昂且复杂：老化板通常针对特定设备定制设计，这增加了其生产成本和周转时间，尤其是在小批量或原型测试中。热管理和耐久性挑战：随着设备功能越来越强大，老化测试期间的热量管理也变得更加复杂，这增加了对老化板的工程要求。IC 设计快速淘汰：IC 设计的频繁更新和快速迭代周期缩短了老化板的生命周期，增加了成本和库存管理问题。</w:t>
      </w:r>
    </w:p>
    <w:p w14:paraId="0719942E">
      <w:pPr>
        <w:pStyle w:val="145"/>
        <w:rPr>
          <w:rFonts w:hint="eastAsia"/>
          <w:lang w:eastAsia="zh-CN"/>
        </w:rPr>
      </w:pPr>
      <w:r>
        <w:rPr>
          <w:rFonts w:hint="eastAsia"/>
          <w:lang w:eastAsia="zh-CN"/>
        </w:rPr>
        <w:t>市场机遇</w:t>
      </w:r>
    </w:p>
    <w:p w14:paraId="28C06C53">
      <w:pPr>
        <w:pStyle w:val="145"/>
        <w:rPr>
          <w:rFonts w:hint="eastAsia"/>
          <w:lang w:eastAsia="zh-CN"/>
        </w:rPr>
      </w:pPr>
      <w:r>
        <w:rPr>
          <w:rFonts w:hint="eastAsia"/>
          <w:lang w:eastAsia="zh-CN"/>
        </w:rPr>
        <w:t>新兴技术的需求：人工智能芯片、5G 组件、物联网设备和先进消费电子产品的增长带来了新的测试挑战，推动了对专用老化板的需求。拓展外包半导体测试 (OSAT) 市场：将半导体测试外包给第三方供应商的趋势日益增长，推动了对灵活、高性能老化板的需求。注重恶劣环境下的可靠性：航空航天、国防和工业自动化领域需要在极端条件下保持更长时间可靠性的应用，将继续需要严格的老化测试解决方案。</w:t>
      </w:r>
    </w:p>
    <w:p w14:paraId="78E188CD">
      <w:pPr>
        <w:pStyle w:val="145"/>
        <w:rPr>
          <w:lang w:eastAsia="zh-CN"/>
        </w:rPr>
      </w:pPr>
    </w:p>
    <w:p w14:paraId="768A9694">
      <w:pPr>
        <w:pStyle w:val="145"/>
        <w:rPr>
          <w:lang w:eastAsia="zh-CN"/>
        </w:rPr>
      </w:pPr>
      <w:bookmarkStart w:id="13" w:name="_GoBack"/>
      <w:bookmarkEnd w:id="13"/>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18"/>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528"/>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DDE"/>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46"/>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87D"/>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8F5"/>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65"/>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1E90"/>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45741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CellMar>
        <w:top w:w="0" w:type="dxa"/>
        <w:left w:w="108" w:type="dxa"/>
        <w:bottom w:w="0" w:type="dxa"/>
        <w:right w:w="108" w:type="dxa"/>
      </w:tblCellMar>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Char1"/>
    <w:basedOn w:val="67"/>
    <w:link w:val="22"/>
    <w:qFormat/>
    <w:uiPriority w:val="99"/>
    <w:rPr>
      <w:sz w:val="18"/>
      <w:szCs w:val="18"/>
    </w:rPr>
  </w:style>
  <w:style w:type="character" w:customStyle="1" w:styleId="74">
    <w:name w:val="页脚 Char1"/>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Char"/>
    <w:link w:val="2"/>
    <w:uiPriority w:val="9"/>
    <w:rPr>
      <w:rFonts w:ascii="Frutiger" w:hAnsi="Frutiger" w:eastAsia="宋体" w:cs="Calibri"/>
      <w:b/>
      <w:color w:val="FF8200"/>
      <w:kern w:val="0"/>
      <w:sz w:val="44"/>
      <w:szCs w:val="32"/>
      <w:lang w:val="en-IN" w:eastAsia="en-US"/>
    </w:rPr>
  </w:style>
  <w:style w:type="character" w:customStyle="1" w:styleId="82">
    <w:name w:val="标题 2 Char"/>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Char"/>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Char"/>
    <w:link w:val="5"/>
    <w:uiPriority w:val="9"/>
    <w:rPr>
      <w:rFonts w:ascii="Frutiger" w:hAnsi="Frutiger" w:eastAsia="宋体"/>
      <w:b/>
      <w:bCs/>
      <w:sz w:val="26"/>
      <w:szCs w:val="26"/>
      <w:lang w:val="zh-CN" w:eastAsia="zh-CN"/>
    </w:rPr>
  </w:style>
  <w:style w:type="character" w:customStyle="1" w:styleId="85">
    <w:name w:val="标题 5 Char"/>
    <w:link w:val="6"/>
    <w:uiPriority w:val="9"/>
    <w:rPr>
      <w:rFonts w:ascii="Frutiger" w:hAnsi="Frutiger" w:eastAsia="宋体"/>
      <w:b/>
      <w:bCs/>
      <w:sz w:val="28"/>
      <w:szCs w:val="28"/>
    </w:rPr>
  </w:style>
  <w:style w:type="character" w:customStyle="1" w:styleId="86">
    <w:name w:val="标题 6 Char"/>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Char"/>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Char"/>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Char"/>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Char"/>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CellMar>
        <w:top w:w="0" w:type="dxa"/>
        <w:left w:w="108" w:type="dxa"/>
        <w:bottom w:w="0" w:type="dxa"/>
        <w:right w:w="108" w:type="dxa"/>
      </w:tblCellMar>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Char"/>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CellMar>
        <w:top w:w="0" w:type="dxa"/>
        <w:left w:w="108" w:type="dxa"/>
        <w:bottom w:w="0" w:type="dxa"/>
        <w:right w:w="108" w:type="dxa"/>
      </w:tblCellMar>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Char"/>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Char"/>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Char"/>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Char"/>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Char"/>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Char"/>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Char"/>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Char"/>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tblPr>
      <w:tblCellMar>
        <w:top w:w="0" w:type="dxa"/>
        <w:left w:w="108" w:type="dxa"/>
        <w:bottom w:w="0" w:type="dxa"/>
        <w:right w:w="108" w:type="dxa"/>
      </w:tblCellMar>
    </w:tbl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CellMar>
        <w:top w:w="0" w:type="dxa"/>
        <w:left w:w="108" w:type="dxa"/>
        <w:bottom w:w="0" w:type="dxa"/>
        <w:right w:w="108" w:type="dxa"/>
      </w:tblCellMar>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CellMar>
        <w:top w:w="0" w:type="dxa"/>
        <w:left w:w="108" w:type="dxa"/>
        <w:bottom w:w="0" w:type="dxa"/>
        <w:right w:w="108" w:type="dxa"/>
      </w:tblCellMar>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CellMar>
        <w:top w:w="0" w:type="dxa"/>
        <w:left w:w="108" w:type="dxa"/>
        <w:bottom w:w="0" w:type="dxa"/>
        <w:right w:w="108" w:type="dxa"/>
      </w:tblCellMar>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blPr>
      <w:tblCellMar>
        <w:top w:w="0" w:type="dxa"/>
        <w:left w:w="108" w:type="dxa"/>
        <w:bottom w:w="0" w:type="dxa"/>
        <w:right w:w="108" w:type="dxa"/>
      </w:tblCellMar>
    </w:tbl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blPr>
      <w:tblCellMar>
        <w:top w:w="0" w:type="dxa"/>
        <w:left w:w="108" w:type="dxa"/>
        <w:bottom w:w="0" w:type="dxa"/>
        <w:right w:w="108" w:type="dxa"/>
      </w:tblCellMar>
    </w:tbl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blPr>
      <w:tblCellMar>
        <w:top w:w="0" w:type="dxa"/>
        <w:left w:w="108" w:type="dxa"/>
        <w:bottom w:w="0" w:type="dxa"/>
        <w:right w:w="108" w:type="dxa"/>
      </w:tblCellMar>
    </w:tbl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CellMar>
        <w:top w:w="0" w:type="dxa"/>
        <w:left w:w="108" w:type="dxa"/>
        <w:bottom w:w="0" w:type="dxa"/>
        <w:right w:w="108" w:type="dxa"/>
      </w:tblCellMar>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CellMar>
        <w:top w:w="0" w:type="dxa"/>
        <w:left w:w="108" w:type="dxa"/>
        <w:bottom w:w="0" w:type="dxa"/>
        <w:right w:w="108" w:type="dxa"/>
      </w:tblCellMar>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CellMar>
        <w:top w:w="0" w:type="dxa"/>
        <w:left w:w="108" w:type="dxa"/>
        <w:bottom w:w="0" w:type="dxa"/>
        <w:right w:w="108" w:type="dxa"/>
      </w:tblCellMar>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CellMar>
        <w:top w:w="0" w:type="dxa"/>
        <w:left w:w="108" w:type="dxa"/>
        <w:bottom w:w="0" w:type="dxa"/>
        <w:right w:w="108" w:type="dxa"/>
      </w:tblCellMar>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CellMar>
        <w:top w:w="0" w:type="dxa"/>
        <w:left w:w="108" w:type="dxa"/>
        <w:bottom w:w="0" w:type="dxa"/>
        <w:right w:w="108" w:type="dxa"/>
      </w:tblCellMar>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CellMar>
        <w:top w:w="0" w:type="dxa"/>
        <w:left w:w="108" w:type="dxa"/>
        <w:bottom w:w="0" w:type="dxa"/>
        <w:right w:w="108" w:type="dxa"/>
      </w:tblCellMar>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CellMar>
        <w:top w:w="0" w:type="dxa"/>
        <w:left w:w="108" w:type="dxa"/>
        <w:bottom w:w="0" w:type="dxa"/>
        <w:right w:w="108" w:type="dxa"/>
      </w:tblCellMar>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CellMar>
        <w:top w:w="0" w:type="dxa"/>
        <w:left w:w="108" w:type="dxa"/>
        <w:bottom w:w="0" w:type="dxa"/>
        <w:right w:w="108" w:type="dxa"/>
      </w:tblCellMar>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Char"/>
    <w:basedOn w:val="67"/>
    <w:link w:val="8"/>
    <w:qFormat/>
    <w:uiPriority w:val="9"/>
    <w:rPr>
      <w:rFonts w:ascii="Book Antiqua" w:hAnsi="Book Antiqua" w:eastAsia="宋体"/>
      <w:b/>
      <w:bCs/>
      <w:color w:val="1A1A1A" w:themeColor="background1" w:themeShade="1A"/>
      <w:szCs w:val="24"/>
    </w:rPr>
  </w:style>
  <w:style w:type="character" w:customStyle="1" w:styleId="193">
    <w:name w:val="标题 8 Char"/>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top w:w="0" w:type="dxa"/>
        <w:left w:w="0" w:type="dxa"/>
        <w:bottom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CellMar>
        <w:top w:w="0" w:type="dxa"/>
        <w:left w:w="108" w:type="dxa"/>
        <w:bottom w:w="0" w:type="dxa"/>
        <w:right w:w="108" w:type="dxa"/>
      </w:tblCellMar>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tblPr>
      <w:tblCellMar>
        <w:top w:w="0" w:type="dxa"/>
        <w:left w:w="108" w:type="dxa"/>
        <w:bottom w:w="0" w:type="dxa"/>
        <w:right w:w="108" w:type="dxa"/>
      </w:tblCellMar>
    </w:tblPr>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Pr>
      <w:tblCellMar>
        <w:top w:w="0" w:type="dxa"/>
        <w:left w:w="108" w:type="dxa"/>
        <w:bottom w:w="0" w:type="dxa"/>
        <w:right w:w="108" w:type="dxa"/>
      </w:tblCellMar>
    </w:tblPr>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764092-D8DB-4667-AE3A-4A86BFEDAC2F}">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1665</Words>
  <Characters>1949</Characters>
  <Lines>14</Lines>
  <Paragraphs>4</Paragraphs>
  <TotalTime>0</TotalTime>
  <ScaleCrop>false</ScaleCrop>
  <LinksUpToDate>false</LinksUpToDate>
  <CharactersWithSpaces>1971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2025-08-27T07:18:33Z</dcterms:modified>
  <cp:revision>948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2052-12.1.0.22529</vt:lpwstr>
  </property>
  <property fmtid="{D5CDD505-2E9C-101B-9397-08002B2CF9AE}" pid="4" name="ICV">
    <vt:lpwstr>035F875155D74227AB6317F5E7C59BC0_12</vt:lpwstr>
  </property>
</Properties>
</file>