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67"/>
        <w:rPr>
          <w:lang w:eastAsia="zh-CN"/>
        </w:rPr>
      </w:pPr>
      <w:bookmarkStart w:id="0" w:name="_Toc517262917"/>
      <w:bookmarkStart w:id="1" w:name="_Toc453597319"/>
      <w:bookmarkStart w:id="2" w:name="_Toc481801204"/>
      <w:bookmarkStart w:id="3" w:name="_Toc438987549"/>
      <w:bookmarkStart w:id="4" w:name="OLE_LINK15"/>
      <w:bookmarkStart w:id="5" w:name="OLE_LINK13"/>
      <w:bookmarkStart w:id="6" w:name="_Toc418070112"/>
      <w:bookmarkStart w:id="7" w:name="_Toc415143481"/>
      <w:bookmarkStart w:id="8" w:name="_Toc415142861"/>
      <w:bookmarkStart w:id="9" w:name="OLE_LINK39"/>
      <w:bookmarkStart w:id="10" w:name="OLE_LINK24"/>
      <w:bookmarkStart w:id="11" w:name="_Toc415818939"/>
      <w:bookmarkStart w:id="12" w:name="OLE_LINK40"/>
      <w:r>
        <w:rPr>
          <w:lang w:eastAsia="zh-CN"/>
        </w:rPr>
        <w:t>矿用卡车轮胎</w:t>
      </w:r>
      <w:r>
        <w:rPr>
          <w:rFonts w:hint="eastAsia"/>
          <w:lang w:eastAsia="zh-CN"/>
        </w:rPr>
        <w:t>全球市场总体规模</w:t>
      </w:r>
    </w:p>
    <w:p>
      <w:pPr>
        <w:pStyle w:val="145"/>
        <w:rPr>
          <w:lang w:eastAsia="zh-CN"/>
        </w:rPr>
      </w:pPr>
      <w:r>
        <w:rPr>
          <w:rFonts w:hint="eastAsia"/>
          <w:lang w:eastAsia="zh-CN"/>
        </w:rPr>
        <w:t>矿用卡车轮胎是专门设计和制造用于矿山运输工作的大型卡车的轮胎。这些轮胎需要具备特定的特性，以满足矿山环境的苛刻要求。矿用卡车轮胎的设计旨在确保在极端环境中提供卓越的性能和耐久性。这些轮胎在提高卡车的运行效率、降低维护成本和提高安全性方面发挥着关键作用。</w:t>
      </w:r>
    </w:p>
    <w:p>
      <w:pPr>
        <w:pStyle w:val="145"/>
        <w:rPr>
          <w:rFonts w:hint="eastAsia"/>
          <w:lang w:eastAsia="zh-CN"/>
        </w:rPr>
      </w:pPr>
      <w:r>
        <w:drawing>
          <wp:inline distT="0" distB="0" distL="0" distR="0">
            <wp:extent cx="2000250" cy="1128395"/>
            <wp:effectExtent l="0" t="0" r="0" b="0"/>
            <wp:docPr id="65844737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8447375" name="图片 1"/>
                    <pic:cNvPicPr>
                      <a:picLocks noChangeAspect="1"/>
                    </pic:cNvPicPr>
                  </pic:nvPicPr>
                  <pic:blipFill>
                    <a:blip r:embed="rId9"/>
                    <a:stretch>
                      <a:fillRect/>
                    </a:stretch>
                  </pic:blipFill>
                  <pic:spPr>
                    <a:xfrm>
                      <a:off x="0" y="0"/>
                      <a:ext cx="2003233" cy="1130228"/>
                    </a:xfrm>
                    <a:prstGeom prst="rect">
                      <a:avLst/>
                    </a:prstGeom>
                  </pic:spPr>
                </pic:pic>
              </a:graphicData>
            </a:graphic>
          </wp:inline>
        </w:drawing>
      </w:r>
    </w:p>
    <w:p>
      <w:pPr>
        <w:pStyle w:val="145"/>
        <w:rPr>
          <w:rFonts w:hint="eastAsia"/>
          <w:lang w:eastAsia="zh-CN"/>
        </w:rPr>
      </w:pPr>
      <w:r>
        <w:rPr>
          <w:rFonts w:hint="eastAsia"/>
          <w:lang w:eastAsia="zh-CN"/>
        </w:rPr>
        <w:t>根据QYResearch最新调研报告显示，预计2</w:t>
      </w:r>
      <w:r>
        <w:rPr>
          <w:lang w:eastAsia="zh-CN"/>
        </w:rPr>
        <w:t>029</w:t>
      </w:r>
      <w:r>
        <w:rPr>
          <w:rFonts w:hint="eastAsia"/>
          <w:lang w:eastAsia="zh-CN"/>
        </w:rPr>
        <w:t>年全球</w:t>
      </w:r>
      <w:r>
        <w:rPr>
          <w:lang w:eastAsia="zh-CN"/>
        </w:rPr>
        <w:t>矿用卡车轮胎</w:t>
      </w:r>
      <w:r>
        <w:rPr>
          <w:rFonts w:hint="eastAsia"/>
          <w:lang w:eastAsia="zh-CN"/>
        </w:rPr>
        <w:t>市场规模将达到6</w:t>
      </w:r>
      <w:r>
        <w:rPr>
          <w:lang w:eastAsia="zh-CN"/>
        </w:rPr>
        <w:t>7.71</w:t>
      </w:r>
      <w:r>
        <w:rPr>
          <w:rFonts w:hint="eastAsia"/>
          <w:lang w:eastAsia="zh-CN"/>
        </w:rPr>
        <w:t>亿美元，未来几年年复合增长率CAGR为6</w:t>
      </w:r>
      <w:r>
        <w:rPr>
          <w:lang w:eastAsia="zh-CN"/>
        </w:rPr>
        <w:t>.14</w:t>
      </w:r>
      <w:r>
        <w:rPr>
          <w:rFonts w:hint="eastAsia"/>
          <w:lang w:eastAsia="zh-CN"/>
        </w:rPr>
        <w:t>%。</w:t>
      </w:r>
    </w:p>
    <w:p>
      <w:pPr>
        <w:pStyle w:val="148"/>
        <w:rPr>
          <w:lang w:eastAsia="zh-CN"/>
        </w:rPr>
      </w:pPr>
      <w:r>
        <w:rPr>
          <w:lang w:eastAsia="zh-CN"/>
        </w:rPr>
        <w:t>矿用卡车轮胎</w:t>
      </w:r>
      <w:r>
        <w:rPr>
          <w:rFonts w:hint="eastAsia"/>
          <w:lang w:eastAsia="zh-CN"/>
        </w:rPr>
        <w:t>，全球市场总体规模</w:t>
      </w:r>
    </w:p>
    <w:p>
      <w:pPr>
        <w:pStyle w:val="145"/>
      </w:pPr>
      <w:r>
        <w:drawing>
          <wp:inline distT="0" distB="0" distL="0" distR="0">
            <wp:extent cx="6120765" cy="2877820"/>
            <wp:effectExtent l="0" t="0" r="0" b="0"/>
            <wp:docPr id="44943047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9430479" name="图片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a:xfrm>
                      <a:off x="0" y="0"/>
                      <a:ext cx="6120765" cy="2877820"/>
                    </a:xfrm>
                    <a:prstGeom prst="rect">
                      <a:avLst/>
                    </a:prstGeom>
                    <a:noFill/>
                  </pic:spPr>
                </pic:pic>
              </a:graphicData>
            </a:graphic>
          </wp:inline>
        </w:drawing>
      </w:r>
    </w:p>
    <w:p>
      <w:pPr>
        <w:pStyle w:val="143"/>
        <w:rPr>
          <w:lang w:eastAsia="zh-CN"/>
        </w:rPr>
      </w:pPr>
      <w:r>
        <w:rPr>
          <w:rFonts w:hint="eastAsia"/>
          <w:lang w:eastAsia="zh-CN"/>
        </w:rPr>
        <w:t>如上图表/数据，摘自QYResearch最新报告“全球</w:t>
      </w:r>
      <w:r>
        <w:rPr>
          <w:lang w:eastAsia="zh-CN"/>
        </w:rPr>
        <w:t>矿用卡车轮胎</w:t>
      </w:r>
      <w:r>
        <w:rPr>
          <w:rFonts w:hint="eastAsia"/>
          <w:lang w:eastAsia="zh-CN"/>
        </w:rPr>
        <w:t>市场研究报告2023-2029</w:t>
      </w:r>
      <w:r>
        <w:rPr>
          <w:lang w:eastAsia="zh-CN"/>
        </w:rPr>
        <w:t>.</w:t>
      </w:r>
    </w:p>
    <w:p>
      <w:pPr>
        <w:pStyle w:val="145"/>
        <w:rPr>
          <w:lang w:eastAsia="zh-CN"/>
        </w:rPr>
      </w:pPr>
    </w:p>
    <w:p>
      <w:pPr>
        <w:pStyle w:val="148"/>
        <w:rPr>
          <w:lang w:eastAsia="zh-CN"/>
        </w:rPr>
      </w:pPr>
      <w:r>
        <w:rPr>
          <w:rFonts w:hint="eastAsia"/>
          <w:lang w:eastAsia="zh-CN"/>
        </w:rPr>
        <w:t>全球</w:t>
      </w:r>
      <w:r>
        <w:rPr>
          <w:lang w:eastAsia="zh-CN"/>
        </w:rPr>
        <w:t>矿用卡车轮胎</w:t>
      </w:r>
      <w:r>
        <w:rPr>
          <w:rFonts w:hint="eastAsia"/>
          <w:lang w:eastAsia="zh-CN"/>
        </w:rPr>
        <w:t>市场前</w:t>
      </w:r>
      <w:r>
        <w:rPr>
          <w:lang w:eastAsia="zh-CN"/>
        </w:rPr>
        <w:t>10</w:t>
      </w:r>
      <w:r>
        <w:rPr>
          <w:rFonts w:hint="eastAsia"/>
          <w:lang w:eastAsia="zh-CN"/>
        </w:rPr>
        <w:t>强生产商排名及市场占有率（基于2</w:t>
      </w:r>
      <w:r>
        <w:rPr>
          <w:lang w:eastAsia="zh-CN"/>
        </w:rPr>
        <w:t>022</w:t>
      </w:r>
      <w:r>
        <w:rPr>
          <w:rFonts w:hint="eastAsia"/>
          <w:lang w:eastAsia="zh-CN"/>
        </w:rPr>
        <w:t>年调研数据；目前最新数据以本公司最新调研数据为准）</w:t>
      </w:r>
    </w:p>
    <w:p>
      <w:pPr>
        <w:widowControl/>
        <w:topLinePunct w:val="0"/>
        <w:spacing w:after="0"/>
        <w:jc w:val="center"/>
        <w:rPr>
          <w:rFonts w:hint="eastAsia" w:ascii="宋体" w:hAnsi="宋体" w:cs="宋体"/>
          <w:kern w:val="0"/>
          <w:sz w:val="24"/>
          <w:szCs w:val="24"/>
        </w:rPr>
      </w:pPr>
      <w:r>
        <w:rPr>
          <w:rFonts w:ascii="宋体" w:hAnsi="宋体" w:cs="宋体"/>
          <w:kern w:val="0"/>
          <w:sz w:val="24"/>
          <w:szCs w:val="24"/>
        </w:rPr>
        <w:drawing>
          <wp:inline distT="0" distB="0" distL="0" distR="0">
            <wp:extent cx="4676140" cy="4401820"/>
            <wp:effectExtent l="0" t="0" r="0" b="0"/>
            <wp:docPr id="90361194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3611944" name="图片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a:xfrm>
                      <a:off x="0" y="0"/>
                      <a:ext cx="4676140" cy="4401820"/>
                    </a:xfrm>
                    <a:prstGeom prst="rect">
                      <a:avLst/>
                    </a:prstGeom>
                    <a:noFill/>
                  </pic:spPr>
                </pic:pic>
              </a:graphicData>
            </a:graphic>
          </wp:inline>
        </w:drawing>
      </w:r>
    </w:p>
    <w:p>
      <w:pPr>
        <w:pStyle w:val="143"/>
        <w:rPr>
          <w:lang w:eastAsia="zh-CN"/>
        </w:rPr>
      </w:pPr>
      <w:r>
        <w:rPr>
          <w:rFonts w:hint="eastAsia"/>
          <w:lang w:eastAsia="zh-CN"/>
        </w:rPr>
        <w:t>如上图表/数据，摘自QYResearch报告“全球</w:t>
      </w:r>
      <w:r>
        <w:rPr>
          <w:lang w:eastAsia="zh-CN"/>
        </w:rPr>
        <w:t>矿用卡车轮胎</w:t>
      </w:r>
      <w:r>
        <w:rPr>
          <w:rFonts w:hint="eastAsia"/>
          <w:lang w:eastAsia="zh-CN"/>
        </w:rPr>
        <w:t>市场研究报告2023-2029，排名基于2</w:t>
      </w:r>
      <w:r>
        <w:rPr>
          <w:lang w:eastAsia="zh-CN"/>
        </w:rPr>
        <w:t>022</w:t>
      </w:r>
      <w:r>
        <w:rPr>
          <w:rFonts w:hint="eastAsia"/>
          <w:lang w:eastAsia="zh-CN"/>
        </w:rPr>
        <w:t>数据。目前最新数据，以本公司最新调研数据为准。</w:t>
      </w:r>
    </w:p>
    <w:p>
      <w:pPr>
        <w:pStyle w:val="145"/>
        <w:rPr>
          <w:lang w:eastAsia="zh-CN"/>
        </w:rPr>
      </w:pPr>
      <w:r>
        <w:rPr>
          <w:rFonts w:hint="eastAsia"/>
          <w:lang w:eastAsia="zh-CN"/>
        </w:rPr>
        <w:t>全球范围内，</w:t>
      </w:r>
      <w:r>
        <w:rPr>
          <w:lang w:eastAsia="zh-CN"/>
        </w:rPr>
        <w:t>矿用卡车轮胎</w:t>
      </w:r>
      <w:r>
        <w:rPr>
          <w:rFonts w:hint="eastAsia"/>
          <w:lang w:eastAsia="zh-CN"/>
        </w:rPr>
        <w:t>主要生产商包括Bridgestone，Michelin，Continental，Goodyear，Yokohama，Apollo Tyres，JK Tyre，BKT，Titan Tire，GUIZHOU TYRE CO., LTD.等，其中前五大厂商占有大约</w:t>
      </w:r>
      <w:r>
        <w:rPr>
          <w:lang w:eastAsia="zh-CN"/>
        </w:rPr>
        <w:t>37.28%</w:t>
      </w:r>
      <w:r>
        <w:rPr>
          <w:rFonts w:hint="eastAsia"/>
          <w:lang w:eastAsia="zh-CN"/>
        </w:rPr>
        <w:t>的市场份额。</w:t>
      </w:r>
    </w:p>
    <w:p>
      <w:pPr>
        <w:pStyle w:val="145"/>
      </w:pPr>
    </w:p>
    <w:p>
      <w:pPr>
        <w:pStyle w:val="148"/>
        <w:rPr>
          <w:lang w:eastAsia="zh-CN"/>
        </w:rPr>
      </w:pPr>
      <w:r>
        <w:rPr>
          <w:lang w:eastAsia="zh-CN"/>
        </w:rPr>
        <w:t>矿用卡车轮胎</w:t>
      </w:r>
      <w:r>
        <w:rPr>
          <w:rFonts w:hint="eastAsia"/>
          <w:lang w:eastAsia="zh-CN"/>
        </w:rPr>
        <w:t>，全球市场规模，按产品类型细分，29英寸-49英寸处于主导地位</w:t>
      </w:r>
    </w:p>
    <w:p>
      <w:pPr>
        <w:pStyle w:val="145"/>
        <w:rPr>
          <w:lang w:val="en-US" w:eastAsia="zh-CN"/>
        </w:rPr>
      </w:pPr>
      <w:r>
        <w:rPr>
          <w:lang w:val="en-US" w:eastAsia="zh-CN"/>
        </w:rPr>
        <w:drawing>
          <wp:inline distT="0" distB="0" distL="0" distR="0">
            <wp:extent cx="6246495" cy="2879725"/>
            <wp:effectExtent l="0" t="0" r="1905" b="0"/>
            <wp:docPr id="33285204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2852044" name="图片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6246972" cy="2880000"/>
                    </a:xfrm>
                    <a:prstGeom prst="rect">
                      <a:avLst/>
                    </a:prstGeom>
                    <a:noFill/>
                  </pic:spPr>
                </pic:pic>
              </a:graphicData>
            </a:graphic>
          </wp:inline>
        </w:drawing>
      </w:r>
    </w:p>
    <w:p>
      <w:pPr>
        <w:pStyle w:val="145"/>
        <w:rPr>
          <w:lang w:eastAsia="zh-CN"/>
        </w:rPr>
      </w:pPr>
    </w:p>
    <w:p>
      <w:pPr>
        <w:pStyle w:val="143"/>
        <w:rPr>
          <w:lang w:eastAsia="zh-CN"/>
        </w:rPr>
      </w:pPr>
      <w:r>
        <w:rPr>
          <w:rFonts w:hint="eastAsia"/>
          <w:lang w:eastAsia="zh-CN"/>
        </w:rPr>
        <w:t>如上图表/数据，摘自QYResearch最新报告“全球</w:t>
      </w:r>
      <w:r>
        <w:rPr>
          <w:lang w:eastAsia="zh-CN"/>
        </w:rPr>
        <w:t>矿用卡车轮胎</w:t>
      </w:r>
      <w:r>
        <w:rPr>
          <w:rFonts w:hint="eastAsia"/>
          <w:lang w:eastAsia="zh-CN"/>
        </w:rPr>
        <w:t>市场研究报告2023-2029</w:t>
      </w:r>
      <w:r>
        <w:rPr>
          <w:lang w:eastAsia="zh-CN"/>
        </w:rPr>
        <w:t>.</w:t>
      </w:r>
    </w:p>
    <w:p>
      <w:pPr>
        <w:pStyle w:val="145"/>
        <w:rPr>
          <w:lang w:eastAsia="zh-CN"/>
        </w:rPr>
      </w:pPr>
      <w:r>
        <w:rPr>
          <w:rFonts w:hint="eastAsia"/>
          <w:lang w:eastAsia="zh-CN"/>
        </w:rPr>
        <w:t>就产品类型而言，目前29英寸-49英寸是最主要的细分产品，占据大约</w:t>
      </w:r>
      <w:r>
        <w:rPr>
          <w:lang w:eastAsia="zh-CN"/>
        </w:rPr>
        <w:t>69.38%</w:t>
      </w:r>
      <w:r>
        <w:rPr>
          <w:rFonts w:hint="eastAsia"/>
          <w:lang w:eastAsia="zh-CN"/>
        </w:rPr>
        <w:t>的份额。</w:t>
      </w:r>
    </w:p>
    <w:p>
      <w:pPr>
        <w:widowControl/>
        <w:topLinePunct w:val="0"/>
        <w:spacing w:after="0"/>
        <w:jc w:val="left"/>
        <w:rPr>
          <w:rFonts w:hint="eastAsia"/>
          <w:color w:val="0D0D0D" w:themeColor="text1" w:themeTint="F2"/>
          <w:kern w:val="0"/>
          <w:szCs w:val="22"/>
          <w:lang w:val="en-IN"/>
          <w14:textFill>
            <w14:solidFill>
              <w14:schemeClr w14:val="tx1">
                <w14:lumMod w14:val="95000"/>
                <w14:lumOff w14:val="5000"/>
              </w14:schemeClr>
            </w14:solidFill>
          </w14:textFill>
        </w:rPr>
      </w:pPr>
      <w:r>
        <w:br w:type="page"/>
      </w:r>
    </w:p>
    <w:p>
      <w:pPr>
        <w:pStyle w:val="167"/>
        <w:rPr>
          <w:lang w:eastAsia="zh-CN"/>
        </w:rPr>
      </w:pPr>
      <w:r>
        <w:rPr>
          <w:rFonts w:hint="eastAsia"/>
          <w:lang w:eastAsia="zh-CN"/>
        </w:rPr>
        <w:t>本文作者</w:t>
      </w:r>
    </w:p>
    <w:bookmarkEnd w:id="0"/>
    <w:bookmarkEnd w:id="1"/>
    <w:bookmarkEnd w:id="2"/>
    <w:bookmarkEnd w:id="3"/>
    <w:bookmarkEnd w:id="4"/>
    <w:bookmarkEnd w:id="5"/>
    <w:bookmarkEnd w:id="6"/>
    <w:bookmarkEnd w:id="7"/>
    <w:bookmarkEnd w:id="8"/>
    <w:bookmarkEnd w:id="9"/>
    <w:bookmarkEnd w:id="10"/>
    <w:bookmarkEnd w:id="11"/>
    <w:bookmarkEnd w:id="12"/>
    <w:p>
      <w:pPr>
        <w:pStyle w:val="145"/>
        <w:rPr>
          <w:lang w:eastAsia="zh-CN"/>
        </w:rPr>
      </w:pPr>
      <w:r>
        <w:rPr>
          <w:rFonts w:hint="eastAsia"/>
          <w:lang w:eastAsia="zh-CN"/>
        </w:rPr>
        <w:t>赵雅萍</w:t>
      </w:r>
    </w:p>
    <w:p>
      <w:pPr>
        <w:pStyle w:val="145"/>
        <w:rPr>
          <w:lang w:eastAsia="zh-CN"/>
        </w:rPr>
      </w:pPr>
      <w:r>
        <w:rPr>
          <w:rFonts w:hint="eastAsia"/>
          <w:lang w:eastAsia="zh-CN"/>
        </w:rPr>
        <w:t>主要作者</w:t>
      </w:r>
    </w:p>
    <w:p>
      <w:pPr>
        <w:pStyle w:val="145"/>
        <w:rPr>
          <w:lang w:eastAsia="zh-CN"/>
        </w:rPr>
      </w:pPr>
      <w:r>
        <w:rPr>
          <w:rFonts w:hint="eastAsia"/>
          <w:lang w:eastAsia="zh-CN"/>
        </w:rPr>
        <w:t>工程机械领域资深分析师</w:t>
      </w:r>
    </w:p>
    <w:p>
      <w:pPr>
        <w:pStyle w:val="167"/>
        <w:rPr>
          <w:lang w:eastAsia="zh-CN"/>
        </w:rPr>
      </w:pPr>
    </w:p>
    <w:p>
      <w:pPr>
        <w:pStyle w:val="167"/>
        <w:rPr>
          <w:lang w:eastAsia="zh-CN"/>
        </w:rPr>
      </w:pPr>
      <w:bookmarkStart w:id="19" w:name="_GoBack"/>
      <w:bookmarkEnd w:id="19"/>
      <w:r>
        <w:rPr>
          <w:lang w:eastAsia="zh-CN"/>
        </w:rPr>
        <w:t>QYResearch</w:t>
      </w:r>
      <w:r>
        <w:rPr>
          <w:rFonts w:hint="eastAsia"/>
          <w:lang w:eastAsia="zh-CN"/>
        </w:rPr>
        <w:t>企业简介</w:t>
      </w:r>
    </w:p>
    <w:p>
      <w:pPr>
        <w:pStyle w:val="145"/>
        <w:rPr>
          <w:lang w:eastAsia="zh-CN"/>
        </w:rPr>
      </w:pPr>
      <w:r>
        <w:rPr>
          <w:rFonts w:hint="eastAsia"/>
          <w:lang w:eastAsia="zh-CN"/>
        </w:rPr>
        <w:t>QYResearch(北京恒州博智国际信息咨询有限公司)成立于2007年，总部位于美国洛杉矶和中国北京。经过连续16年多的沉淀，QYResearch已成长为全球知名的、面向全球客户提供细分行业调研服务的领先咨询机构；业务遍及世界160多个国家，在全球30多个国家有固定营销合作伙伴，在美国、日本、韩国、印度等有分支机构，在国内主要城市北京、广州、长沙、石家庄、重庆、武汉、成都、山西大同、太原、昆明、日照等地设有办公室和专业研究团队。</w:t>
      </w:r>
    </w:p>
    <w:p>
      <w:pPr>
        <w:pStyle w:val="145"/>
        <w:rPr>
          <w:lang w:eastAsia="zh-CN"/>
        </w:rPr>
      </w:pPr>
      <w:r>
        <w:rPr>
          <w:rFonts w:hint="eastAsia"/>
          <w:lang w:eastAsia="zh-CN"/>
        </w:rPr>
        <w:t>QYResearch是全球知名的大型咨询公司，行业涵盖各高科技行业产业链细分市场，横跨如半导体产业链（半导体设备及零部件、半导体材料、集成电路、制造、封测、分立器件、传感器、光电器件）、光伏产业链（设备、硅料/硅片、电池片、组件、辅料支架、逆变器、电站终端）、新能源汽车产业链（动力电池及材料、电驱电控、汽车半导体/电子、整车、充电桩）、通信产业链（通信系统设备、终端设备、电子元器件、射频前端、光模块、4G/5G/6G、宽带、IoT、数字经济、AI）、先进材料产业链（金属材料、高分子材料、陶瓷材料、纳米材料等）、机械制造产业链（数控机床、工程机械、电气机械、3C自动化、工业机器人、激光、工控、无人机）、食品药品、医疗器械、农业等。</w:t>
      </w:r>
    </w:p>
    <w:p>
      <w:pPr>
        <w:pStyle w:val="145"/>
        <w:rPr>
          <w:lang w:eastAsia="zh-CN"/>
        </w:rPr>
      </w:pPr>
    </w:p>
    <w:sectPr>
      <w:headerReference r:id="rId6" w:type="first"/>
      <w:headerReference r:id="rId4" w:type="default"/>
      <w:footerReference r:id="rId7" w:type="default"/>
      <w:headerReference r:id="rId5" w:type="even"/>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 w:name="Book Antiqua">
    <w:panose1 w:val="02040602050305030304"/>
    <w:charset w:val="00"/>
    <w:family w:val="roman"/>
    <w:pitch w:val="default"/>
    <w:sig w:usb0="00000287" w:usb1="00000000" w:usb2="00000000" w:usb3="00000000" w:csb0="2000009F" w:csb1="DFD70000"/>
  </w:font>
  <w:font w:name="Frutiger">
    <w:altName w:val="Cambria"/>
    <w:panose1 w:val="00000000000000000000"/>
    <w:charset w:val="00"/>
    <w:family w:val="roman"/>
    <w:pitch w:val="default"/>
    <w:sig w:usb0="00000000" w:usb1="00000000" w:usb2="00000000" w:usb3="00000000" w:csb0="00000000"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6FF" w:usb1="420024FF" w:usb2="02000000" w:usb3="00000000" w:csb0="2000019F" w:csb1="00000000"/>
  </w:font>
  <w:font w:name="Arial">
    <w:panose1 w:val="020B0604020202020204"/>
    <w:charset w:val="00"/>
    <w:family w:val="swiss"/>
    <w:pitch w:val="default"/>
    <w:sig w:usb0="E0002EFF" w:usb1="C000785B" w:usb2="00000009" w:usb3="00000000" w:csb0="400001FF" w:csb1="FFFF0000"/>
  </w:font>
  <w:font w:name="Century Gothic">
    <w:panose1 w:val="020B0502020202020204"/>
    <w:charset w:val="00"/>
    <w:family w:val="swiss"/>
    <w:pitch w:val="default"/>
    <w:sig w:usb0="00000287" w:usb1="00000000" w:usb2="00000000" w:usb3="00000000" w:csb0="2000009F" w:csb1="DFD70000"/>
  </w:font>
  <w:font w:name="Franklin Gothic Demi">
    <w:panose1 w:val="020B0703020102020204"/>
    <w:charset w:val="00"/>
    <w:family w:val="swiss"/>
    <w:pitch w:val="default"/>
    <w:sig w:usb0="00000287" w:usb1="00000000" w:usb2="00000000" w:usb3="00000000" w:csb0="2000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jc w:val="center"/>
    </w:pPr>
    <w:bookmarkStart w:id="13" w:name="_Hlk149300687"/>
    <w:bookmarkStart w:id="14" w:name="_Hlk149300688"/>
    <w:bookmarkStart w:id="15" w:name="_Hlk149300689"/>
    <w:bookmarkStart w:id="16" w:name="_Hlk149300691"/>
    <w:bookmarkStart w:id="17" w:name="_Hlk149300692"/>
    <w:bookmarkStart w:id="18" w:name="_Hlk149300690"/>
    <w:r>
      <w:t xml:space="preserve">Copyright © QYResearch | market@qyresearch.com | </w:t>
    </w:r>
    <w:bookmarkEnd w:id="13"/>
    <w:bookmarkEnd w:id="14"/>
    <w:bookmarkEnd w:id="15"/>
    <w:bookmarkEnd w:id="16"/>
    <w:bookmarkEnd w:id="17"/>
    <w:bookmarkEnd w:id="18"/>
    <w:r>
      <w:t>www.qyresearch.com.cn</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pBdr>
        <w:bottom w:val="none" w:color="auto" w:sz="0" w:space="0"/>
      </w:pBdr>
      <w:jc w:val="both"/>
    </w:pPr>
    <w:r>
      <w:rPr>
        <w:rFonts w:ascii="Franklin Gothic Demi" w:hAnsi="Franklin Gothic Demi"/>
        <w:color w:val="FFFFFF" w:themeColor="background1"/>
        <w:sz w:val="28"/>
        <w14:textFill>
          <w14:solidFill>
            <w14:schemeClr w14:val="bg1"/>
          </w14:solidFill>
        </w14:textFill>
      </w:rPr>
      <w:drawing>
        <wp:anchor distT="0" distB="0" distL="114300" distR="114300" simplePos="0" relativeHeight="251661312" behindDoc="1" locked="0" layoutInCell="1" allowOverlap="1">
          <wp:simplePos x="0" y="0"/>
          <wp:positionH relativeFrom="page">
            <wp:posOffset>-70485</wp:posOffset>
          </wp:positionH>
          <wp:positionV relativeFrom="page">
            <wp:posOffset>0</wp:posOffset>
          </wp:positionV>
          <wp:extent cx="7655560" cy="1105535"/>
          <wp:effectExtent l="0" t="0" r="3175" b="0"/>
          <wp:wrapNone/>
          <wp:docPr id="1550190406" name="图片 1550190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0190406" name="图片 1550190406"/>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7655312" cy="1105535"/>
                  </a:xfrm>
                  <a:prstGeom prst="rect">
                    <a:avLst/>
                  </a:prstGeom>
                </pic:spPr>
              </pic:pic>
            </a:graphicData>
          </a:graphic>
        </wp:anchor>
      </w:drawing>
    </w:r>
    <w:r>
      <w:rPr>
        <w:rFonts w:ascii="Franklin Gothic Demi" w:hAnsi="Franklin Gothic Demi"/>
        <w:color w:val="FFFFFF" w:themeColor="background1"/>
        <w:sz w:val="28"/>
        <w14:textFill>
          <w14:solidFill>
            <w14:schemeClr w14:val="bg1"/>
          </w14:solidFill>
        </w14:textFill>
      </w:rPr>
      <mc:AlternateContent>
        <mc:Choice Requires="wps">
          <w:drawing>
            <wp:anchor distT="45720" distB="45720" distL="114300" distR="114300" simplePos="0" relativeHeight="251662336" behindDoc="0" locked="0" layoutInCell="1" allowOverlap="1">
              <wp:simplePos x="0" y="0"/>
              <wp:positionH relativeFrom="margin">
                <wp:posOffset>-233680</wp:posOffset>
              </wp:positionH>
              <wp:positionV relativeFrom="paragraph">
                <wp:posOffset>-331470</wp:posOffset>
              </wp:positionV>
              <wp:extent cx="5201920" cy="783590"/>
              <wp:effectExtent l="0" t="0" r="0" b="0"/>
              <wp:wrapSquare wrapText="bothSides"/>
              <wp:docPr id="1907098769" name="Text Box 2"/>
              <wp:cNvGraphicFramePr/>
              <a:graphic xmlns:a="http://schemas.openxmlformats.org/drawingml/2006/main">
                <a:graphicData uri="http://schemas.microsoft.com/office/word/2010/wordprocessingShape">
                  <wps:wsp>
                    <wps:cNvSpPr txBox="1">
                      <a:spLocks noChangeArrowheads="1"/>
                    </wps:cNvSpPr>
                    <wps:spPr bwMode="auto">
                      <a:xfrm>
                        <a:off x="0" y="0"/>
                        <a:ext cx="5201920" cy="783590"/>
                      </a:xfrm>
                      <a:prstGeom prst="rect">
                        <a:avLst/>
                      </a:prstGeom>
                      <a:noFill/>
                      <a:ln w="9525">
                        <a:noFill/>
                        <a:miter lim="800000"/>
                      </a:ln>
                      <a:effectLst/>
                    </wps:spPr>
                    <wps:txbx>
                      <w:txbxContent>
                        <w:p>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18.4pt;margin-top:-26.1pt;height:61.7pt;width:409.6pt;mso-position-horizontal-relative:margin;mso-wrap-distance-bottom:3.6pt;mso-wrap-distance-left:9pt;mso-wrap-distance-right:9pt;mso-wrap-distance-top:3.6pt;z-index:251662336;v-text-anchor:middle;mso-width-relative:page;mso-height-relative:page;" filled="f" stroked="f" coordsize="21600,21600" o:gfxdata="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Ecpl&#10;ZtkAAAAKAQAADwAAAAAAAAABACAAAAAiAAAAZHJzL2Rvd25yZXYueG1sUEsBAhQAFAAAAAgAh07i&#10;QGUIQ3whAgAAQQQAAA4AAAAAAAAAAQAgAAAAKAEAAGRycy9lMm9Eb2MueG1sUEsFBgAAAAAGAAYA&#10;WQEAALsFAAAAAA==&#10;">
              <v:fill on="f" focussize="0,0"/>
              <v:stroke on="f" miterlimit="8" joinstyle="miter"/>
              <v:imagedata o:title=""/>
              <o:lock v:ext="edit" aspectratio="f"/>
              <v:textbox>
                <w:txbxContent>
                  <w:p>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v:textbox>
              <w10:wrap type="square"/>
            </v:shape>
          </w:pict>
        </mc:Fallback>
      </mc:AlternateContent>
    </w:r>
  </w:p>
  <w:p>
    <w:pPr>
      <w:pStyle w:val="22"/>
      <w:pBdr>
        <w:bottom w:val="none" w:color="auto" w:sz="0" w:space="0"/>
      </w:pBdr>
      <w:jc w:val="both"/>
    </w:pPr>
  </w:p>
  <w:p>
    <w:pPr>
      <w:pStyle w:val="22"/>
      <w:pBdr>
        <w:bottom w:val="none" w:color="auto" w:sz="0" w:space="0"/>
      </w:pBdr>
      <w:jc w:val="both"/>
    </w:pPr>
  </w:p>
  <w:p>
    <w:pPr>
      <w:pStyle w:val="22"/>
      <w:pBdr>
        <w:bottom w:val="none" w:color="auto" w:sz="0" w:space="0"/>
      </w:pBdr>
      <w:jc w:val="both"/>
    </w:pPr>
  </w:p>
  <w:p>
    <w:pPr>
      <w:pStyle w:val="22"/>
      <w:pBdr>
        <w:bottom w:val="none" w:color="auto" w:sz="0" w:space="0"/>
      </w:pBdr>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2" o:spid="_x0000_s1032" o:spt="75" type="#_x0000_t75" style="position:absolute;left:0pt;height:238.85pt;width:481.85pt;mso-position-horizontal:center;mso-position-horizontal-relative:margin;mso-position-vertical:center;mso-position-vertical-relative:margin;z-index:-251656192;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1" o:spid="_x0000_s1031" o:spt="75" type="#_x0000_t75" style="position:absolute;left:0pt;height:238.85pt;width:481.85pt;mso-position-horizontal:center;mso-position-horizontal-relative:margin;mso-position-vertical:center;mso-position-vertical-relative:margin;z-index:-251657216;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none"/>
      <w:pStyle w:val="148"/>
      <w:suff w:val="nothing"/>
      <w:lvlText w:val="图%1.   "/>
      <w:lvlJc w:val="left"/>
      <w:pPr>
        <w:ind w:left="357"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Table %1.   "/>
      <w:lvlJc w:val="left"/>
      <w:pPr>
        <w:ind w:left="357" w:hanging="357"/>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0"/>
  <w:displayVerticalDrawingGridEvery w:val="2"/>
  <w:characterSpacingControl w:val="compressPunctuation"/>
  <w:hdrShapeDefaults>
    <o:shapelayout v:ext="edit">
      <o:idmap v:ext="edit" data="1"/>
    </o:shapelayout>
  </w:hdrShapeDefaults>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MDYzNTE3ZmJhYmZjY2ZiNzUxNTI1ZTRkNzNkYTA1OTIifQ=="/>
  </w:docVars>
  <w:rsids>
    <w:rsidRoot w:val="00D33EE2"/>
    <w:rsid w:val="000002E5"/>
    <w:rsid w:val="0000037A"/>
    <w:rsid w:val="0000040F"/>
    <w:rsid w:val="00000507"/>
    <w:rsid w:val="0000064D"/>
    <w:rsid w:val="00000877"/>
    <w:rsid w:val="00000A89"/>
    <w:rsid w:val="00000CBB"/>
    <w:rsid w:val="00001917"/>
    <w:rsid w:val="00001B99"/>
    <w:rsid w:val="00001CCF"/>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20010"/>
    <w:rsid w:val="0002003A"/>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58"/>
    <w:rsid w:val="000505B3"/>
    <w:rsid w:val="00050754"/>
    <w:rsid w:val="00050C02"/>
    <w:rsid w:val="00050D18"/>
    <w:rsid w:val="00050D36"/>
    <w:rsid w:val="00050E1E"/>
    <w:rsid w:val="0005117A"/>
    <w:rsid w:val="00051275"/>
    <w:rsid w:val="000518D6"/>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79F"/>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816"/>
    <w:rsid w:val="00080CA5"/>
    <w:rsid w:val="00081510"/>
    <w:rsid w:val="00081765"/>
    <w:rsid w:val="00081894"/>
    <w:rsid w:val="000818C2"/>
    <w:rsid w:val="00081AF3"/>
    <w:rsid w:val="00081B5A"/>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5D0"/>
    <w:rsid w:val="000846FB"/>
    <w:rsid w:val="00084739"/>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50BF"/>
    <w:rsid w:val="000A5953"/>
    <w:rsid w:val="000A5AAE"/>
    <w:rsid w:val="000A5CE2"/>
    <w:rsid w:val="000A5FCB"/>
    <w:rsid w:val="000A6183"/>
    <w:rsid w:val="000A67F0"/>
    <w:rsid w:val="000A6A99"/>
    <w:rsid w:val="000A6CBC"/>
    <w:rsid w:val="000A6E94"/>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805"/>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F08"/>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D99"/>
    <w:rsid w:val="000E2F79"/>
    <w:rsid w:val="000E307E"/>
    <w:rsid w:val="000E31E5"/>
    <w:rsid w:val="000E334C"/>
    <w:rsid w:val="000E3358"/>
    <w:rsid w:val="000E3634"/>
    <w:rsid w:val="000E3A0C"/>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FB"/>
    <w:rsid w:val="000E7E33"/>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32C"/>
    <w:rsid w:val="001047D0"/>
    <w:rsid w:val="0010494F"/>
    <w:rsid w:val="00104D4D"/>
    <w:rsid w:val="00104D67"/>
    <w:rsid w:val="00104DEF"/>
    <w:rsid w:val="00104FAD"/>
    <w:rsid w:val="001052F0"/>
    <w:rsid w:val="001054D1"/>
    <w:rsid w:val="001056AE"/>
    <w:rsid w:val="001059EC"/>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D2D"/>
    <w:rsid w:val="001120B8"/>
    <w:rsid w:val="00112295"/>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53F"/>
    <w:rsid w:val="001617F2"/>
    <w:rsid w:val="00161985"/>
    <w:rsid w:val="00161EE9"/>
    <w:rsid w:val="001620CC"/>
    <w:rsid w:val="0016218C"/>
    <w:rsid w:val="00162607"/>
    <w:rsid w:val="00162919"/>
    <w:rsid w:val="00162974"/>
    <w:rsid w:val="00162E2A"/>
    <w:rsid w:val="00162E99"/>
    <w:rsid w:val="0016306F"/>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B44"/>
    <w:rsid w:val="00195102"/>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33F"/>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880"/>
    <w:rsid w:val="001F0A32"/>
    <w:rsid w:val="001F0BE5"/>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DAC"/>
    <w:rsid w:val="00211004"/>
    <w:rsid w:val="002110E2"/>
    <w:rsid w:val="00211275"/>
    <w:rsid w:val="002118E2"/>
    <w:rsid w:val="00211C0F"/>
    <w:rsid w:val="00212127"/>
    <w:rsid w:val="002123CE"/>
    <w:rsid w:val="00212481"/>
    <w:rsid w:val="002124E4"/>
    <w:rsid w:val="00212A9B"/>
    <w:rsid w:val="00212B3D"/>
    <w:rsid w:val="00212BC8"/>
    <w:rsid w:val="00212CCF"/>
    <w:rsid w:val="002135BA"/>
    <w:rsid w:val="002138FC"/>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B83"/>
    <w:rsid w:val="00242EF5"/>
    <w:rsid w:val="00242F2A"/>
    <w:rsid w:val="00243039"/>
    <w:rsid w:val="00243124"/>
    <w:rsid w:val="002434A5"/>
    <w:rsid w:val="00243A4E"/>
    <w:rsid w:val="00243A53"/>
    <w:rsid w:val="002440D1"/>
    <w:rsid w:val="0024427D"/>
    <w:rsid w:val="0024429E"/>
    <w:rsid w:val="00244474"/>
    <w:rsid w:val="00244BD2"/>
    <w:rsid w:val="00245522"/>
    <w:rsid w:val="00245940"/>
    <w:rsid w:val="00245983"/>
    <w:rsid w:val="00245A9A"/>
    <w:rsid w:val="00245CDC"/>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36E"/>
    <w:rsid w:val="0027062E"/>
    <w:rsid w:val="00270757"/>
    <w:rsid w:val="002707A9"/>
    <w:rsid w:val="002708D7"/>
    <w:rsid w:val="00270C17"/>
    <w:rsid w:val="00270C81"/>
    <w:rsid w:val="00270FF9"/>
    <w:rsid w:val="002714BA"/>
    <w:rsid w:val="00271983"/>
    <w:rsid w:val="00271BC1"/>
    <w:rsid w:val="00272374"/>
    <w:rsid w:val="002724AA"/>
    <w:rsid w:val="002724AD"/>
    <w:rsid w:val="002729D2"/>
    <w:rsid w:val="00272A57"/>
    <w:rsid w:val="00273040"/>
    <w:rsid w:val="002731F2"/>
    <w:rsid w:val="002731F3"/>
    <w:rsid w:val="00273367"/>
    <w:rsid w:val="00273524"/>
    <w:rsid w:val="00273A2C"/>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54"/>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1122"/>
    <w:rsid w:val="002A11A6"/>
    <w:rsid w:val="002A12C5"/>
    <w:rsid w:val="002A1330"/>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A3C"/>
    <w:rsid w:val="002B1CB6"/>
    <w:rsid w:val="002B1CDF"/>
    <w:rsid w:val="002B23E5"/>
    <w:rsid w:val="002B248B"/>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0AF"/>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B04"/>
    <w:rsid w:val="002E3E0A"/>
    <w:rsid w:val="002E409D"/>
    <w:rsid w:val="002E4424"/>
    <w:rsid w:val="002E47D0"/>
    <w:rsid w:val="002E4863"/>
    <w:rsid w:val="002E4E27"/>
    <w:rsid w:val="002E5177"/>
    <w:rsid w:val="002E51C4"/>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40B8"/>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CAE"/>
    <w:rsid w:val="0032136F"/>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95A"/>
    <w:rsid w:val="00377F73"/>
    <w:rsid w:val="00377FB0"/>
    <w:rsid w:val="00380466"/>
    <w:rsid w:val="003806BB"/>
    <w:rsid w:val="00380876"/>
    <w:rsid w:val="00380D6F"/>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5D3"/>
    <w:rsid w:val="00391663"/>
    <w:rsid w:val="00391699"/>
    <w:rsid w:val="00391B68"/>
    <w:rsid w:val="00391D60"/>
    <w:rsid w:val="00392349"/>
    <w:rsid w:val="003928F7"/>
    <w:rsid w:val="00392C60"/>
    <w:rsid w:val="00392E43"/>
    <w:rsid w:val="00392E8E"/>
    <w:rsid w:val="00392F2F"/>
    <w:rsid w:val="003935AB"/>
    <w:rsid w:val="003936EA"/>
    <w:rsid w:val="0039461A"/>
    <w:rsid w:val="0039477D"/>
    <w:rsid w:val="00394BE5"/>
    <w:rsid w:val="0039500B"/>
    <w:rsid w:val="003951FF"/>
    <w:rsid w:val="0039526A"/>
    <w:rsid w:val="00395A25"/>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D9"/>
    <w:rsid w:val="003A1308"/>
    <w:rsid w:val="003A1412"/>
    <w:rsid w:val="003A1587"/>
    <w:rsid w:val="003A16BD"/>
    <w:rsid w:val="003A1739"/>
    <w:rsid w:val="003A246F"/>
    <w:rsid w:val="003A24E6"/>
    <w:rsid w:val="003A2631"/>
    <w:rsid w:val="003A2D48"/>
    <w:rsid w:val="003A2FBD"/>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60E"/>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56"/>
    <w:rsid w:val="004134C8"/>
    <w:rsid w:val="00413999"/>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AEB"/>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439"/>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98"/>
    <w:rsid w:val="00437DDF"/>
    <w:rsid w:val="0044004D"/>
    <w:rsid w:val="00440246"/>
    <w:rsid w:val="00440272"/>
    <w:rsid w:val="0044057E"/>
    <w:rsid w:val="004406EC"/>
    <w:rsid w:val="00440934"/>
    <w:rsid w:val="00440BD7"/>
    <w:rsid w:val="00440EC6"/>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D6"/>
    <w:rsid w:val="00474F0E"/>
    <w:rsid w:val="004750E2"/>
    <w:rsid w:val="00475205"/>
    <w:rsid w:val="0047520E"/>
    <w:rsid w:val="0047526C"/>
    <w:rsid w:val="00475994"/>
    <w:rsid w:val="00475ACD"/>
    <w:rsid w:val="00475DA1"/>
    <w:rsid w:val="00475DC8"/>
    <w:rsid w:val="00475F98"/>
    <w:rsid w:val="0047601F"/>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E22"/>
    <w:rsid w:val="00483026"/>
    <w:rsid w:val="00483634"/>
    <w:rsid w:val="0048364B"/>
    <w:rsid w:val="00483694"/>
    <w:rsid w:val="00483956"/>
    <w:rsid w:val="00483D33"/>
    <w:rsid w:val="00483F01"/>
    <w:rsid w:val="00484269"/>
    <w:rsid w:val="00484282"/>
    <w:rsid w:val="004844AD"/>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EE"/>
    <w:rsid w:val="00491383"/>
    <w:rsid w:val="004913D8"/>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B39"/>
    <w:rsid w:val="00497D5C"/>
    <w:rsid w:val="004A019C"/>
    <w:rsid w:val="004A01EF"/>
    <w:rsid w:val="004A0312"/>
    <w:rsid w:val="004A031D"/>
    <w:rsid w:val="004A0486"/>
    <w:rsid w:val="004A0693"/>
    <w:rsid w:val="004A07F5"/>
    <w:rsid w:val="004A0EBA"/>
    <w:rsid w:val="004A0F61"/>
    <w:rsid w:val="004A12B3"/>
    <w:rsid w:val="004A1508"/>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63"/>
    <w:rsid w:val="004B0160"/>
    <w:rsid w:val="004B02BC"/>
    <w:rsid w:val="004B03BD"/>
    <w:rsid w:val="004B03C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A0F"/>
    <w:rsid w:val="004B6CBD"/>
    <w:rsid w:val="004B709D"/>
    <w:rsid w:val="004B72D6"/>
    <w:rsid w:val="004B7718"/>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9DE"/>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463"/>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300C"/>
    <w:rsid w:val="00573270"/>
    <w:rsid w:val="00573481"/>
    <w:rsid w:val="005735EA"/>
    <w:rsid w:val="00573954"/>
    <w:rsid w:val="00573CB3"/>
    <w:rsid w:val="00573D2E"/>
    <w:rsid w:val="00573DB8"/>
    <w:rsid w:val="00573DD6"/>
    <w:rsid w:val="00574038"/>
    <w:rsid w:val="00574608"/>
    <w:rsid w:val="00574769"/>
    <w:rsid w:val="0057477D"/>
    <w:rsid w:val="005747B8"/>
    <w:rsid w:val="00574B8E"/>
    <w:rsid w:val="00574CBE"/>
    <w:rsid w:val="00574D00"/>
    <w:rsid w:val="00575048"/>
    <w:rsid w:val="005752F6"/>
    <w:rsid w:val="0057548A"/>
    <w:rsid w:val="00575A51"/>
    <w:rsid w:val="00575ABA"/>
    <w:rsid w:val="00575BBB"/>
    <w:rsid w:val="00575C35"/>
    <w:rsid w:val="00575C56"/>
    <w:rsid w:val="00575CBE"/>
    <w:rsid w:val="005761F5"/>
    <w:rsid w:val="0057635B"/>
    <w:rsid w:val="005767FA"/>
    <w:rsid w:val="0057686C"/>
    <w:rsid w:val="00576906"/>
    <w:rsid w:val="00576950"/>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B54"/>
    <w:rsid w:val="00593F68"/>
    <w:rsid w:val="00593FB5"/>
    <w:rsid w:val="00594158"/>
    <w:rsid w:val="005946FB"/>
    <w:rsid w:val="0059473F"/>
    <w:rsid w:val="00594BD4"/>
    <w:rsid w:val="00594E8D"/>
    <w:rsid w:val="00595467"/>
    <w:rsid w:val="00595561"/>
    <w:rsid w:val="00595577"/>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15A"/>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01"/>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0DC5"/>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6C"/>
    <w:rsid w:val="00630BE1"/>
    <w:rsid w:val="00630F3B"/>
    <w:rsid w:val="006312F7"/>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167"/>
    <w:rsid w:val="00634389"/>
    <w:rsid w:val="00634487"/>
    <w:rsid w:val="006344EE"/>
    <w:rsid w:val="00634580"/>
    <w:rsid w:val="006346F1"/>
    <w:rsid w:val="006350C7"/>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831"/>
    <w:rsid w:val="006529A5"/>
    <w:rsid w:val="00652BA0"/>
    <w:rsid w:val="00652C8D"/>
    <w:rsid w:val="0065306F"/>
    <w:rsid w:val="0065344B"/>
    <w:rsid w:val="00653484"/>
    <w:rsid w:val="0065350A"/>
    <w:rsid w:val="00653600"/>
    <w:rsid w:val="006536EF"/>
    <w:rsid w:val="00653792"/>
    <w:rsid w:val="006537ED"/>
    <w:rsid w:val="00653ADB"/>
    <w:rsid w:val="0065409F"/>
    <w:rsid w:val="006542CE"/>
    <w:rsid w:val="00654545"/>
    <w:rsid w:val="006548CC"/>
    <w:rsid w:val="00654A22"/>
    <w:rsid w:val="00654D51"/>
    <w:rsid w:val="00654FAD"/>
    <w:rsid w:val="006551A8"/>
    <w:rsid w:val="00655628"/>
    <w:rsid w:val="00655A62"/>
    <w:rsid w:val="00655A9C"/>
    <w:rsid w:val="00656131"/>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04"/>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4076"/>
    <w:rsid w:val="00684462"/>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71"/>
    <w:rsid w:val="006B1346"/>
    <w:rsid w:val="006B1448"/>
    <w:rsid w:val="006B150A"/>
    <w:rsid w:val="006B15BE"/>
    <w:rsid w:val="006B1647"/>
    <w:rsid w:val="006B1C3F"/>
    <w:rsid w:val="006B23BC"/>
    <w:rsid w:val="006B2419"/>
    <w:rsid w:val="006B2590"/>
    <w:rsid w:val="006B27ED"/>
    <w:rsid w:val="006B2951"/>
    <w:rsid w:val="006B2BAA"/>
    <w:rsid w:val="006B3009"/>
    <w:rsid w:val="006B32F0"/>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C33"/>
    <w:rsid w:val="006B7D3A"/>
    <w:rsid w:val="006B7F79"/>
    <w:rsid w:val="006C00F8"/>
    <w:rsid w:val="006C02C6"/>
    <w:rsid w:val="006C0412"/>
    <w:rsid w:val="006C0780"/>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E019C"/>
    <w:rsid w:val="006E0232"/>
    <w:rsid w:val="006E0275"/>
    <w:rsid w:val="006E0419"/>
    <w:rsid w:val="006E0815"/>
    <w:rsid w:val="006E094E"/>
    <w:rsid w:val="006E0968"/>
    <w:rsid w:val="006E09BE"/>
    <w:rsid w:val="006E0B9A"/>
    <w:rsid w:val="006E0CA3"/>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2A7"/>
    <w:rsid w:val="006E4324"/>
    <w:rsid w:val="006E492A"/>
    <w:rsid w:val="006E494B"/>
    <w:rsid w:val="006E495B"/>
    <w:rsid w:val="006E5A0D"/>
    <w:rsid w:val="006E5EC2"/>
    <w:rsid w:val="006E6056"/>
    <w:rsid w:val="006E606F"/>
    <w:rsid w:val="006E69D9"/>
    <w:rsid w:val="006E6AA2"/>
    <w:rsid w:val="006E6BD1"/>
    <w:rsid w:val="006E6DA7"/>
    <w:rsid w:val="006E6E7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C67"/>
    <w:rsid w:val="006F4CF1"/>
    <w:rsid w:val="006F558F"/>
    <w:rsid w:val="006F6422"/>
    <w:rsid w:val="006F644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AE6"/>
    <w:rsid w:val="00710B1C"/>
    <w:rsid w:val="00710BA2"/>
    <w:rsid w:val="00710E1E"/>
    <w:rsid w:val="0071131F"/>
    <w:rsid w:val="0071161C"/>
    <w:rsid w:val="007117FB"/>
    <w:rsid w:val="00711ACB"/>
    <w:rsid w:val="00711B21"/>
    <w:rsid w:val="00711EC1"/>
    <w:rsid w:val="00711F66"/>
    <w:rsid w:val="007120A6"/>
    <w:rsid w:val="0071211E"/>
    <w:rsid w:val="007123BF"/>
    <w:rsid w:val="007124C7"/>
    <w:rsid w:val="0071268C"/>
    <w:rsid w:val="0071271A"/>
    <w:rsid w:val="0071278E"/>
    <w:rsid w:val="007129B6"/>
    <w:rsid w:val="00712C1E"/>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7AB"/>
    <w:rsid w:val="007238ED"/>
    <w:rsid w:val="00723A04"/>
    <w:rsid w:val="00723DCB"/>
    <w:rsid w:val="00724290"/>
    <w:rsid w:val="0072438D"/>
    <w:rsid w:val="007244CA"/>
    <w:rsid w:val="00724527"/>
    <w:rsid w:val="007246A4"/>
    <w:rsid w:val="00724783"/>
    <w:rsid w:val="007252EA"/>
    <w:rsid w:val="007253B4"/>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3C6"/>
    <w:rsid w:val="007404F8"/>
    <w:rsid w:val="0074054D"/>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BD"/>
    <w:rsid w:val="00744849"/>
    <w:rsid w:val="00744F37"/>
    <w:rsid w:val="00745401"/>
    <w:rsid w:val="00745449"/>
    <w:rsid w:val="00745488"/>
    <w:rsid w:val="0074554C"/>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744"/>
    <w:rsid w:val="007919D9"/>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BDB"/>
    <w:rsid w:val="007B0DB4"/>
    <w:rsid w:val="007B116E"/>
    <w:rsid w:val="007B1330"/>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62DC"/>
    <w:rsid w:val="007C64AB"/>
    <w:rsid w:val="007C64F7"/>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876"/>
    <w:rsid w:val="007D4881"/>
    <w:rsid w:val="007D497D"/>
    <w:rsid w:val="007D4D4C"/>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A84"/>
    <w:rsid w:val="007E7A98"/>
    <w:rsid w:val="007E7B7F"/>
    <w:rsid w:val="007E7C96"/>
    <w:rsid w:val="007E7D33"/>
    <w:rsid w:val="007F0332"/>
    <w:rsid w:val="007F05B3"/>
    <w:rsid w:val="007F05EB"/>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4A2"/>
    <w:rsid w:val="007F29A6"/>
    <w:rsid w:val="007F2A65"/>
    <w:rsid w:val="007F340E"/>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30D1"/>
    <w:rsid w:val="00803210"/>
    <w:rsid w:val="008036EB"/>
    <w:rsid w:val="008046ED"/>
    <w:rsid w:val="008049AE"/>
    <w:rsid w:val="008049CD"/>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406"/>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7005A"/>
    <w:rsid w:val="008700F6"/>
    <w:rsid w:val="00870280"/>
    <w:rsid w:val="008703B2"/>
    <w:rsid w:val="00870782"/>
    <w:rsid w:val="008707AB"/>
    <w:rsid w:val="00870816"/>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C74"/>
    <w:rsid w:val="008951FE"/>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039"/>
    <w:rsid w:val="008B3242"/>
    <w:rsid w:val="008B3387"/>
    <w:rsid w:val="008B357F"/>
    <w:rsid w:val="008B366F"/>
    <w:rsid w:val="008B3720"/>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94F"/>
    <w:rsid w:val="008C19D7"/>
    <w:rsid w:val="008C1B94"/>
    <w:rsid w:val="008C1BE0"/>
    <w:rsid w:val="008C1EA6"/>
    <w:rsid w:val="008C2800"/>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D03DB"/>
    <w:rsid w:val="008D0703"/>
    <w:rsid w:val="008D0934"/>
    <w:rsid w:val="008D0A98"/>
    <w:rsid w:val="008D0C71"/>
    <w:rsid w:val="008D0EA1"/>
    <w:rsid w:val="008D1409"/>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D4B"/>
    <w:rsid w:val="008D4E03"/>
    <w:rsid w:val="008D51C6"/>
    <w:rsid w:val="008D5765"/>
    <w:rsid w:val="008D579E"/>
    <w:rsid w:val="008D58DE"/>
    <w:rsid w:val="008D5C61"/>
    <w:rsid w:val="008D5D83"/>
    <w:rsid w:val="008D5E2A"/>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80"/>
    <w:rsid w:val="008F5475"/>
    <w:rsid w:val="008F5513"/>
    <w:rsid w:val="008F55A0"/>
    <w:rsid w:val="008F5707"/>
    <w:rsid w:val="008F5FB1"/>
    <w:rsid w:val="008F6162"/>
    <w:rsid w:val="008F617D"/>
    <w:rsid w:val="008F6250"/>
    <w:rsid w:val="008F63A3"/>
    <w:rsid w:val="008F658C"/>
    <w:rsid w:val="008F6C00"/>
    <w:rsid w:val="008F6C3B"/>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438"/>
    <w:rsid w:val="00921671"/>
    <w:rsid w:val="00921C14"/>
    <w:rsid w:val="00921C7C"/>
    <w:rsid w:val="00921DB8"/>
    <w:rsid w:val="00921F05"/>
    <w:rsid w:val="00922069"/>
    <w:rsid w:val="00922585"/>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B89"/>
    <w:rsid w:val="009313D1"/>
    <w:rsid w:val="009317AF"/>
    <w:rsid w:val="0093183C"/>
    <w:rsid w:val="00931C5C"/>
    <w:rsid w:val="0093273D"/>
    <w:rsid w:val="00932B44"/>
    <w:rsid w:val="00933135"/>
    <w:rsid w:val="009331E3"/>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6C97"/>
    <w:rsid w:val="00957059"/>
    <w:rsid w:val="00957375"/>
    <w:rsid w:val="009574DE"/>
    <w:rsid w:val="00957C7B"/>
    <w:rsid w:val="00960260"/>
    <w:rsid w:val="0096063A"/>
    <w:rsid w:val="0096082B"/>
    <w:rsid w:val="00960D75"/>
    <w:rsid w:val="00960ED5"/>
    <w:rsid w:val="0096105F"/>
    <w:rsid w:val="00961218"/>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D4D"/>
    <w:rsid w:val="00970F2D"/>
    <w:rsid w:val="00971315"/>
    <w:rsid w:val="00971529"/>
    <w:rsid w:val="0097153E"/>
    <w:rsid w:val="00971682"/>
    <w:rsid w:val="009716D7"/>
    <w:rsid w:val="009718BE"/>
    <w:rsid w:val="00971AAB"/>
    <w:rsid w:val="00971B69"/>
    <w:rsid w:val="009720CB"/>
    <w:rsid w:val="00972C60"/>
    <w:rsid w:val="0097311B"/>
    <w:rsid w:val="009733AB"/>
    <w:rsid w:val="009735DA"/>
    <w:rsid w:val="009735EC"/>
    <w:rsid w:val="009738BE"/>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76ED"/>
    <w:rsid w:val="00977C2E"/>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F7D"/>
    <w:rsid w:val="009920F9"/>
    <w:rsid w:val="00992271"/>
    <w:rsid w:val="009922D6"/>
    <w:rsid w:val="009922FF"/>
    <w:rsid w:val="009924F7"/>
    <w:rsid w:val="0099257C"/>
    <w:rsid w:val="009926E7"/>
    <w:rsid w:val="00992EC2"/>
    <w:rsid w:val="00993111"/>
    <w:rsid w:val="009939DE"/>
    <w:rsid w:val="00993B09"/>
    <w:rsid w:val="00993B2B"/>
    <w:rsid w:val="00993B71"/>
    <w:rsid w:val="00993F7B"/>
    <w:rsid w:val="009940CC"/>
    <w:rsid w:val="00994210"/>
    <w:rsid w:val="009943D4"/>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BC"/>
    <w:rsid w:val="009A1685"/>
    <w:rsid w:val="009A21A5"/>
    <w:rsid w:val="009A27AA"/>
    <w:rsid w:val="009A2954"/>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547"/>
    <w:rsid w:val="009C06A0"/>
    <w:rsid w:val="009C06DA"/>
    <w:rsid w:val="009C0AA9"/>
    <w:rsid w:val="009C0BBA"/>
    <w:rsid w:val="009C0E08"/>
    <w:rsid w:val="009C0FB8"/>
    <w:rsid w:val="009C0FFC"/>
    <w:rsid w:val="009C144D"/>
    <w:rsid w:val="009C153C"/>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BBB"/>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5044"/>
    <w:rsid w:val="009E52F7"/>
    <w:rsid w:val="009E5537"/>
    <w:rsid w:val="009E5637"/>
    <w:rsid w:val="009E5BAD"/>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93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D11"/>
    <w:rsid w:val="009F4FB8"/>
    <w:rsid w:val="009F50D1"/>
    <w:rsid w:val="009F5993"/>
    <w:rsid w:val="009F5A07"/>
    <w:rsid w:val="009F5BBA"/>
    <w:rsid w:val="009F625A"/>
    <w:rsid w:val="009F64E1"/>
    <w:rsid w:val="009F6784"/>
    <w:rsid w:val="009F68E4"/>
    <w:rsid w:val="009F69BE"/>
    <w:rsid w:val="009F6EBC"/>
    <w:rsid w:val="009F6F12"/>
    <w:rsid w:val="009F6F2B"/>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3BF"/>
    <w:rsid w:val="00A02453"/>
    <w:rsid w:val="00A0253F"/>
    <w:rsid w:val="00A0259F"/>
    <w:rsid w:val="00A026D8"/>
    <w:rsid w:val="00A0272D"/>
    <w:rsid w:val="00A02BFD"/>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7B6"/>
    <w:rsid w:val="00A10820"/>
    <w:rsid w:val="00A1090B"/>
    <w:rsid w:val="00A10DE6"/>
    <w:rsid w:val="00A10EDD"/>
    <w:rsid w:val="00A111ED"/>
    <w:rsid w:val="00A11257"/>
    <w:rsid w:val="00A116A7"/>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DC"/>
    <w:rsid w:val="00A44A24"/>
    <w:rsid w:val="00A44C0B"/>
    <w:rsid w:val="00A4515E"/>
    <w:rsid w:val="00A45172"/>
    <w:rsid w:val="00A4519D"/>
    <w:rsid w:val="00A453B2"/>
    <w:rsid w:val="00A45493"/>
    <w:rsid w:val="00A4583A"/>
    <w:rsid w:val="00A4589F"/>
    <w:rsid w:val="00A45FD7"/>
    <w:rsid w:val="00A4627C"/>
    <w:rsid w:val="00A4631D"/>
    <w:rsid w:val="00A463D9"/>
    <w:rsid w:val="00A46576"/>
    <w:rsid w:val="00A46725"/>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F7F"/>
    <w:rsid w:val="00A52FAB"/>
    <w:rsid w:val="00A537F2"/>
    <w:rsid w:val="00A53B86"/>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C5"/>
    <w:rsid w:val="00A63DAB"/>
    <w:rsid w:val="00A63EDD"/>
    <w:rsid w:val="00A63FFE"/>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43B"/>
    <w:rsid w:val="00A735E9"/>
    <w:rsid w:val="00A737A2"/>
    <w:rsid w:val="00A739BA"/>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2116"/>
    <w:rsid w:val="00A821FD"/>
    <w:rsid w:val="00A8238E"/>
    <w:rsid w:val="00A823D4"/>
    <w:rsid w:val="00A8250D"/>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B4B"/>
    <w:rsid w:val="00A93CBF"/>
    <w:rsid w:val="00A93DB4"/>
    <w:rsid w:val="00A93E79"/>
    <w:rsid w:val="00A93F36"/>
    <w:rsid w:val="00A93F7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1011"/>
    <w:rsid w:val="00AB112E"/>
    <w:rsid w:val="00AB1A41"/>
    <w:rsid w:val="00AB2046"/>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0FEA"/>
    <w:rsid w:val="00AD105C"/>
    <w:rsid w:val="00AD1286"/>
    <w:rsid w:val="00AD1608"/>
    <w:rsid w:val="00AD16CC"/>
    <w:rsid w:val="00AD1842"/>
    <w:rsid w:val="00AD1876"/>
    <w:rsid w:val="00AD1BB4"/>
    <w:rsid w:val="00AD202D"/>
    <w:rsid w:val="00AD2062"/>
    <w:rsid w:val="00AD21B6"/>
    <w:rsid w:val="00AD2281"/>
    <w:rsid w:val="00AD22E3"/>
    <w:rsid w:val="00AD28BE"/>
    <w:rsid w:val="00AD2CD5"/>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6FD"/>
    <w:rsid w:val="00AE69C6"/>
    <w:rsid w:val="00AE6C25"/>
    <w:rsid w:val="00AE6CB2"/>
    <w:rsid w:val="00AE761D"/>
    <w:rsid w:val="00AE7BCA"/>
    <w:rsid w:val="00AE7FD5"/>
    <w:rsid w:val="00AF0040"/>
    <w:rsid w:val="00AF00BB"/>
    <w:rsid w:val="00AF0368"/>
    <w:rsid w:val="00AF05DE"/>
    <w:rsid w:val="00AF08D1"/>
    <w:rsid w:val="00AF146F"/>
    <w:rsid w:val="00AF17E9"/>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612"/>
    <w:rsid w:val="00B11816"/>
    <w:rsid w:val="00B11D10"/>
    <w:rsid w:val="00B12395"/>
    <w:rsid w:val="00B12985"/>
    <w:rsid w:val="00B12A89"/>
    <w:rsid w:val="00B130D5"/>
    <w:rsid w:val="00B132C3"/>
    <w:rsid w:val="00B13358"/>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523"/>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B86"/>
    <w:rsid w:val="00B27D1B"/>
    <w:rsid w:val="00B27F79"/>
    <w:rsid w:val="00B30016"/>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54C"/>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BDE"/>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72F"/>
    <w:rsid w:val="00B8080C"/>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AE4"/>
    <w:rsid w:val="00B94EBF"/>
    <w:rsid w:val="00B95002"/>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BA"/>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AEC"/>
    <w:rsid w:val="00BD0B02"/>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415D"/>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71F2"/>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5E6"/>
    <w:rsid w:val="00BF4930"/>
    <w:rsid w:val="00BF49B6"/>
    <w:rsid w:val="00BF4B1C"/>
    <w:rsid w:val="00BF4BBE"/>
    <w:rsid w:val="00BF4DD4"/>
    <w:rsid w:val="00BF517E"/>
    <w:rsid w:val="00BF5212"/>
    <w:rsid w:val="00BF55BD"/>
    <w:rsid w:val="00BF5880"/>
    <w:rsid w:val="00BF5B3C"/>
    <w:rsid w:val="00BF5C03"/>
    <w:rsid w:val="00BF5E54"/>
    <w:rsid w:val="00BF5E6B"/>
    <w:rsid w:val="00BF5E7D"/>
    <w:rsid w:val="00BF5EEE"/>
    <w:rsid w:val="00BF6054"/>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510"/>
    <w:rsid w:val="00C23784"/>
    <w:rsid w:val="00C2399B"/>
    <w:rsid w:val="00C23A2B"/>
    <w:rsid w:val="00C23B5A"/>
    <w:rsid w:val="00C23DBE"/>
    <w:rsid w:val="00C242F0"/>
    <w:rsid w:val="00C24CD6"/>
    <w:rsid w:val="00C24D9E"/>
    <w:rsid w:val="00C2512B"/>
    <w:rsid w:val="00C25B31"/>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5E4"/>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4BAA"/>
    <w:rsid w:val="00C55576"/>
    <w:rsid w:val="00C55AF1"/>
    <w:rsid w:val="00C55B3F"/>
    <w:rsid w:val="00C55C9F"/>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70E"/>
    <w:rsid w:val="00C65A91"/>
    <w:rsid w:val="00C66228"/>
    <w:rsid w:val="00C664AF"/>
    <w:rsid w:val="00C6670D"/>
    <w:rsid w:val="00C66968"/>
    <w:rsid w:val="00C66C4B"/>
    <w:rsid w:val="00C67027"/>
    <w:rsid w:val="00C670B2"/>
    <w:rsid w:val="00C6710D"/>
    <w:rsid w:val="00C67194"/>
    <w:rsid w:val="00C675EA"/>
    <w:rsid w:val="00C679FE"/>
    <w:rsid w:val="00C700C4"/>
    <w:rsid w:val="00C700D2"/>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551"/>
    <w:rsid w:val="00C76722"/>
    <w:rsid w:val="00C768F5"/>
    <w:rsid w:val="00C77018"/>
    <w:rsid w:val="00C7710E"/>
    <w:rsid w:val="00C77138"/>
    <w:rsid w:val="00C7718D"/>
    <w:rsid w:val="00C77254"/>
    <w:rsid w:val="00C7731C"/>
    <w:rsid w:val="00C7734B"/>
    <w:rsid w:val="00C774B6"/>
    <w:rsid w:val="00C77ABC"/>
    <w:rsid w:val="00C8063E"/>
    <w:rsid w:val="00C80A42"/>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6016"/>
    <w:rsid w:val="00CA6097"/>
    <w:rsid w:val="00CA624B"/>
    <w:rsid w:val="00CA6D79"/>
    <w:rsid w:val="00CA6DDC"/>
    <w:rsid w:val="00CA6DEA"/>
    <w:rsid w:val="00CA6EF5"/>
    <w:rsid w:val="00CA700F"/>
    <w:rsid w:val="00CA70AA"/>
    <w:rsid w:val="00CA748A"/>
    <w:rsid w:val="00CA74CA"/>
    <w:rsid w:val="00CA792B"/>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4E4C"/>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76D"/>
    <w:rsid w:val="00CC2922"/>
    <w:rsid w:val="00CC29C7"/>
    <w:rsid w:val="00CC2E0D"/>
    <w:rsid w:val="00CC33DC"/>
    <w:rsid w:val="00CC35FC"/>
    <w:rsid w:val="00CC3B6C"/>
    <w:rsid w:val="00CC3E32"/>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45"/>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84C"/>
    <w:rsid w:val="00CD3A86"/>
    <w:rsid w:val="00CD3BC2"/>
    <w:rsid w:val="00CD3C6D"/>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151"/>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4D6"/>
    <w:rsid w:val="00CE368C"/>
    <w:rsid w:val="00CE36EF"/>
    <w:rsid w:val="00CE3A85"/>
    <w:rsid w:val="00CE3BC1"/>
    <w:rsid w:val="00CE3CBC"/>
    <w:rsid w:val="00CE3D79"/>
    <w:rsid w:val="00CE4DCA"/>
    <w:rsid w:val="00CE50D5"/>
    <w:rsid w:val="00CE5130"/>
    <w:rsid w:val="00CE5243"/>
    <w:rsid w:val="00CE5441"/>
    <w:rsid w:val="00CE550E"/>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79"/>
    <w:rsid w:val="00D16A49"/>
    <w:rsid w:val="00D16BD8"/>
    <w:rsid w:val="00D170AA"/>
    <w:rsid w:val="00D1721A"/>
    <w:rsid w:val="00D17431"/>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B19"/>
    <w:rsid w:val="00D72C15"/>
    <w:rsid w:val="00D72E5D"/>
    <w:rsid w:val="00D73054"/>
    <w:rsid w:val="00D73092"/>
    <w:rsid w:val="00D733A6"/>
    <w:rsid w:val="00D7394A"/>
    <w:rsid w:val="00D73ED0"/>
    <w:rsid w:val="00D74208"/>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A056E"/>
    <w:rsid w:val="00DA05C6"/>
    <w:rsid w:val="00DA0641"/>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6F9A"/>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46C"/>
    <w:rsid w:val="00E13503"/>
    <w:rsid w:val="00E13565"/>
    <w:rsid w:val="00E13A5C"/>
    <w:rsid w:val="00E13BFB"/>
    <w:rsid w:val="00E13F32"/>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4075"/>
    <w:rsid w:val="00E2459E"/>
    <w:rsid w:val="00E245B3"/>
    <w:rsid w:val="00E2463A"/>
    <w:rsid w:val="00E24868"/>
    <w:rsid w:val="00E2582D"/>
    <w:rsid w:val="00E258E6"/>
    <w:rsid w:val="00E25A4F"/>
    <w:rsid w:val="00E25DB1"/>
    <w:rsid w:val="00E260F5"/>
    <w:rsid w:val="00E2666E"/>
    <w:rsid w:val="00E269B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B1F"/>
    <w:rsid w:val="00E32C44"/>
    <w:rsid w:val="00E32F06"/>
    <w:rsid w:val="00E331C8"/>
    <w:rsid w:val="00E33296"/>
    <w:rsid w:val="00E33408"/>
    <w:rsid w:val="00E33756"/>
    <w:rsid w:val="00E3377A"/>
    <w:rsid w:val="00E33A33"/>
    <w:rsid w:val="00E33C6B"/>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A85"/>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63A"/>
    <w:rsid w:val="00E43804"/>
    <w:rsid w:val="00E438F8"/>
    <w:rsid w:val="00E43D1F"/>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A83"/>
    <w:rsid w:val="00E61CD6"/>
    <w:rsid w:val="00E61ED5"/>
    <w:rsid w:val="00E623ED"/>
    <w:rsid w:val="00E62575"/>
    <w:rsid w:val="00E62CCB"/>
    <w:rsid w:val="00E63413"/>
    <w:rsid w:val="00E6375D"/>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63F"/>
    <w:rsid w:val="00E7268A"/>
    <w:rsid w:val="00E726CD"/>
    <w:rsid w:val="00E72EC0"/>
    <w:rsid w:val="00E72F16"/>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800"/>
    <w:rsid w:val="00E90E6A"/>
    <w:rsid w:val="00E90F0D"/>
    <w:rsid w:val="00E9123B"/>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670"/>
    <w:rsid w:val="00EB269B"/>
    <w:rsid w:val="00EB282B"/>
    <w:rsid w:val="00EB283D"/>
    <w:rsid w:val="00EB2853"/>
    <w:rsid w:val="00EB28CA"/>
    <w:rsid w:val="00EB2925"/>
    <w:rsid w:val="00EB307E"/>
    <w:rsid w:val="00EB3188"/>
    <w:rsid w:val="00EB3963"/>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7EF"/>
    <w:rsid w:val="00EC384E"/>
    <w:rsid w:val="00EC42EE"/>
    <w:rsid w:val="00EC4B92"/>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71C0"/>
    <w:rsid w:val="00EC731C"/>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3F1"/>
    <w:rsid w:val="00ED190A"/>
    <w:rsid w:val="00ED1A45"/>
    <w:rsid w:val="00ED1B12"/>
    <w:rsid w:val="00ED1E23"/>
    <w:rsid w:val="00ED200C"/>
    <w:rsid w:val="00ED210F"/>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965"/>
    <w:rsid w:val="00F04AAB"/>
    <w:rsid w:val="00F04B0B"/>
    <w:rsid w:val="00F04B86"/>
    <w:rsid w:val="00F04C9C"/>
    <w:rsid w:val="00F04ECE"/>
    <w:rsid w:val="00F05151"/>
    <w:rsid w:val="00F05171"/>
    <w:rsid w:val="00F052E0"/>
    <w:rsid w:val="00F0545C"/>
    <w:rsid w:val="00F05576"/>
    <w:rsid w:val="00F05A7A"/>
    <w:rsid w:val="00F05AB9"/>
    <w:rsid w:val="00F05BE3"/>
    <w:rsid w:val="00F060B2"/>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C4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FAA"/>
    <w:rsid w:val="00F66058"/>
    <w:rsid w:val="00F66115"/>
    <w:rsid w:val="00F66583"/>
    <w:rsid w:val="00F66CCF"/>
    <w:rsid w:val="00F66D45"/>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4053"/>
    <w:rsid w:val="00F7426F"/>
    <w:rsid w:val="00F7430B"/>
    <w:rsid w:val="00F74407"/>
    <w:rsid w:val="00F7442A"/>
    <w:rsid w:val="00F74A49"/>
    <w:rsid w:val="00F74FAF"/>
    <w:rsid w:val="00F75106"/>
    <w:rsid w:val="00F7524D"/>
    <w:rsid w:val="00F7550A"/>
    <w:rsid w:val="00F7557B"/>
    <w:rsid w:val="00F75813"/>
    <w:rsid w:val="00F7583F"/>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205"/>
    <w:rsid w:val="00F97290"/>
    <w:rsid w:val="00F972A5"/>
    <w:rsid w:val="00F97460"/>
    <w:rsid w:val="00F9771E"/>
    <w:rsid w:val="00F97760"/>
    <w:rsid w:val="00F977D0"/>
    <w:rsid w:val="00F978B6"/>
    <w:rsid w:val="00F978E0"/>
    <w:rsid w:val="00F97DB9"/>
    <w:rsid w:val="00F97F43"/>
    <w:rsid w:val="00FA042B"/>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 w:val="71A41C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0"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autoRedefine/>
    <w:qFormat/>
    <w:uiPriority w:val="9"/>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autoRedefine/>
    <w:qFormat/>
    <w:uiPriority w:val="9"/>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3"/>
    <w:autoRedefine/>
    <w:qFormat/>
    <w:uiPriority w:val="9"/>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autoRedefine/>
    <w:qFormat/>
    <w:uiPriority w:val="9"/>
    <w:pPr>
      <w:keepNext/>
      <w:keepLines/>
      <w:numPr>
        <w:ilvl w:val="3"/>
        <w:numId w:val="1"/>
      </w:numPr>
      <w:spacing w:before="80" w:after="80"/>
      <w:ind w:left="567" w:hanging="567"/>
      <w:outlineLvl w:val="3"/>
    </w:pPr>
    <w:rPr>
      <w:b/>
      <w:bCs/>
      <w:sz w:val="26"/>
      <w:szCs w:val="26"/>
      <w:lang w:val="zh-CN" w:eastAsia="zh-CN"/>
    </w:rPr>
  </w:style>
  <w:style w:type="paragraph" w:styleId="6">
    <w:name w:val="heading 5"/>
    <w:basedOn w:val="1"/>
    <w:next w:val="1"/>
    <w:link w:val="85"/>
    <w:autoRedefine/>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autoRedefine/>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autoRedefine/>
    <w:semiHidden/>
    <w:unhideWhenUsed/>
    <w:qFormat/>
    <w:uiPriority w:val="1"/>
  </w:style>
  <w:style w:type="table" w:default="1" w:styleId="34">
    <w:name w:val="Normal Table"/>
    <w:semiHidden/>
    <w:unhideWhenUsed/>
    <w:uiPriority w:val="99"/>
    <w:tblPr>
      <w:tblCellMar>
        <w:top w:w="0" w:type="dxa"/>
        <w:left w:w="108" w:type="dxa"/>
        <w:bottom w:w="0" w:type="dxa"/>
        <w:right w:w="108" w:type="dxa"/>
      </w:tblCellMar>
    </w:tblPr>
  </w:style>
  <w:style w:type="paragraph" w:styleId="10">
    <w:name w:val="toc 7"/>
    <w:basedOn w:val="1"/>
    <w:next w:val="1"/>
    <w:autoRedefine/>
    <w:unhideWhenUsed/>
    <w:qFormat/>
    <w:uiPriority w:val="39"/>
    <w:pPr>
      <w:ind w:left="2520" w:leftChars="1200"/>
    </w:pPr>
  </w:style>
  <w:style w:type="paragraph" w:styleId="11">
    <w:name w:val="Document Map"/>
    <w:basedOn w:val="1"/>
    <w:link w:val="91"/>
    <w:autoRedefine/>
    <w:qFormat/>
    <w:uiPriority w:val="0"/>
    <w:pPr>
      <w:shd w:val="clear" w:color="auto" w:fill="000080"/>
    </w:pPr>
    <w:rPr>
      <w:rFonts w:asciiTheme="minorHAnsi" w:hAnsiTheme="minorHAnsi"/>
    </w:rPr>
  </w:style>
  <w:style w:type="paragraph" w:styleId="12">
    <w:name w:val="annotation text"/>
    <w:basedOn w:val="1"/>
    <w:link w:val="116"/>
    <w:autoRedefine/>
    <w:unhideWhenUsed/>
    <w:qFormat/>
    <w:uiPriority w:val="0"/>
    <w:pPr>
      <w:jc w:val="left"/>
    </w:pPr>
  </w:style>
  <w:style w:type="paragraph" w:styleId="13">
    <w:name w:val="Body Text"/>
    <w:basedOn w:val="1"/>
    <w:link w:val="112"/>
    <w:autoRedefine/>
    <w:qFormat/>
    <w:uiPriority w:val="1"/>
    <w:pPr>
      <w:jc w:val="left"/>
    </w:pPr>
    <w:rPr>
      <w:rFonts w:eastAsia="Arial" w:cs="Arial"/>
      <w:kern w:val="0"/>
      <w:sz w:val="53"/>
      <w:szCs w:val="53"/>
      <w:lang w:eastAsia="en-US"/>
    </w:rPr>
  </w:style>
  <w:style w:type="paragraph" w:styleId="14">
    <w:name w:val="toc 5"/>
    <w:basedOn w:val="1"/>
    <w:next w:val="1"/>
    <w:autoRedefine/>
    <w:unhideWhenUsed/>
    <w:qFormat/>
    <w:uiPriority w:val="39"/>
    <w:pPr>
      <w:ind w:left="1680" w:leftChars="800"/>
    </w:pPr>
  </w:style>
  <w:style w:type="paragraph" w:styleId="15">
    <w:name w:val="toc 3"/>
    <w:basedOn w:val="1"/>
    <w:next w:val="1"/>
    <w:autoRedefine/>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autoRedefine/>
    <w:qFormat/>
    <w:uiPriority w:val="0"/>
    <w:rPr>
      <w:rFonts w:ascii="宋体" w:hAnsi="Courier New" w:cs="Courier New"/>
    </w:rPr>
  </w:style>
  <w:style w:type="paragraph" w:styleId="17">
    <w:name w:val="toc 8"/>
    <w:basedOn w:val="1"/>
    <w:next w:val="1"/>
    <w:autoRedefine/>
    <w:unhideWhenUsed/>
    <w:qFormat/>
    <w:uiPriority w:val="39"/>
    <w:pPr>
      <w:ind w:left="2940" w:leftChars="1400"/>
    </w:pPr>
  </w:style>
  <w:style w:type="paragraph" w:styleId="18">
    <w:name w:val="Date"/>
    <w:basedOn w:val="1"/>
    <w:next w:val="1"/>
    <w:link w:val="120"/>
    <w:autoRedefine/>
    <w:qFormat/>
    <w:uiPriority w:val="0"/>
    <w:pPr>
      <w:ind w:left="100" w:leftChars="2500"/>
    </w:pPr>
  </w:style>
  <w:style w:type="paragraph" w:styleId="19">
    <w:name w:val="endnote text"/>
    <w:basedOn w:val="1"/>
    <w:link w:val="140"/>
    <w:autoRedefine/>
    <w:semiHidden/>
    <w:unhideWhenUsed/>
    <w:qFormat/>
    <w:uiPriority w:val="99"/>
    <w:pPr>
      <w:snapToGrid w:val="0"/>
      <w:jc w:val="left"/>
    </w:pPr>
  </w:style>
  <w:style w:type="paragraph" w:styleId="20">
    <w:name w:val="Balloon Text"/>
    <w:basedOn w:val="1"/>
    <w:link w:val="104"/>
    <w:autoRedefine/>
    <w:unhideWhenUsed/>
    <w:qFormat/>
    <w:uiPriority w:val="99"/>
    <w:rPr>
      <w:rFonts w:cs="Arial"/>
      <w:kern w:val="0"/>
      <w:sz w:val="18"/>
      <w:szCs w:val="18"/>
      <w:lang w:eastAsia="en-US"/>
    </w:rPr>
  </w:style>
  <w:style w:type="paragraph" w:styleId="21">
    <w:name w:val="footer"/>
    <w:basedOn w:val="1"/>
    <w:link w:val="74"/>
    <w:autoRedefine/>
    <w:unhideWhenUsed/>
    <w:qFormat/>
    <w:uiPriority w:val="99"/>
    <w:pPr>
      <w:tabs>
        <w:tab w:val="center" w:pos="4153"/>
        <w:tab w:val="right" w:pos="8306"/>
      </w:tabs>
      <w:snapToGrid w:val="0"/>
      <w:jc w:val="left"/>
    </w:pPr>
    <w:rPr>
      <w:sz w:val="18"/>
      <w:szCs w:val="18"/>
    </w:rPr>
  </w:style>
  <w:style w:type="paragraph" w:styleId="22">
    <w:name w:val="header"/>
    <w:basedOn w:val="1"/>
    <w:link w:val="73"/>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autoRedefine/>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autoRedefine/>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autoRedefine/>
    <w:qFormat/>
    <w:uiPriority w:val="39"/>
    <w:pPr>
      <w:ind w:left="867" w:leftChars="300" w:hanging="567"/>
    </w:pPr>
    <w:rPr>
      <w:color w:val="203864" w:themeColor="accent5" w:themeShade="80"/>
      <w:sz w:val="20"/>
    </w:rPr>
  </w:style>
  <w:style w:type="paragraph" w:styleId="26">
    <w:name w:val="Subtitle"/>
    <w:basedOn w:val="1"/>
    <w:next w:val="1"/>
    <w:link w:val="101"/>
    <w:autoRedefine/>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autoRedefine/>
    <w:unhideWhenUsed/>
    <w:qFormat/>
    <w:uiPriority w:val="39"/>
  </w:style>
  <w:style w:type="paragraph" w:styleId="28">
    <w:name w:val="table of figures"/>
    <w:autoRedefine/>
    <w:qFormat/>
    <w:uiPriority w:val="99"/>
    <w:pPr>
      <w:widowControl w:val="0"/>
      <w:tabs>
        <w:tab w:val="right" w:leader="dot" w:pos="9736"/>
      </w:tabs>
      <w:topLinePunct/>
      <w:spacing w:line="312" w:lineRule="auto"/>
      <w:ind w:left="879" w:hanging="879"/>
    </w:pPr>
    <w:rPr>
      <w:rFonts w:ascii="Frutiger" w:hAnsi="Frutiger" w:eastAsia="宋体" w:cstheme="minorBidi"/>
      <w:kern w:val="2"/>
      <w:sz w:val="20"/>
      <w:szCs w:val="20"/>
      <w:lang w:val="en-US" w:eastAsia="zh-CN" w:bidi="ar-SA"/>
    </w:rPr>
  </w:style>
  <w:style w:type="paragraph" w:styleId="29">
    <w:name w:val="toc 2"/>
    <w:basedOn w:val="24"/>
    <w:next w:val="24"/>
    <w:link w:val="157"/>
    <w:autoRedefine/>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autoRedefine/>
    <w:unhideWhenUsed/>
    <w:qFormat/>
    <w:uiPriority w:val="39"/>
    <w:pPr>
      <w:ind w:left="3360" w:leftChars="1600"/>
    </w:pPr>
  </w:style>
  <w:style w:type="paragraph" w:styleId="31">
    <w:name w:val="Normal (Web)"/>
    <w:basedOn w:val="1"/>
    <w:autoRedefine/>
    <w:unhideWhenUsed/>
    <w:qFormat/>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autoRedefine/>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autoRedefine/>
    <w:qFormat/>
    <w:uiPriority w:val="0"/>
    <w:pPr>
      <w:jc w:val="left"/>
    </w:pPr>
    <w:rPr>
      <w:b/>
      <w:bCs/>
    </w:rPr>
  </w:style>
  <w:style w:type="table" w:styleId="35">
    <w:name w:val="Table Grid"/>
    <w:basedOn w:val="34"/>
    <w:autoRedefine/>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qFormat/>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autoRedefine/>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autoRedefine/>
    <w:unhideWhenUsed/>
    <w:qFormat/>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autoRedefine/>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autoRedefine/>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autoRedefine/>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autoRedefine/>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autoRedefine/>
    <w:unhideWhenUsed/>
    <w:qFormat/>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autoRedefine/>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autoRedefine/>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autoRedefine/>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autoRedefine/>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unhideWhenUsed/>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autoRedefine/>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autoRedefine/>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autoRedefine/>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qFormat/>
    <w:uiPriority w:val="22"/>
    <w:rPr>
      <w:b/>
      <w:bCs/>
    </w:rPr>
  </w:style>
  <w:style w:type="character" w:styleId="69">
    <w:name w:val="endnote reference"/>
    <w:basedOn w:val="67"/>
    <w:autoRedefine/>
    <w:semiHidden/>
    <w:unhideWhenUsed/>
    <w:qFormat/>
    <w:uiPriority w:val="99"/>
    <w:rPr>
      <w:vertAlign w:val="superscript"/>
    </w:rPr>
  </w:style>
  <w:style w:type="character" w:styleId="70">
    <w:name w:val="Emphasis"/>
    <w:autoRedefine/>
    <w:qFormat/>
    <w:uiPriority w:val="0"/>
    <w:rPr>
      <w:i/>
      <w:iCs/>
    </w:rPr>
  </w:style>
  <w:style w:type="character" w:styleId="71">
    <w:name w:val="Hyperlink"/>
    <w:autoRedefine/>
    <w:unhideWhenUsed/>
    <w:qFormat/>
    <w:uiPriority w:val="99"/>
    <w:rPr>
      <w:color w:val="0000FF"/>
      <w:u w:val="single"/>
    </w:rPr>
  </w:style>
  <w:style w:type="character" w:styleId="72">
    <w:name w:val="annotation reference"/>
    <w:autoRedefine/>
    <w:qFormat/>
    <w:uiPriority w:val="0"/>
    <w:rPr>
      <w:sz w:val="21"/>
      <w:szCs w:val="21"/>
    </w:rPr>
  </w:style>
  <w:style w:type="character" w:customStyle="1" w:styleId="73">
    <w:name w:val="页眉 字符"/>
    <w:basedOn w:val="67"/>
    <w:link w:val="22"/>
    <w:autoRedefine/>
    <w:qFormat/>
    <w:uiPriority w:val="99"/>
    <w:rPr>
      <w:sz w:val="18"/>
      <w:szCs w:val="18"/>
    </w:rPr>
  </w:style>
  <w:style w:type="character" w:customStyle="1" w:styleId="74">
    <w:name w:val="页脚 字符"/>
    <w:basedOn w:val="67"/>
    <w:link w:val="21"/>
    <w:qFormat/>
    <w:uiPriority w:val="99"/>
    <w:rPr>
      <w:sz w:val="18"/>
      <w:szCs w:val="18"/>
    </w:rPr>
  </w:style>
  <w:style w:type="character" w:customStyle="1" w:styleId="75">
    <w:name w:val="标题 1 字符"/>
    <w:basedOn w:val="67"/>
    <w:autoRedefine/>
    <w:qFormat/>
    <w:uiPriority w:val="9"/>
    <w:rPr>
      <w:rFonts w:ascii="Times New Roman" w:hAnsi="Times New Roman" w:eastAsia="Times New Roman" w:cs="Times New Roman"/>
      <w:b/>
      <w:bCs/>
      <w:kern w:val="44"/>
      <w:sz w:val="44"/>
      <w:szCs w:val="44"/>
    </w:rPr>
  </w:style>
  <w:style w:type="character" w:customStyle="1" w:styleId="76">
    <w:name w:val="标题 2 字符"/>
    <w:basedOn w:val="67"/>
    <w:autoRedefine/>
    <w:qFormat/>
    <w:uiPriority w:val="9"/>
    <w:rPr>
      <w:rFonts w:asciiTheme="majorHAnsi" w:hAnsiTheme="majorHAnsi" w:eastAsiaTheme="majorEastAsia" w:cstheme="majorBidi"/>
      <w:b/>
      <w:bCs/>
      <w:sz w:val="32"/>
      <w:szCs w:val="32"/>
    </w:rPr>
  </w:style>
  <w:style w:type="character" w:customStyle="1" w:styleId="77">
    <w:name w:val="标题 3 字符"/>
    <w:basedOn w:val="67"/>
    <w:autoRedefine/>
    <w:qFormat/>
    <w:uiPriority w:val="9"/>
    <w:rPr>
      <w:rFonts w:ascii="Times New Roman" w:hAnsi="Times New Roman" w:eastAsia="Times New Roman" w:cs="Times New Roman"/>
      <w:b/>
      <w:bCs/>
      <w:sz w:val="32"/>
      <w:szCs w:val="32"/>
    </w:rPr>
  </w:style>
  <w:style w:type="character" w:customStyle="1" w:styleId="78">
    <w:name w:val="标题 4 字符"/>
    <w:basedOn w:val="67"/>
    <w:autoRedefine/>
    <w:qFormat/>
    <w:uiPriority w:val="9"/>
    <w:rPr>
      <w:rFonts w:asciiTheme="majorHAnsi" w:hAnsiTheme="majorHAnsi" w:eastAsiaTheme="majorEastAsia" w:cstheme="majorBidi"/>
      <w:b/>
      <w:bCs/>
      <w:sz w:val="28"/>
      <w:szCs w:val="28"/>
    </w:rPr>
  </w:style>
  <w:style w:type="character" w:customStyle="1" w:styleId="79">
    <w:name w:val="标题 5 字符"/>
    <w:basedOn w:val="67"/>
    <w:autoRedefine/>
    <w:qFormat/>
    <w:uiPriority w:val="9"/>
    <w:rPr>
      <w:rFonts w:ascii="Times New Roman" w:hAnsi="Times New Roman" w:eastAsia="Times New Roman" w:cs="Times New Roman"/>
      <w:b/>
      <w:bCs/>
      <w:sz w:val="28"/>
      <w:szCs w:val="28"/>
    </w:rPr>
  </w:style>
  <w:style w:type="character" w:customStyle="1" w:styleId="80">
    <w:name w:val="标题 6 字符"/>
    <w:basedOn w:val="67"/>
    <w:autoRedefine/>
    <w:qFormat/>
    <w:uiPriority w:val="9"/>
    <w:rPr>
      <w:rFonts w:asciiTheme="majorHAnsi" w:hAnsiTheme="majorHAnsi" w:eastAsiaTheme="majorEastAsia" w:cstheme="majorBidi"/>
      <w:b/>
      <w:bCs/>
      <w:sz w:val="24"/>
      <w:szCs w:val="24"/>
    </w:rPr>
  </w:style>
  <w:style w:type="character" w:customStyle="1" w:styleId="81">
    <w:name w:val="标题 1 字符1"/>
    <w:link w:val="2"/>
    <w:autoRedefine/>
    <w:qFormat/>
    <w:uiPriority w:val="9"/>
    <w:rPr>
      <w:rFonts w:ascii="Frutiger" w:hAnsi="Frutiger" w:eastAsia="宋体" w:cs="Calibri"/>
      <w:b/>
      <w:color w:val="FF8200"/>
      <w:kern w:val="0"/>
      <w:sz w:val="44"/>
      <w:szCs w:val="32"/>
      <w:lang w:val="en-IN" w:eastAsia="en-US"/>
    </w:rPr>
  </w:style>
  <w:style w:type="character" w:customStyle="1" w:styleId="82">
    <w:name w:val="标题 2 字符1"/>
    <w:link w:val="3"/>
    <w:autoRedefine/>
    <w:qFormat/>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3">
    <w:name w:val="标题 3 字符1"/>
    <w:link w:val="4"/>
    <w:autoRedefine/>
    <w:qFormat/>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字符1"/>
    <w:link w:val="5"/>
    <w:autoRedefine/>
    <w:qFormat/>
    <w:uiPriority w:val="9"/>
    <w:rPr>
      <w:rFonts w:ascii="Frutiger" w:hAnsi="Frutiger" w:eastAsia="宋体"/>
      <w:b/>
      <w:bCs/>
      <w:sz w:val="26"/>
      <w:szCs w:val="26"/>
      <w:lang w:val="zh-CN" w:eastAsia="zh-CN"/>
    </w:rPr>
  </w:style>
  <w:style w:type="character" w:customStyle="1" w:styleId="85">
    <w:name w:val="标题 5 字符1"/>
    <w:link w:val="6"/>
    <w:autoRedefine/>
    <w:qFormat/>
    <w:uiPriority w:val="9"/>
    <w:rPr>
      <w:rFonts w:ascii="Frutiger" w:hAnsi="Frutiger" w:eastAsia="宋体"/>
      <w:b/>
      <w:bCs/>
      <w:sz w:val="28"/>
      <w:szCs w:val="28"/>
    </w:rPr>
  </w:style>
  <w:style w:type="character" w:customStyle="1" w:styleId="86">
    <w:name w:val="标题 6 字符1"/>
    <w:link w:val="7"/>
    <w:autoRedefine/>
    <w:qFormat/>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autoRedefine/>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autoRedefine/>
    <w:qFormat/>
    <w:uiPriority w:val="0"/>
    <w:pPr>
      <w:ind w:left="420" w:hanging="420"/>
    </w:pPr>
    <w:rPr>
      <w:rFonts w:cs="宋体"/>
      <w:b/>
      <w:bCs/>
      <w:color w:val="FFFFFF"/>
      <w:szCs w:val="20"/>
    </w:rPr>
  </w:style>
  <w:style w:type="character" w:customStyle="1" w:styleId="89">
    <w:name w:val="页眉 Char"/>
    <w:autoRedefine/>
    <w:qFormat/>
    <w:uiPriority w:val="0"/>
    <w:rPr>
      <w:rFonts w:ascii="Arial Unicode MS" w:hAnsi="Arial Unicode MS" w:eastAsia="微软雅黑"/>
      <w:kern w:val="2"/>
      <w:sz w:val="18"/>
      <w:szCs w:val="22"/>
    </w:rPr>
  </w:style>
  <w:style w:type="character" w:customStyle="1" w:styleId="90">
    <w:name w:val="页脚 Char"/>
    <w:autoRedefine/>
    <w:qFormat/>
    <w:uiPriority w:val="99"/>
    <w:rPr>
      <w:rFonts w:ascii="Arial Unicode MS" w:hAnsi="Arial Unicode MS" w:eastAsia="微软雅黑"/>
      <w:kern w:val="2"/>
      <w:sz w:val="18"/>
      <w:szCs w:val="22"/>
    </w:rPr>
  </w:style>
  <w:style w:type="character" w:customStyle="1" w:styleId="91">
    <w:name w:val="文档结构图 字符1"/>
    <w:link w:val="11"/>
    <w:autoRedefine/>
    <w:qFormat/>
    <w:uiPriority w:val="0"/>
    <w:rPr>
      <w:rFonts w:eastAsia="Times New Roman"/>
      <w:szCs w:val="21"/>
      <w:shd w:val="clear" w:color="auto" w:fill="000080"/>
    </w:rPr>
  </w:style>
  <w:style w:type="character" w:customStyle="1" w:styleId="92">
    <w:name w:val="文档结构图 字符"/>
    <w:basedOn w:val="67"/>
    <w:autoRedefine/>
    <w:qFormat/>
    <w:uiPriority w:val="99"/>
    <w:rPr>
      <w:rFonts w:ascii="Microsoft YaHei UI" w:hAnsi="Times New Roman" w:eastAsia="Microsoft YaHei UI" w:cs="Times New Roman"/>
      <w:sz w:val="18"/>
      <w:szCs w:val="18"/>
    </w:rPr>
  </w:style>
  <w:style w:type="character" w:customStyle="1" w:styleId="93">
    <w:name w:val="文档结构图 Char1"/>
    <w:qFormat/>
    <w:uiPriority w:val="99"/>
    <w:rPr>
      <w:rFonts w:ascii="宋体" w:hAnsi="Arial Unicode MS"/>
      <w:kern w:val="2"/>
      <w:sz w:val="18"/>
      <w:szCs w:val="18"/>
    </w:rPr>
  </w:style>
  <w:style w:type="character" w:customStyle="1" w:styleId="94">
    <w:name w:val="纯文本 字符"/>
    <w:basedOn w:val="67"/>
    <w:qFormat/>
    <w:uiPriority w:val="99"/>
    <w:rPr>
      <w:rFonts w:hAnsi="Courier New" w:cs="Courier New" w:asciiTheme="minorEastAsia"/>
      <w:szCs w:val="21"/>
    </w:rPr>
  </w:style>
  <w:style w:type="paragraph" w:customStyle="1" w:styleId="95">
    <w:name w:val="_Style 48"/>
    <w:qFormat/>
    <w:uiPriority w:val="63"/>
    <w:rPr>
      <w:rFonts w:ascii="Calibri" w:hAnsi="Calibri" w:eastAsia="宋体" w:cs="Times New Roman"/>
      <w:kern w:val="2"/>
      <w:sz w:val="21"/>
      <w:szCs w:val="21"/>
      <w:lang w:val="en-US" w:eastAsia="zh-CN" w:bidi="ar-SA"/>
    </w:rPr>
  </w:style>
  <w:style w:type="paragraph" w:customStyle="1" w:styleId="96">
    <w:name w:val="TOC Heading"/>
    <w:basedOn w:val="2"/>
    <w:next w:val="1"/>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qFormat/>
    <w:uiPriority w:val="10"/>
    <w:rPr>
      <w:rFonts w:asciiTheme="majorHAnsi" w:hAnsiTheme="majorHAnsi" w:eastAsiaTheme="majorEastAsia" w:cstheme="majorBidi"/>
      <w:b/>
      <w:bCs/>
      <w:sz w:val="32"/>
      <w:szCs w:val="32"/>
    </w:rPr>
  </w:style>
  <w:style w:type="character" w:customStyle="1" w:styleId="98">
    <w:name w:val="标题 字符1"/>
    <w:link w:val="32"/>
    <w:qFormat/>
    <w:uiPriority w:val="10"/>
    <w:rPr>
      <w:rFonts w:ascii="Cambria" w:hAnsi="Cambria" w:eastAsia="宋体" w:cs="Times New Roman"/>
      <w:b/>
      <w:bCs/>
      <w:sz w:val="32"/>
      <w:szCs w:val="32"/>
    </w:rPr>
  </w:style>
  <w:style w:type="paragraph" w:customStyle="1" w:styleId="99">
    <w:name w:val="Revision"/>
    <w:autoRedefine/>
    <w:hidden/>
    <w:semiHidden/>
    <w:qFormat/>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autoRedefine/>
    <w:qFormat/>
    <w:uiPriority w:val="11"/>
    <w:rPr>
      <w:b/>
      <w:bCs/>
      <w:kern w:val="28"/>
      <w:sz w:val="32"/>
      <w:szCs w:val="32"/>
    </w:rPr>
  </w:style>
  <w:style w:type="character" w:customStyle="1" w:styleId="101">
    <w:name w:val="副标题 字符1"/>
    <w:link w:val="26"/>
    <w:qFormat/>
    <w:uiPriority w:val="11"/>
    <w:rPr>
      <w:rFonts w:ascii="Cambria" w:hAnsi="Cambria" w:eastAsia="宋体" w:cs="Times New Roman"/>
      <w:b/>
      <w:bCs/>
      <w:kern w:val="28"/>
      <w:sz w:val="32"/>
      <w:szCs w:val="32"/>
    </w:rPr>
  </w:style>
  <w:style w:type="character" w:customStyle="1" w:styleId="102">
    <w:name w:val="@他1"/>
    <w:autoRedefine/>
    <w:semiHidden/>
    <w:unhideWhenUsed/>
    <w:qFormat/>
    <w:uiPriority w:val="99"/>
    <w:rPr>
      <w:color w:val="2B579A"/>
      <w:shd w:val="clear" w:color="auto" w:fill="E6E6E6"/>
    </w:rPr>
  </w:style>
  <w:style w:type="character" w:customStyle="1" w:styleId="103">
    <w:name w:val="批注框文本 字符"/>
    <w:basedOn w:val="67"/>
    <w:qFormat/>
    <w:uiPriority w:val="99"/>
    <w:rPr>
      <w:rFonts w:ascii="Times New Roman" w:hAnsi="Times New Roman" w:eastAsia="Times New Roman" w:cs="Times New Roman"/>
      <w:sz w:val="18"/>
      <w:szCs w:val="18"/>
    </w:rPr>
  </w:style>
  <w:style w:type="character" w:customStyle="1" w:styleId="104">
    <w:name w:val="批注框文本 字符1"/>
    <w:link w:val="20"/>
    <w:autoRedefine/>
    <w:qFormat/>
    <w:uiPriority w:val="99"/>
    <w:rPr>
      <w:rFonts w:ascii="Arial" w:hAnsi="Arial" w:eastAsia="Times New Roman" w:cs="Arial"/>
      <w:kern w:val="0"/>
      <w:sz w:val="18"/>
      <w:szCs w:val="18"/>
      <w:lang w:eastAsia="en-US"/>
    </w:rPr>
  </w:style>
  <w:style w:type="table" w:customStyle="1" w:styleId="105">
    <w:name w:val="网格表 4 - 着色 11"/>
    <w:basedOn w:val="34"/>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autoRedefine/>
    <w:qFormat/>
    <w:uiPriority w:val="0"/>
    <w:rPr>
      <w:rFonts w:cs="宋体"/>
      <w:szCs w:val="20"/>
    </w:rPr>
  </w:style>
  <w:style w:type="paragraph" w:customStyle="1" w:styleId="107">
    <w:name w:val="样式 标题 5 + (中文) 宋体"/>
    <w:basedOn w:val="6"/>
    <w:autoRedefine/>
    <w:qFormat/>
    <w:uiPriority w:val="0"/>
  </w:style>
  <w:style w:type="character" w:customStyle="1" w:styleId="108">
    <w:name w:val="纯文本 字符1"/>
    <w:link w:val="16"/>
    <w:autoRedefine/>
    <w:qFormat/>
    <w:uiPriority w:val="0"/>
    <w:rPr>
      <w:rFonts w:ascii="宋体" w:hAnsi="Courier New" w:eastAsia="Times New Roman" w:cs="Courier New"/>
      <w:szCs w:val="21"/>
    </w:rPr>
  </w:style>
  <w:style w:type="table" w:customStyle="1" w:styleId="109">
    <w:name w:val="网格表 4 - 着色 12"/>
    <w:basedOn w:val="34"/>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qFormat/>
    <w:uiPriority w:val="99"/>
    <w:rPr>
      <w:rFonts w:ascii="Times New Roman" w:hAnsi="Times New Roman" w:eastAsia="Times New Roman" w:cs="Times New Roman"/>
      <w:szCs w:val="21"/>
    </w:rPr>
  </w:style>
  <w:style w:type="character" w:customStyle="1" w:styleId="112">
    <w:name w:val="正文文本 字符1"/>
    <w:link w:val="13"/>
    <w:autoRedefine/>
    <w:qFormat/>
    <w:uiPriority w:val="1"/>
    <w:rPr>
      <w:rFonts w:ascii="Arial" w:hAnsi="Arial" w:eastAsia="Arial" w:cs="Arial"/>
      <w:kern w:val="0"/>
      <w:sz w:val="53"/>
      <w:szCs w:val="53"/>
      <w:lang w:eastAsia="en-US"/>
    </w:rPr>
  </w:style>
  <w:style w:type="paragraph" w:styleId="113">
    <w:name w:val="List Paragraph"/>
    <w:basedOn w:val="1"/>
    <w:link w:val="147"/>
    <w:qFormat/>
    <w:uiPriority w:val="1"/>
    <w:pPr>
      <w:jc w:val="left"/>
    </w:pPr>
    <w:rPr>
      <w:rFonts w:eastAsia="Arial" w:cs="Arial"/>
      <w:kern w:val="0"/>
      <w:szCs w:val="22"/>
      <w:lang w:eastAsia="en-US"/>
    </w:rPr>
  </w:style>
  <w:style w:type="paragraph" w:customStyle="1" w:styleId="114">
    <w:name w:val="Table Paragraph"/>
    <w:basedOn w:val="1"/>
    <w:autoRedefine/>
    <w:qFormat/>
    <w:uiPriority w:val="1"/>
    <w:pPr>
      <w:jc w:val="left"/>
    </w:pPr>
    <w:rPr>
      <w:rFonts w:eastAsia="Arial" w:cs="Arial"/>
      <w:kern w:val="0"/>
      <w:szCs w:val="22"/>
      <w:lang w:eastAsia="en-US"/>
    </w:rPr>
  </w:style>
  <w:style w:type="character" w:customStyle="1" w:styleId="115">
    <w:name w:val="批注文字 字符"/>
    <w:basedOn w:val="67"/>
    <w:autoRedefine/>
    <w:qFormat/>
    <w:uiPriority w:val="99"/>
    <w:rPr>
      <w:rFonts w:ascii="Times New Roman" w:hAnsi="Times New Roman" w:eastAsia="Times New Roman" w:cs="Times New Roman"/>
      <w:szCs w:val="21"/>
    </w:rPr>
  </w:style>
  <w:style w:type="character" w:customStyle="1" w:styleId="116">
    <w:name w:val="批注文字 字符1"/>
    <w:link w:val="12"/>
    <w:autoRedefine/>
    <w:qFormat/>
    <w:uiPriority w:val="0"/>
    <w:rPr>
      <w:rFonts w:ascii="Times New Roman" w:hAnsi="Times New Roman" w:eastAsia="Times New Roman" w:cs="Times New Roman"/>
      <w:szCs w:val="21"/>
    </w:rPr>
  </w:style>
  <w:style w:type="character" w:customStyle="1" w:styleId="117">
    <w:name w:val="批注主题 字符"/>
    <w:basedOn w:val="115"/>
    <w:autoRedefine/>
    <w:qFormat/>
    <w:uiPriority w:val="99"/>
    <w:rPr>
      <w:rFonts w:ascii="Times New Roman" w:hAnsi="Times New Roman" w:eastAsia="Times New Roman" w:cs="Times New Roman"/>
      <w:b/>
      <w:bCs/>
      <w:szCs w:val="21"/>
    </w:rPr>
  </w:style>
  <w:style w:type="character" w:customStyle="1" w:styleId="118">
    <w:name w:val="批注主题 字符1"/>
    <w:link w:val="33"/>
    <w:autoRedefine/>
    <w:qFormat/>
    <w:uiPriority w:val="0"/>
    <w:rPr>
      <w:rFonts w:ascii="Times New Roman" w:hAnsi="Times New Roman" w:eastAsia="Times New Roman" w:cs="Times New Roman"/>
      <w:b/>
      <w:bCs/>
      <w:szCs w:val="21"/>
    </w:rPr>
  </w:style>
  <w:style w:type="character" w:customStyle="1" w:styleId="119">
    <w:name w:val="日期 字符"/>
    <w:basedOn w:val="67"/>
    <w:autoRedefine/>
    <w:qFormat/>
    <w:uiPriority w:val="99"/>
    <w:rPr>
      <w:rFonts w:ascii="Times New Roman" w:hAnsi="Times New Roman" w:eastAsia="Times New Roman" w:cs="Times New Roman"/>
      <w:szCs w:val="21"/>
    </w:rPr>
  </w:style>
  <w:style w:type="character" w:customStyle="1" w:styleId="120">
    <w:name w:val="日期 字符1"/>
    <w:link w:val="18"/>
    <w:autoRedefine/>
    <w:qFormat/>
    <w:uiPriority w:val="0"/>
    <w:rPr>
      <w:rFonts w:ascii="Times New Roman" w:hAnsi="Times New Roman" w:eastAsia="Times New Roman" w:cs="Times New Roman"/>
      <w:szCs w:val="21"/>
    </w:rPr>
  </w:style>
  <w:style w:type="paragraph" w:customStyle="1" w:styleId="121">
    <w:name w:val="样式 标题 6 + 左侧:  0 厘米 首行缩进:  0 厘米"/>
    <w:basedOn w:val="7"/>
    <w:autoRedefine/>
    <w:qFormat/>
    <w:uiPriority w:val="0"/>
    <w:pPr>
      <w:ind w:left="420" w:hanging="420"/>
    </w:pPr>
    <w:rPr>
      <w:rFonts w:cs="宋体"/>
      <w:szCs w:val="20"/>
    </w:rPr>
  </w:style>
  <w:style w:type="paragraph" w:customStyle="1" w:styleId="122">
    <w:name w:val="样式 标题 6 + 首行缩进:  1 字符"/>
    <w:basedOn w:val="7"/>
    <w:autoRedefine/>
    <w:qFormat/>
    <w:uiPriority w:val="0"/>
    <w:rPr>
      <w:rFonts w:cs="宋体"/>
      <w:szCs w:val="20"/>
    </w:rPr>
  </w:style>
  <w:style w:type="paragraph" w:customStyle="1" w:styleId="123">
    <w:name w:val="样式 图表目录 + 左侧:  2 字符 悬挂缩进: 2 字符"/>
    <w:basedOn w:val="28"/>
    <w:autoRedefine/>
    <w:qFormat/>
    <w:uiPriority w:val="0"/>
    <w:pPr>
      <w:ind w:left="842" w:hanging="422"/>
    </w:pPr>
    <w:rPr>
      <w:rFonts w:cs="宋体"/>
    </w:rPr>
  </w:style>
  <w:style w:type="paragraph" w:customStyle="1" w:styleId="124">
    <w:name w:val="样式 图表目录 + 左侧:  2 字符 悬挂缩进: 2 字符1"/>
    <w:basedOn w:val="28"/>
    <w:autoRedefine/>
    <w:qFormat/>
    <w:uiPriority w:val="0"/>
    <w:rPr>
      <w:rFonts w:cs="宋体"/>
    </w:rPr>
  </w:style>
  <w:style w:type="paragraph" w:customStyle="1" w:styleId="125">
    <w:name w:val="样式 11 磅 右"/>
    <w:basedOn w:val="1"/>
    <w:next w:val="1"/>
    <w:autoRedefine/>
    <w:qFormat/>
    <w:uiPriority w:val="0"/>
    <w:pPr>
      <w:jc w:val="right"/>
    </w:pPr>
    <w:rPr>
      <w:rFonts w:cs="宋体"/>
      <w:kern w:val="0"/>
      <w:szCs w:val="20"/>
    </w:rPr>
  </w:style>
  <w:style w:type="paragraph" w:customStyle="1" w:styleId="126">
    <w:name w:val="样式 10 磅 左"/>
    <w:basedOn w:val="1"/>
    <w:next w:val="1"/>
    <w:qFormat/>
    <w:uiPriority w:val="0"/>
    <w:pPr>
      <w:jc w:val="left"/>
    </w:pPr>
    <w:rPr>
      <w:rFonts w:cs="宋体"/>
      <w:kern w:val="0"/>
      <w:sz w:val="20"/>
      <w:szCs w:val="20"/>
    </w:rPr>
  </w:style>
  <w:style w:type="paragraph" w:customStyle="1" w:styleId="127">
    <w:name w:val="样式 10 磅 左1"/>
    <w:basedOn w:val="1"/>
    <w:next w:val="1"/>
    <w:autoRedefine/>
    <w:qFormat/>
    <w:uiPriority w:val="0"/>
    <w:pPr>
      <w:jc w:val="left"/>
    </w:pPr>
    <w:rPr>
      <w:rFonts w:cs="宋体"/>
      <w:kern w:val="0"/>
      <w:sz w:val="20"/>
      <w:szCs w:val="20"/>
    </w:rPr>
  </w:style>
  <w:style w:type="paragraph" w:customStyle="1" w:styleId="128">
    <w:name w:val="样式 10 磅 左2"/>
    <w:basedOn w:val="1"/>
    <w:next w:val="1"/>
    <w:autoRedefine/>
    <w:qFormat/>
    <w:uiPriority w:val="0"/>
    <w:pPr>
      <w:jc w:val="left"/>
    </w:pPr>
    <w:rPr>
      <w:rFonts w:cs="宋体"/>
      <w:kern w:val="0"/>
      <w:szCs w:val="20"/>
    </w:rPr>
  </w:style>
  <w:style w:type="paragraph" w:customStyle="1" w:styleId="129">
    <w:name w:val="样式 加粗 倾斜 左"/>
    <w:basedOn w:val="1"/>
    <w:next w:val="1"/>
    <w:autoRedefine/>
    <w:qFormat/>
    <w:uiPriority w:val="0"/>
    <w:pPr>
      <w:jc w:val="left"/>
    </w:pPr>
    <w:rPr>
      <w:rFonts w:cs="宋体"/>
      <w:b/>
      <w:bCs/>
      <w:i/>
      <w:iCs/>
      <w:kern w:val="0"/>
      <w:szCs w:val="20"/>
    </w:rPr>
  </w:style>
  <w:style w:type="character" w:customStyle="1" w:styleId="130">
    <w:name w:val="apple-converted-space"/>
    <w:qFormat/>
    <w:uiPriority w:val="0"/>
  </w:style>
  <w:style w:type="paragraph" w:styleId="131">
    <w:name w:val="No Spacing"/>
    <w:link w:val="132"/>
    <w:autoRedefine/>
    <w:qFormat/>
    <w:uiPriority w:val="1"/>
    <w:rPr>
      <w:rFonts w:ascii="Calibri" w:hAnsi="Calibri" w:eastAsia="宋体" w:cs="Times New Roman"/>
      <w:kern w:val="0"/>
      <w:sz w:val="22"/>
      <w:szCs w:val="21"/>
      <w:lang w:val="en-US" w:eastAsia="zh-CN" w:bidi="ar-SA"/>
    </w:rPr>
  </w:style>
  <w:style w:type="character" w:customStyle="1" w:styleId="132">
    <w:name w:val="无间隔 字符"/>
    <w:link w:val="131"/>
    <w:autoRedefine/>
    <w:qFormat/>
    <w:uiPriority w:val="1"/>
    <w:rPr>
      <w:rFonts w:ascii="Calibri" w:hAnsi="Calibri" w:eastAsia="宋体" w:cs="Times New Roman"/>
      <w:kern w:val="0"/>
      <w:sz w:val="22"/>
    </w:rPr>
  </w:style>
  <w:style w:type="paragraph" w:customStyle="1" w:styleId="133">
    <w:name w:val="概述标题"/>
    <w:basedOn w:val="1"/>
    <w:autoRedefine/>
    <w:qFormat/>
    <w:uiPriority w:val="0"/>
    <w:rPr>
      <w:b/>
    </w:rPr>
  </w:style>
  <w:style w:type="table" w:customStyle="1" w:styleId="134">
    <w:name w:val="网格表 4 - 着色 13"/>
    <w:basedOn w:val="34"/>
    <w:autoRedefine/>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autoRedefine/>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autoRedefine/>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autoRedefine/>
    <w:semiHidden/>
    <w:unhideWhenUsed/>
    <w:uiPriority w:val="99"/>
    <w:rPr>
      <w:color w:val="605E5C"/>
      <w:shd w:val="clear" w:color="auto" w:fill="E1DFDD"/>
    </w:rPr>
  </w:style>
  <w:style w:type="character" w:customStyle="1" w:styleId="138">
    <w:name w:val="Bold text_1 Char"/>
    <w:link w:val="24"/>
    <w:autoRedefine/>
    <w:qFormat/>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autoRedefine/>
    <w:uiPriority w:val="0"/>
    <w:pPr>
      <w:pBdr>
        <w:bottom w:val="single" w:color="auto" w:sz="4" w:space="6"/>
      </w:pBdr>
      <w:spacing w:after="160"/>
    </w:pPr>
    <w:rPr>
      <w:rFonts w:ascii="Calibri" w:hAnsi="Calibri" w:cs="Calibri" w:eastAsiaTheme="minorEastAsia"/>
      <w:b/>
      <w:caps/>
      <w:color w:val="2E75B6" w:themeColor="accent1" w:themeShade="BF"/>
      <w:spacing w:val="-3"/>
      <w:kern w:val="0"/>
      <w:sz w:val="40"/>
      <w:szCs w:val="40"/>
      <w:lang w:val="en-US" w:eastAsia="en-IN" w:bidi="ar-SA"/>
    </w:rPr>
  </w:style>
  <w:style w:type="character" w:customStyle="1" w:styleId="140">
    <w:name w:val="尾注文本 字符"/>
    <w:basedOn w:val="67"/>
    <w:link w:val="19"/>
    <w:autoRedefine/>
    <w:semiHidden/>
    <w:qFormat/>
    <w:uiPriority w:val="99"/>
    <w:rPr>
      <w:rFonts w:ascii="Times New Roman" w:hAnsi="Times New Roman"/>
    </w:rPr>
  </w:style>
  <w:style w:type="character" w:customStyle="1" w:styleId="141">
    <w:name w:val="未处理的提及11"/>
    <w:basedOn w:val="67"/>
    <w:autoRedefine/>
    <w:semiHidden/>
    <w:unhideWhenUsed/>
    <w:qFormat/>
    <w:uiPriority w:val="99"/>
    <w:rPr>
      <w:color w:val="605E5C"/>
      <w:shd w:val="clear" w:color="auto" w:fill="E1DFDD"/>
    </w:rPr>
  </w:style>
  <w:style w:type="character" w:customStyle="1" w:styleId="142">
    <w:name w:val="未处理的提及2"/>
    <w:basedOn w:val="67"/>
    <w:autoRedefine/>
    <w:semiHidden/>
    <w:unhideWhenUsed/>
    <w:qFormat/>
    <w:uiPriority w:val="99"/>
    <w:rPr>
      <w:color w:val="605E5C"/>
      <w:shd w:val="clear" w:color="auto" w:fill="E1DFDD"/>
    </w:rPr>
  </w:style>
  <w:style w:type="paragraph" w:customStyle="1" w:styleId="143">
    <w:name w:val="Source"/>
    <w:basedOn w:val="1"/>
    <w:link w:val="144"/>
    <w:autoRedefine/>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4">
    <w:name w:val="Source 字符"/>
    <w:basedOn w:val="67"/>
    <w:link w:val="143"/>
    <w:autoRedefine/>
    <w:qFormat/>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5">
    <w:name w:val="正文-段落"/>
    <w:basedOn w:val="1"/>
    <w:link w:val="146"/>
    <w:autoRedefine/>
    <w:qFormat/>
    <w:uiPriority w:val="0"/>
    <w:pPr>
      <w:widowControl/>
      <w:topLinePunct w:val="0"/>
      <w:spacing w:before="320" w:after="8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autoRedefine/>
    <w:qFormat/>
    <w:uiPriority w:val="0"/>
    <w:rPr>
      <w:rFonts w:ascii="Tahoma" w:hAnsi="Tahoma" w:eastAsia="宋体"/>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列表段落 字符"/>
    <w:basedOn w:val="67"/>
    <w:link w:val="113"/>
    <w:autoRedefine/>
    <w:qFormat/>
    <w:uiPriority w:val="1"/>
    <w:rPr>
      <w:rFonts w:ascii="Arial" w:hAnsi="Arial" w:eastAsia="Arial" w:cs="Arial"/>
      <w:kern w:val="0"/>
      <w:sz w:val="22"/>
      <w:szCs w:val="22"/>
      <w:lang w:eastAsia="en-US"/>
    </w:rPr>
  </w:style>
  <w:style w:type="paragraph" w:customStyle="1" w:styleId="148">
    <w:name w:val="Figure Style"/>
    <w:basedOn w:val="113"/>
    <w:link w:val="150"/>
    <w:autoRedefine/>
    <w:qFormat/>
    <w:uiPriority w:val="0"/>
    <w:pPr>
      <w:keepNext/>
      <w:keepLines/>
      <w:numPr>
        <w:ilvl w:val="0"/>
        <w:numId w:val="2"/>
      </w:numPr>
      <w:pBdr>
        <w:bottom w:val="single" w:color="auto" w:sz="4" w:space="1"/>
      </w:pBdr>
      <w:tabs>
        <w:tab w:val="left" w:pos="284"/>
      </w:tabs>
      <w:spacing w:before="240" w:after="120"/>
    </w:pPr>
    <w:rPr>
      <w:rFonts w:eastAsia="宋体"/>
      <w:b/>
      <w:color w:val="FF8200"/>
    </w:rPr>
  </w:style>
  <w:style w:type="character" w:customStyle="1" w:styleId="149">
    <w:name w:val="Figure Style Char"/>
    <w:basedOn w:val="147"/>
    <w:autoRedefine/>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autoRedefine/>
    <w:qFormat/>
    <w:uiPriority w:val="0"/>
    <w:rPr>
      <w:rFonts w:ascii="Tahoma" w:hAnsi="Tahoma" w:eastAsia="宋体" w:cs="Arial"/>
      <w:b/>
      <w:color w:val="FF8200"/>
      <w:kern w:val="0"/>
      <w:sz w:val="22"/>
      <w:szCs w:val="22"/>
      <w:lang w:eastAsia="en-US"/>
    </w:rPr>
  </w:style>
  <w:style w:type="paragraph" w:customStyle="1" w:styleId="151">
    <w:name w:val="Table Style"/>
    <w:basedOn w:val="113"/>
    <w:link w:val="152"/>
    <w:autoRedefine/>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autoRedefine/>
    <w:qFormat/>
    <w:uiPriority w:val="0"/>
    <w:rPr>
      <w:rFonts w:ascii="Frutiger" w:hAnsi="Frutiger" w:eastAsia="宋体"/>
      <w:b/>
      <w:color w:val="FF8200"/>
      <w:kern w:val="0"/>
      <w:szCs w:val="22"/>
      <w:lang w:val="en-IN" w:eastAsia="en-US"/>
    </w:rPr>
  </w:style>
  <w:style w:type="paragraph" w:customStyle="1" w:styleId="153">
    <w:name w:val="Table of Contents"/>
    <w:basedOn w:val="139"/>
    <w:link w:val="154"/>
    <w:autoRedefine/>
    <w:qFormat/>
    <w:uiPriority w:val="0"/>
    <w:pPr>
      <w:pageBreakBefore/>
      <w:jc w:val="both"/>
    </w:pPr>
    <w:rPr>
      <w:szCs w:val="20"/>
    </w:rPr>
  </w:style>
  <w:style w:type="character" w:customStyle="1" w:styleId="154">
    <w:name w:val="Table of Contents Char"/>
    <w:basedOn w:val="67"/>
    <w:link w:val="153"/>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autoRedefine/>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autoRedefine/>
    <w:qFormat/>
    <w:uiPriority w:val="0"/>
    <w:pPr>
      <w:tabs>
        <w:tab w:val="right" w:pos="9736"/>
      </w:tabs>
    </w:pPr>
  </w:style>
  <w:style w:type="character" w:customStyle="1" w:styleId="157">
    <w:name w:val="TOC 2 字符"/>
    <w:basedOn w:val="67"/>
    <w:link w:val="29"/>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autoRedefine/>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autoRedefine/>
    <w:semiHidden/>
    <w:unhideWhenUsed/>
    <w:qFormat/>
    <w:uiPriority w:val="99"/>
    <w:rPr>
      <w:color w:val="605E5C"/>
      <w:shd w:val="clear" w:color="auto" w:fill="E1DFDD"/>
    </w:rPr>
  </w:style>
  <w:style w:type="table" w:customStyle="1" w:styleId="160">
    <w:name w:val="List Table 2 Accent 4"/>
    <w:basedOn w:val="34"/>
    <w:autoRedefine/>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autoRedefine/>
    <w:qFormat/>
    <w:uiPriority w:val="99"/>
    <w:rPr>
      <w:rFonts w:eastAsia="Times New Roman"/>
      <w:color w:val="00B050"/>
      <w:kern w:val="0"/>
      <w:sz w:val="20"/>
      <w:szCs w:val="20"/>
    </w:rPr>
  </w:style>
  <w:style w:type="character" w:customStyle="1" w:styleId="162">
    <w:name w:val="未处理的提及31"/>
    <w:basedOn w:val="67"/>
    <w:autoRedefine/>
    <w:semiHidden/>
    <w:unhideWhenUsed/>
    <w:qFormat/>
    <w:uiPriority w:val="99"/>
    <w:rPr>
      <w:color w:val="605E5C"/>
      <w:shd w:val="clear" w:color="auto" w:fill="E1DFDD"/>
    </w:rPr>
  </w:style>
  <w:style w:type="paragraph" w:customStyle="1" w:styleId="163">
    <w:name w:val="Paragraph"/>
    <w:basedOn w:val="1"/>
    <w:link w:val="164"/>
    <w:autoRedefine/>
    <w:qFormat/>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autoRedefine/>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List Table 1 Light Accent 1"/>
    <w:basedOn w:val="34"/>
    <w:autoRedefine/>
    <w:qFormat/>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autoRedefine/>
    <w:semiHidden/>
    <w:unhideWhenUsed/>
    <w:qFormat/>
    <w:uiPriority w:val="99"/>
    <w:rPr>
      <w:color w:val="605E5C"/>
      <w:shd w:val="clear" w:color="auto" w:fill="E1DFDD"/>
    </w:rPr>
  </w:style>
  <w:style w:type="paragraph" w:customStyle="1" w:styleId="167">
    <w:name w:val="概述"/>
    <w:basedOn w:val="139"/>
    <w:link w:val="169"/>
    <w:autoRedefine/>
    <w:qFormat/>
    <w:uiPriority w:val="0"/>
    <w:pPr>
      <w:keepNext/>
      <w:spacing w:after="120"/>
    </w:pPr>
    <w:rPr>
      <w:rFonts w:ascii="Tahoma" w:hAnsi="Tahoma" w:eastAsia="宋体"/>
      <w:caps w:val="0"/>
      <w:color w:val="FF8200"/>
      <w:sz w:val="24"/>
    </w:rPr>
  </w:style>
  <w:style w:type="character" w:customStyle="1" w:styleId="168">
    <w:name w:val="Style1 字符"/>
    <w:basedOn w:val="67"/>
    <w:link w:val="139"/>
    <w:autoRedefine/>
    <w:qFormat/>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autoRedefine/>
    <w:qFormat/>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uiPriority w:val="73"/>
    <w:rPr>
      <w:rFonts w:ascii="Calibri" w:hAnsi="Calibri" w:eastAsia="宋体" w:cs="Times New Roman"/>
      <w:color w:val="000000"/>
      <w:kern w:val="0"/>
      <w:sz w:val="20"/>
      <w:szCs w:val="2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autoRedefine/>
    <w:uiPriority w:val="70"/>
    <w:rPr>
      <w:rFonts w:ascii="Calibri" w:hAnsi="Calibri" w:eastAsia="宋体" w:cs="Times New Roman"/>
      <w:color w:val="FFFFFF"/>
      <w:kern w:val="0"/>
      <w:sz w:val="20"/>
      <w:szCs w:val="20"/>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autoRedefine/>
    <w:qFormat/>
    <w:uiPriority w:val="70"/>
    <w:rPr>
      <w:rFonts w:ascii="Calibri" w:hAnsi="Calibri" w:eastAsia="宋体" w:cs="Times New Roman"/>
      <w:color w:val="FFFFFF"/>
      <w:kern w:val="0"/>
      <w:sz w:val="20"/>
      <w:szCs w:val="20"/>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autoRedefine/>
    <w:qFormat/>
    <w:uiPriority w:val="70"/>
    <w:rPr>
      <w:rFonts w:ascii="Calibri" w:hAnsi="Calibri" w:eastAsia="宋体" w:cs="Times New Roman"/>
      <w:color w:val="FFFFFF"/>
      <w:kern w:val="0"/>
      <w:sz w:val="20"/>
      <w:szCs w:val="20"/>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autoRedefine/>
    <w:qFormat/>
    <w:uiPriority w:val="63"/>
    <w:rPr>
      <w:rFonts w:ascii="Calibri" w:hAnsi="Calibri" w:eastAsia="宋体" w:cs="Times New Roman"/>
      <w:kern w:val="0"/>
      <w:sz w:val="20"/>
      <w:szCs w:val="20"/>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qFormat/>
    <w:uiPriority w:val="61"/>
    <w:rPr>
      <w:rFonts w:ascii="Calibri" w:hAnsi="Calibri" w:eastAsia="宋体" w:cs="Times New Roman"/>
      <w:kern w:val="0"/>
      <w:sz w:val="20"/>
      <w:szCs w:val="20"/>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qFormat/>
    <w:uiPriority w:val="61"/>
    <w:rPr>
      <w:rFonts w:ascii="Calibri" w:hAnsi="Calibri" w:eastAsia="宋体" w:cs="Times New Roman"/>
      <w:kern w:val="0"/>
      <w:sz w:val="20"/>
      <w:szCs w:val="20"/>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qFormat/>
    <w:uiPriority w:val="61"/>
    <w:rPr>
      <w:rFonts w:ascii="Calibri" w:hAnsi="Calibri" w:eastAsia="宋体" w:cs="Times New Roman"/>
      <w:kern w:val="0"/>
      <w:sz w:val="20"/>
      <w:szCs w:val="20"/>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autoRedefine/>
    <w:qFormat/>
    <w:uiPriority w:val="63"/>
    <w:rPr>
      <w:rFonts w:ascii="Calibri" w:hAnsi="Calibri" w:eastAsia="宋体" w:cs="Times New Roman"/>
      <w:kern w:val="0"/>
      <w:sz w:val="20"/>
      <w:szCs w:val="20"/>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autoRedefine/>
    <w:qFormat/>
    <w:uiPriority w:val="69"/>
    <w:rPr>
      <w:rFonts w:ascii="Calibri" w:hAnsi="Calibri"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qFormat/>
    <w:uiPriority w:val="61"/>
    <w:rPr>
      <w:rFonts w:ascii="Calibri" w:hAnsi="Calibri" w:eastAsia="宋体" w:cs="Times New Roman"/>
      <w:kern w:val="0"/>
      <w:sz w:val="20"/>
      <w:szCs w:val="20"/>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autoRedefine/>
    <w:qFormat/>
    <w:uiPriority w:val="69"/>
    <w:rPr>
      <w:rFonts w:ascii="Times New Roman" w:hAnsi="Times New Roman"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qFormat/>
    <w:uiPriority w:val="67"/>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qFormat/>
    <w:uiPriority w:val="63"/>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autoRedefine/>
    <w:qFormat/>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qFormat/>
    <w:uiPriority w:val="63"/>
    <w:rPr>
      <w:rFonts w:ascii="Times New Roman" w:hAnsi="Times New Roman" w:eastAsia="宋体" w:cs="Times New Roman"/>
      <w:kern w:val="0"/>
      <w:sz w:val="20"/>
      <w:szCs w:val="20"/>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autoRedefine/>
    <w:qFormat/>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autoRedefine/>
    <w:qFormat/>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autoRedefine/>
    <w:semiHidden/>
    <w:unhideWhenUsed/>
    <w:qFormat/>
    <w:uiPriority w:val="99"/>
    <w:rPr>
      <w:color w:val="605E5C"/>
      <w:shd w:val="clear" w:color="auto" w:fill="E1DFDD"/>
    </w:rPr>
  </w:style>
  <w:style w:type="character" w:customStyle="1" w:styleId="192">
    <w:name w:val="标题 7 字符"/>
    <w:basedOn w:val="67"/>
    <w:link w:val="8"/>
    <w:qFormat/>
    <w:uiPriority w:val="9"/>
    <w:rPr>
      <w:rFonts w:ascii="Book Antiqua" w:hAnsi="Book Antiqua" w:eastAsia="宋体"/>
      <w:b/>
      <w:bCs/>
      <w:color w:val="1A1A1A" w:themeColor="background1" w:themeShade="1A"/>
      <w:szCs w:val="24"/>
    </w:rPr>
  </w:style>
  <w:style w:type="character" w:customStyle="1" w:styleId="193">
    <w:name w:val="标题 8 字符"/>
    <w:basedOn w:val="67"/>
    <w:link w:val="9"/>
    <w:semiHidden/>
    <w:qFormat/>
    <w:uiPriority w:val="9"/>
    <w:rPr>
      <w:rFonts w:asciiTheme="majorHAnsi" w:hAnsiTheme="majorHAnsi" w:eastAsiaTheme="majorEastAsia" w:cstheme="majorBidi"/>
      <w:sz w:val="24"/>
      <w:szCs w:val="24"/>
    </w:rPr>
  </w:style>
  <w:style w:type="character" w:customStyle="1" w:styleId="194">
    <w:name w:val="未处理的提及5"/>
    <w:basedOn w:val="67"/>
    <w:autoRedefine/>
    <w:semiHidden/>
    <w:unhideWhenUsed/>
    <w:qFormat/>
    <w:uiPriority w:val="99"/>
    <w:rPr>
      <w:color w:val="605E5C"/>
      <w:shd w:val="clear" w:color="auto" w:fill="E1DFDD"/>
    </w:rPr>
  </w:style>
  <w:style w:type="table" w:customStyle="1" w:styleId="195">
    <w:name w:val="List Table 2 Accent 2"/>
    <w:basedOn w:val="34"/>
    <w:qFormat/>
    <w:uiPriority w:val="47"/>
    <w:rPr>
      <w:kern w:val="0"/>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autoRedefine/>
    <w:qFormat/>
    <w:uiPriority w:val="99"/>
    <w:pPr>
      <w:jc w:val="both"/>
    </w:pPr>
    <w:rPr>
      <w:rFonts w:ascii="Calibri" w:hAnsi="Calibri" w:eastAsia="Calibri"/>
      <w:color w:val="000000" w:themeColor="text1"/>
      <w:kern w:val="0"/>
      <w:sz w:val="22"/>
      <w:szCs w:val="20"/>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Grid Table 2"/>
    <w:basedOn w:val="34"/>
    <w:autoRedefine/>
    <w:qFormat/>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Grid Table 2 Accent 4"/>
    <w:basedOn w:val="34"/>
    <w:autoRedefine/>
    <w:qFormat/>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Grid Table 2 Accent 5"/>
    <w:basedOn w:val="34"/>
    <w:autoRedefine/>
    <w:qFormat/>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autoRedefine/>
    <w:qFormat/>
    <w:uiPriority w:val="99"/>
  </w:style>
  <w:style w:type="table" w:customStyle="1" w:styleId="201">
    <w:name w:val="List Table 2 Accent 5"/>
    <w:basedOn w:val="34"/>
    <w:autoRedefine/>
    <w:qFormat/>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List Table 1 Light Accent 5"/>
    <w:basedOn w:val="34"/>
    <w:qFormat/>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qFormat/>
    <w:uiPriority w:val="0"/>
    <w:pPr>
      <w:spacing w:before="80" w:after="80"/>
    </w:pPr>
    <w:rPr>
      <w:rFonts w:ascii="Tahoma" w:hAnsi="Tahoma" w:eastAsia="宋体" w:cstheme="minorBidi"/>
      <w:kern w:val="0"/>
      <w:sz w:val="21"/>
      <w:szCs w:val="22"/>
      <w:lang w:val="en-IN" w:eastAsia="en-US" w:bidi="ar-SA"/>
    </w:rPr>
  </w:style>
  <w:style w:type="character" w:customStyle="1" w:styleId="204">
    <w:name w:val="Unresolved Mention"/>
    <w:basedOn w:val="67"/>
    <w:autoRedefine/>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theme" Target="theme/theme1.xml"/><Relationship Id="rId7" Type="http://schemas.openxmlformats.org/officeDocument/2006/relationships/footer" Target="footer1.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customXml" Target="../customXml/item2.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image" Target="media/image6.png"/><Relationship Id="rId11" Type="http://schemas.openxmlformats.org/officeDocument/2006/relationships/image" Target="media/image5.png"/><Relationship Id="rId10" Type="http://schemas.openxmlformats.org/officeDocument/2006/relationships/image" Target="media/image4.pn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Info spid="_x0000_s1032"/>
    <customShpInfo spid="_x0000_s103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F19C77F-A8DE-416F-A2F8-FE3DCC1B32E5}">
  <ds:schemaRefs/>
</ds:datastoreItem>
</file>

<file path=docProps/app.xml><?xml version="1.0" encoding="utf-8"?>
<Properties xmlns="http://schemas.openxmlformats.org/officeDocument/2006/extended-properties" xmlns:vt="http://schemas.openxmlformats.org/officeDocument/2006/docPropsVTypes">
  <Template>Normal</Template>
  <Pages>4</Pages>
  <Words>197</Words>
  <Characters>1129</Characters>
  <Lines>9</Lines>
  <Paragraphs>2</Paragraphs>
  <TotalTime>667</TotalTime>
  <ScaleCrop>false</ScaleCrop>
  <LinksUpToDate>false</LinksUpToDate>
  <CharactersWithSpaces>1324</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2021-11-11T07:47:00Z</dcterms:created>
  <dc:creator>yangj</dc:creator>
  <cp:lastModifiedBy>*星*空夜@话</cp:lastModifiedBy>
  <dcterms:modified xsi:type="dcterms:W3CDTF">2024-02-04T07:25:48Z</dcterms:modified>
  <cp:revision>815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9F3F9407FC834A81ADA110EF1C1AC40B_12</vt:lpwstr>
  </property>
</Properties>
</file>