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rFonts w:hint="eastAsia"/>
          <w:lang w:eastAsia="zh-CN"/>
        </w:rPr>
      </w:pPr>
      <w:bookmarkStart w:id="0" w:name="_Toc418070112"/>
      <w:bookmarkStart w:id="1" w:name="OLE_LINK24"/>
      <w:bookmarkStart w:id="2" w:name="_Toc481801204"/>
      <w:bookmarkStart w:id="3" w:name="OLE_LINK13"/>
      <w:bookmarkStart w:id="4" w:name="OLE_LINK15"/>
      <w:bookmarkStart w:id="5" w:name="_Toc415143481"/>
      <w:bookmarkStart w:id="6" w:name="_Toc453597319"/>
      <w:bookmarkStart w:id="7" w:name="_Toc415818939"/>
      <w:bookmarkStart w:id="8" w:name="_Toc415142861"/>
      <w:bookmarkStart w:id="9" w:name="OLE_LINK40"/>
      <w:bookmarkStart w:id="10" w:name="OLE_LINK39"/>
      <w:bookmarkStart w:id="11" w:name="_Toc438987549"/>
      <w:bookmarkStart w:id="12" w:name="_Toc517262917"/>
      <w:r>
        <w:rPr>
          <w:lang w:eastAsia="zh-CN"/>
        </w:rPr>
        <w:t>注射真皮填充</w:t>
      </w:r>
      <w:r>
        <w:rPr>
          <w:rFonts w:hint="eastAsia"/>
          <w:lang w:eastAsia="zh-CN"/>
        </w:rPr>
        <w:t>全球市场总体规模</w:t>
      </w:r>
    </w:p>
    <w:p>
      <w:pPr>
        <w:widowControl/>
        <w:topLinePunct w:val="0"/>
        <w:spacing w:after="0"/>
        <w:rPr>
          <w:lang w:val="en-US" w:eastAsia="zh-CN"/>
        </w:rPr>
      </w:pPr>
      <w:r>
        <w:rPr>
          <w:rFonts w:ascii="Book Antiqua" w:hAnsi="Book Antiqua" w:cs="宋体"/>
          <w:kern w:val="0"/>
          <w:sz w:val="24"/>
          <w:szCs w:val="24"/>
        </w:rPr>
        <w:t>据QYResearch调研团队最新报告“全球注射真皮填充市场报告2023-2029”显示，</w:t>
      </w:r>
      <w:bookmarkStart w:id="13" w:name="_GoBack"/>
      <w:r>
        <w:rPr>
          <w:rFonts w:ascii="Book Antiqua" w:hAnsi="Book Antiqua" w:cs="宋体"/>
          <w:kern w:val="0"/>
          <w:sz w:val="24"/>
          <w:szCs w:val="24"/>
        </w:rPr>
        <w:t>预计2029年全球注射真皮填充市场规模将达到137.6亿美元</w:t>
      </w:r>
      <w:bookmarkEnd w:id="13"/>
      <w:r>
        <w:rPr>
          <w:rFonts w:ascii="Book Antiqua" w:hAnsi="Book Antiqua" w:cs="宋体"/>
          <w:kern w:val="0"/>
          <w:sz w:val="24"/>
          <w:szCs w:val="24"/>
        </w:rPr>
        <w:t>，未来几年年复合增长率CAGR为12.7%。</w:t>
      </w:r>
    </w:p>
    <w:p>
      <w:pPr>
        <w:pStyle w:val="145"/>
        <w:rPr>
          <w:rFonts w:hint="eastAsia"/>
          <w:lang w:val="en-US" w:eastAsia="zh-CN"/>
        </w:rPr>
      </w:pPr>
    </w:p>
    <w:p>
      <w:pPr>
        <w:pStyle w:val="148"/>
        <w:rPr>
          <w:lang w:eastAsia="zh-CN"/>
        </w:rPr>
      </w:pPr>
      <w:r>
        <w:rPr>
          <w:lang w:eastAsia="zh-CN"/>
        </w:rPr>
        <w:t>注射真皮填充</w:t>
      </w:r>
      <w:r>
        <w:rPr>
          <w:rFonts w:hint="eastAsia"/>
          <w:lang w:eastAsia="zh-CN"/>
        </w:rPr>
        <w:t>，全球市场总体规模</w:t>
      </w:r>
    </w:p>
    <w:p>
      <w:pPr>
        <w:pStyle w:val="145"/>
        <w:rPr>
          <w:lang w:eastAsia="zh-CN"/>
        </w:rPr>
      </w:pPr>
      <w:r>
        <w:rPr>
          <w:lang w:val="en-US" w:eastAsia="zh-CN"/>
        </w:rPr>
        <w:drawing>
          <wp:inline distT="0" distB="0" distL="0" distR="0">
            <wp:extent cx="6559550" cy="3060700"/>
            <wp:effectExtent l="0" t="0" r="0" b="635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6559550" cy="3060700"/>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注射真皮填充</w:t>
      </w:r>
      <w:r>
        <w:rPr>
          <w:rFonts w:hint="eastAsia"/>
          <w:lang w:eastAsia="zh-CN"/>
        </w:rPr>
        <w:t>市场研究报告2023-2029</w:t>
      </w:r>
      <w:r>
        <w:rPr>
          <w:lang w:eastAsia="zh-CN"/>
        </w:rPr>
        <w:t>.</w:t>
      </w:r>
    </w:p>
    <w:p>
      <w:pPr>
        <w:pStyle w:val="145"/>
        <w:rPr>
          <w:lang w:eastAsia="zh-CN"/>
        </w:rPr>
      </w:pPr>
    </w:p>
    <w:p>
      <w:pPr>
        <w:pStyle w:val="148"/>
        <w:rPr>
          <w:lang w:eastAsia="zh-CN"/>
        </w:rPr>
      </w:pPr>
      <w:r>
        <w:rPr>
          <w:rFonts w:hint="eastAsia"/>
          <w:lang w:eastAsia="zh-CN"/>
        </w:rPr>
        <w:t>全球</w:t>
      </w:r>
      <w:r>
        <w:rPr>
          <w:lang w:eastAsia="zh-CN"/>
        </w:rPr>
        <w:t>注射真皮填充</w:t>
      </w:r>
      <w:r>
        <w:rPr>
          <w:rFonts w:hint="eastAsia"/>
          <w:lang w:eastAsia="zh-CN"/>
        </w:rPr>
        <w:t>市场前</w:t>
      </w:r>
      <w:r>
        <w:rPr>
          <w:lang w:eastAsia="zh-CN"/>
        </w:rPr>
        <w:t>3</w:t>
      </w:r>
      <w:r>
        <w:rPr>
          <w:rFonts w:hint="eastAsia"/>
          <w:lang w:eastAsia="zh-CN"/>
        </w:rPr>
        <w:t>强生产商排名及市场占有率（基于202</w:t>
      </w:r>
      <w:r>
        <w:rPr>
          <w:lang w:eastAsia="zh-CN"/>
        </w:rPr>
        <w:t>2</w:t>
      </w:r>
      <w:r>
        <w:rPr>
          <w:rFonts w:hint="eastAsia"/>
          <w:lang w:eastAsia="zh-CN"/>
        </w:rPr>
        <w:t>年调研数据；目前最新数据以本公司最新调研数据为准）</w:t>
      </w:r>
    </w:p>
    <w:p>
      <w:pPr>
        <w:pStyle w:val="145"/>
        <w:jc w:val="center"/>
        <w:rPr>
          <w:lang w:eastAsia="zh-CN"/>
        </w:rPr>
      </w:pPr>
      <w:r>
        <w:rPr>
          <w:lang w:val="en-US" w:eastAsia="zh-CN"/>
        </w:rPr>
        <w:drawing>
          <wp:inline distT="0" distB="0" distL="0" distR="0">
            <wp:extent cx="4572635" cy="4395470"/>
            <wp:effectExtent l="0" t="0" r="0" b="508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4572635" cy="4395470"/>
                    </a:xfrm>
                    <a:prstGeom prst="rect">
                      <a:avLst/>
                    </a:prstGeom>
                    <a:noFill/>
                  </pic:spPr>
                </pic:pic>
              </a:graphicData>
            </a:graphic>
          </wp:inline>
        </w:drawing>
      </w:r>
    </w:p>
    <w:p>
      <w:pPr>
        <w:pStyle w:val="143"/>
        <w:rPr>
          <w:lang w:eastAsia="zh-CN"/>
        </w:rPr>
      </w:pPr>
      <w:r>
        <w:rPr>
          <w:rFonts w:hint="eastAsia"/>
          <w:lang w:eastAsia="zh-CN"/>
        </w:rPr>
        <w:t>如上图表/数据，摘自QYResearch报告“全球注射真皮填充市场研究报告2023-2029，排名基于2022数据。目前最新数据，以本公司最新调研数据为准。</w:t>
      </w:r>
    </w:p>
    <w:p>
      <w:pPr>
        <w:pStyle w:val="143"/>
      </w:pPr>
      <w:r>
        <w:t>.</w:t>
      </w:r>
    </w:p>
    <w:p>
      <w:pPr>
        <w:widowControl/>
        <w:topLinePunct w:val="0"/>
        <w:spacing w:after="0"/>
        <w:rPr>
          <w:rFonts w:ascii="Times New Roman" w:hAnsi="Times New Roman" w:cs="Times New Roman"/>
          <w:kern w:val="0"/>
          <w:sz w:val="22"/>
          <w:szCs w:val="22"/>
        </w:rPr>
      </w:pPr>
      <w:r>
        <w:rPr>
          <w:rFonts w:ascii="Times New Roman" w:hAnsi="Times New Roman" w:cs="Times New Roman"/>
          <w:kern w:val="0"/>
          <w:sz w:val="22"/>
          <w:szCs w:val="22"/>
        </w:rPr>
        <w:t>全球范围内注射真皮填充生产商主要包括Hyaluronic Acid、Collagen、CaHA等。2022年，全球前三大厂商占有大约92.0%的市场份额。</w:t>
      </w:r>
    </w:p>
    <w:p>
      <w:pPr>
        <w:pStyle w:val="145"/>
        <w:rPr>
          <w:lang w:val="en-US" w:eastAsia="zh-CN"/>
        </w:rPr>
      </w:pPr>
    </w:p>
    <w:bookmarkEnd w:id="0"/>
    <w:bookmarkEnd w:id="1"/>
    <w:bookmarkEnd w:id="2"/>
    <w:bookmarkEnd w:id="3"/>
    <w:bookmarkEnd w:id="4"/>
    <w:bookmarkEnd w:id="5"/>
    <w:bookmarkEnd w:id="6"/>
    <w:bookmarkEnd w:id="7"/>
    <w:bookmarkEnd w:id="8"/>
    <w:bookmarkEnd w:id="9"/>
    <w:bookmarkEnd w:id="10"/>
    <w:bookmarkEnd w:id="11"/>
    <w:bookmarkEnd w:id="12"/>
    <w:p>
      <w:pPr>
        <w:pStyle w:val="145"/>
        <w:rPr>
          <w:lang w:eastAsia="zh-CN"/>
        </w:rPr>
      </w:pPr>
    </w:p>
    <w:p>
      <w:pPr>
        <w:pStyle w:val="167"/>
        <w:rPr>
          <w:lang w:eastAsia="zh-CN"/>
        </w:rPr>
      </w:pPr>
      <w:r>
        <w:rPr>
          <w:lang w:eastAsia="zh-CN"/>
        </w:rPr>
        <w:t>QYResearch</w:t>
      </w:r>
    </w:p>
    <w:p>
      <w:r>
        <w:rPr>
          <w:rFonts w:hint="eastAsia"/>
          <w:b w:val="0"/>
          <w:bCs w:val="0"/>
          <w:color w:val="0000FF"/>
          <w:lang w:eastAsia="zh-CN"/>
        </w:rPr>
        <w:t>注射真皮填充</w:t>
      </w:r>
      <w:r>
        <w:rPr>
          <w:rFonts w:hint="eastAsia"/>
          <w:color w:val="0000FF"/>
        </w:rPr>
        <w:t>行业研究报告</w:t>
      </w:r>
      <w:r>
        <w:rPr>
          <w:rFonts w:hint="eastAsia"/>
        </w:rPr>
        <w:t>，</w:t>
      </w:r>
      <w:r>
        <w:t>本文侧重研究全球</w:t>
      </w:r>
      <w:r>
        <w:rPr>
          <w:rFonts w:hint="eastAsia"/>
          <w:b w:val="0"/>
          <w:bCs w:val="0"/>
          <w:lang w:eastAsia="zh-CN"/>
        </w:rPr>
        <w:t>注射真皮填充</w:t>
      </w:r>
      <w:r>
        <w:t>总体规模及主要厂商占有率和排名，主要统计指标包括</w:t>
      </w:r>
      <w:r>
        <w:rPr>
          <w:rFonts w:hint="eastAsia"/>
          <w:b w:val="0"/>
          <w:bCs w:val="0"/>
          <w:lang w:eastAsia="zh-CN"/>
        </w:rPr>
        <w:t>注射真皮填充</w:t>
      </w:r>
      <w:r>
        <w:t>产能、销量、销售收入、价格、市场份额及排名等，企业数据主要侧重近三年行业内主要厂商的市场销售情况。地区层面，主要分析过去五年和未来五年行业内主要生产地区和主要消费地区的规模及趋势。</w:t>
      </w:r>
    </w:p>
    <w:p>
      <w:pPr>
        <w:pStyle w:val="7"/>
      </w:pPr>
      <w:r>
        <w:rPr>
          <w:rFonts w:hint="eastAsia"/>
          <w:b w:val="0"/>
          <w:bCs w:val="0"/>
          <w:lang w:eastAsia="zh-CN"/>
        </w:rPr>
        <w:t>注射真皮填充</w:t>
      </w:r>
      <w:r>
        <w:rPr>
          <w:rFonts w:hint="eastAsia"/>
        </w:rPr>
        <w:t>报告主要研究内容以下几点：</w:t>
      </w:r>
    </w:p>
    <w:p>
      <w:r>
        <w:t>第1章：报告统计范围、所属行业、产品细分及主要的下游市场，行业现状及进入壁垒等</w:t>
      </w:r>
    </w:p>
    <w:p>
      <w:r>
        <w:t>第2章：国内外主要企业市场占有率及排名</w:t>
      </w:r>
    </w:p>
    <w:p>
      <w:r>
        <w:t>第3章：全球总体规模（产能、产量、销量、需求量、销售收入等数据，2019-2030年）</w:t>
      </w:r>
    </w:p>
    <w:p>
      <w:r>
        <w:t>第4章：全球</w:t>
      </w:r>
      <w:r>
        <w:rPr>
          <w:rFonts w:hint="eastAsia"/>
          <w:b w:val="0"/>
          <w:bCs w:val="0"/>
          <w:lang w:eastAsia="zh-CN"/>
        </w:rPr>
        <w:t>注射真皮填充</w:t>
      </w:r>
      <w:r>
        <w:t>主要地区分析，包括销量、销售收入等</w:t>
      </w:r>
    </w:p>
    <w:p>
      <w:r>
        <w:t>第5章：全球</w:t>
      </w:r>
      <w:r>
        <w:rPr>
          <w:rFonts w:hint="eastAsia"/>
          <w:b w:val="0"/>
          <w:bCs w:val="0"/>
          <w:lang w:eastAsia="zh-CN"/>
        </w:rPr>
        <w:t>注射真皮填充</w:t>
      </w:r>
      <w:r>
        <w:t>主要厂商基本情况介绍，包括公司简介、</w:t>
      </w:r>
      <w:r>
        <w:rPr>
          <w:rFonts w:hint="eastAsia"/>
          <w:b w:val="0"/>
          <w:bCs w:val="0"/>
          <w:lang w:eastAsia="zh-CN"/>
        </w:rPr>
        <w:t>注射真皮填充</w:t>
      </w:r>
      <w:r>
        <w:t>产品型号、销量、收入、价格及最新动态等</w:t>
      </w:r>
    </w:p>
    <w:p>
      <w:r>
        <w:t>第6章：全球不同产品类型</w:t>
      </w:r>
      <w:r>
        <w:rPr>
          <w:rFonts w:hint="eastAsia"/>
          <w:b w:val="0"/>
          <w:bCs w:val="0"/>
          <w:lang w:eastAsia="zh-CN"/>
        </w:rPr>
        <w:t>注射真皮填充</w:t>
      </w:r>
      <w:r>
        <w:t>销量、收入、价格及份额等</w:t>
      </w:r>
    </w:p>
    <w:p>
      <w:r>
        <w:t>第7章：全球不同应用</w:t>
      </w:r>
      <w:r>
        <w:rPr>
          <w:rFonts w:hint="eastAsia"/>
          <w:b w:val="0"/>
          <w:bCs w:val="0"/>
          <w:lang w:eastAsia="zh-CN"/>
        </w:rPr>
        <w:t>注射真皮填充</w:t>
      </w:r>
      <w:r>
        <w:t>销量、收入、价格及份额等</w:t>
      </w:r>
    </w:p>
    <w:p>
      <w:r>
        <w:t>第8章：行业发展趋势、驱动因素、行业政策等</w:t>
      </w:r>
    </w:p>
    <w:p>
      <w:r>
        <w:t>第9章：产业链、上下游分析、生产模式、销售模式及销售渠道分析等</w:t>
      </w:r>
    </w:p>
    <w:p>
      <w:pPr>
        <w:bidi w:val="0"/>
        <w:rPr>
          <w:rFonts w:hint="eastAsia"/>
          <w:lang w:val="en-US" w:eastAsia="zh-CN"/>
        </w:rPr>
      </w:pPr>
      <w:r>
        <w:rPr>
          <w:rFonts w:hint="default"/>
        </w:rPr>
        <w:t>第</w:t>
      </w:r>
      <w:r>
        <w:rPr>
          <w:rFonts w:hint="eastAsia"/>
          <w:lang w:val="en-US" w:eastAsia="zh-CN"/>
        </w:rPr>
        <w:t>10</w:t>
      </w:r>
      <w:r>
        <w:rPr>
          <w:rFonts w:hint="default"/>
        </w:rPr>
        <w:t>章：</w:t>
      </w:r>
      <w:r>
        <w:rPr>
          <w:rFonts w:hint="eastAsia"/>
          <w:lang w:val="en-US" w:eastAsia="zh-CN"/>
        </w:rPr>
        <w:t>报告结论</w:t>
      </w:r>
    </w:p>
    <w:p>
      <w:pPr>
        <w:bidi w:val="0"/>
      </w:pPr>
      <w:r>
        <w:rPr>
          <w:rFonts w:hint="default"/>
        </w:rPr>
        <w:t>第</w:t>
      </w:r>
      <w:r>
        <w:rPr>
          <w:rFonts w:hint="eastAsia"/>
          <w:lang w:val="en-US" w:eastAsia="zh-CN"/>
        </w:rPr>
        <w:t>11</w:t>
      </w:r>
      <w:r>
        <w:rPr>
          <w:rFonts w:hint="default"/>
        </w:rPr>
        <w:t>章：</w:t>
      </w:r>
      <w:r>
        <w:t>研究方法与数据来源</w:t>
      </w:r>
    </w:p>
    <w:p>
      <w:pPr>
        <w:rPr>
          <w:rFonts w:hint="eastAsia"/>
          <w:b/>
          <w:bCs/>
        </w:rPr>
      </w:pPr>
    </w:p>
    <w:p>
      <w:r>
        <w:rPr>
          <w:rFonts w:hint="eastAsia"/>
          <w:b/>
          <w:bCs/>
        </w:rPr>
        <w:t>竞争分析：</w:t>
      </w:r>
      <w:r>
        <w:rPr>
          <w:rFonts w:hint="eastAsia"/>
        </w:rPr>
        <w:t>主要企业情况、新入企业、收购、并购和扩张、市场份额、机遇和挑战等</w:t>
      </w:r>
    </w:p>
    <w:p>
      <w:r>
        <w:rPr>
          <w:rFonts w:hint="eastAsia"/>
          <w:b/>
          <w:bCs/>
        </w:rPr>
        <w:t>行业分析：</w:t>
      </w:r>
      <w:r>
        <w:rPr>
          <w:rFonts w:hint="eastAsia"/>
        </w:rPr>
        <w:t>原材料、市场应用、产品种类、市场需求、市场供给,下游市场分析、供应链分析等</w:t>
      </w:r>
    </w:p>
    <w:p>
      <w:r>
        <w:rPr>
          <w:rFonts w:hint="eastAsia"/>
          <w:b/>
          <w:bCs/>
        </w:rPr>
        <w:t>市场规模：</w:t>
      </w:r>
      <w:r>
        <w:rPr>
          <w:rFonts w:hint="eastAsia"/>
        </w:rPr>
        <w:t>产能、产量、销售、产值、价格、成本、利润等</w:t>
      </w:r>
    </w:p>
    <w:p>
      <w:r>
        <w:rPr>
          <w:rFonts w:hint="eastAsia"/>
          <w:b/>
          <w:bCs/>
        </w:rPr>
        <w:t>定制信息：</w:t>
      </w:r>
      <w:r>
        <w:rPr>
          <w:rFonts w:hint="eastAsia"/>
        </w:rPr>
        <w:t>我们可以提供定制的调查和信息，以满足客户的需要</w:t>
      </w:r>
    </w:p>
    <w:p/>
    <w:p>
      <w:pPr>
        <w:rPr>
          <w:b/>
          <w:bCs/>
        </w:rPr>
      </w:pPr>
      <w:r>
        <w:rPr>
          <w:rFonts w:hint="eastAsia"/>
          <w:b/>
          <w:bCs/>
        </w:rPr>
        <w:t>我们通过丰富的专家资源、完备的数据库、专业的研究团队、精准完善的调查分析为您提供深入的市场调研、销售数据、市场环境分析、市场发展预测...为确保市场调研的准确性，我们所有的信息均通过多重验证审核</w:t>
      </w:r>
    </w:p>
    <w:p>
      <w:pPr>
        <w:pStyle w:val="145"/>
        <w:rPr>
          <w:lang w:eastAsia="zh-CN"/>
        </w:rPr>
      </w:pPr>
    </w:p>
    <w:sectPr>
      <w:headerReference r:id="rId6" w:type="first"/>
      <w:headerReference r:id="rId4"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altName w:val="Segoe Print"/>
    <w:panose1 w:val="02040602050305030304"/>
    <w:charset w:val="00"/>
    <w:family w:val="roman"/>
    <w:pitch w:val="default"/>
    <w:sig w:usb0="00000000" w:usb1="00000000" w:usb2="00000000" w:usb3="00000000" w:csb0="000000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altName w:val="Yu Gothic UI"/>
    <w:panose1 w:val="020B0502020202020204"/>
    <w:charset w:val="00"/>
    <w:family w:val="swiss"/>
    <w:pitch w:val="default"/>
    <w:sig w:usb0="00000000" w:usb1="00000000" w:usb2="00000000" w:usb3="00000000" w:csb0="0000009F" w:csb1="00000000"/>
  </w:font>
  <w:font w:name="Franklin Gothic Demi">
    <w:altName w:val="Yu Gothic UI Semibold"/>
    <w:panose1 w:val="020B0703020102020204"/>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 w:name="Yu Gothic UI">
    <w:panose1 w:val="020B0500000000000000"/>
    <w:charset w:val="80"/>
    <w:family w:val="auto"/>
    <w:pitch w:val="default"/>
    <w:sig w:usb0="E00002FF" w:usb1="2AC7FDFF" w:usb2="00000016" w:usb3="00000000" w:csb0="2002009F" w:csb1="00000000"/>
  </w:font>
  <w:font w:name="Yu Gothic UI Semibold">
    <w:panose1 w:val="020B0700000000000000"/>
    <w:charset w:val="80"/>
    <w:family w:val="auto"/>
    <w:pitch w:val="default"/>
    <w:sig w:usb0="E00002FF" w:usb1="2AC7FDFF" w:usb2="00000016" w:usb3="00000000" w:csb0="2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OTY1YzZkMmU4NWY4NWNmYzc1OWZjYTMyZjg1NjQ0NDY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4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C4D"/>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195"/>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4E6"/>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809"/>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3EA"/>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6B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83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39"/>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20E"/>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797"/>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2D4"/>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1B0"/>
    <w:rsid w:val="006E42A7"/>
    <w:rsid w:val="006E4324"/>
    <w:rsid w:val="006E464C"/>
    <w:rsid w:val="006E492A"/>
    <w:rsid w:val="006E494B"/>
    <w:rsid w:val="006E495B"/>
    <w:rsid w:val="006E524F"/>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262"/>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AA"/>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3AF"/>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CFB"/>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8ED"/>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627"/>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93A"/>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97C"/>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8C0"/>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212"/>
    <w:rsid w:val="00BF55BD"/>
    <w:rsid w:val="00BF5880"/>
    <w:rsid w:val="00BF5B3C"/>
    <w:rsid w:val="00BF5C03"/>
    <w:rsid w:val="00BF5E54"/>
    <w:rsid w:val="00BF5E6B"/>
    <w:rsid w:val="00BF5E7D"/>
    <w:rsid w:val="00BF5EEE"/>
    <w:rsid w:val="00BF6054"/>
    <w:rsid w:val="00BF60BC"/>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33E"/>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19"/>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4F"/>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0C"/>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17E"/>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2FEB"/>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656"/>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67F"/>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4B9D33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unhideWhenUsed="0" w:uiPriority="0" w:semiHidden="0" w:name="Emphasis"/>
    <w:lsdException w:qFormat="1" w:unhideWhenUsed="0" w:uiPriority="0" w:semiHidden="0" w:name="Document Map"/>
    <w:lsdException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uiPriority="70" w:semiHidden="0" w:name="Dark List Accent 3"/>
    <w:lsdException w:unhideWhenUsed="0" w:uiPriority="71" w:semiHidden="0" w:name="Colorful Shading Accent 3"/>
    <w:lsdException w:unhideWhenUsed="0" w:uiPriority="72" w:semiHidden="0" w:name="Colorful List Accent 3"/>
    <w:lsdException w:uiPriority="73" w:semiHidden="0" w:name="Colorful Grid Accent 3"/>
    <w:lsdException w:unhideWhenUsed="0" w:uiPriority="60" w:semiHidden="0" w:name="Light Shading Accent 4"/>
    <w:lsdException w:uiPriority="61" w:semiHidden="0" w:name="Light List Accent 4"/>
    <w:lsdException w:unhideWhenUsed="0" w:uiPriority="62" w:semiHidden="0" w:name="Light Grid Accent 4"/>
    <w:lsdException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semiHidden/>
    <w:unhideWhenUsed/>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unhideWhenUsed/>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semiHidden/>
    <w:unhideWhenUsed/>
    <w:uiPriority w:val="99"/>
    <w:rPr>
      <w:vertAlign w:val="superscript"/>
    </w:rPr>
  </w:style>
  <w:style w:type="character" w:styleId="70">
    <w:name w:val="Emphasis"/>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autoRedefine/>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uiPriority w:val="0"/>
    <w:pPr>
      <w:ind w:left="420" w:hanging="420"/>
    </w:pPr>
    <w:rPr>
      <w:rFonts w:cs="宋体"/>
      <w:b/>
      <w:bCs/>
      <w:color w:val="FFFFFF"/>
      <w:szCs w:val="20"/>
    </w:rPr>
  </w:style>
  <w:style w:type="character" w:customStyle="1" w:styleId="89">
    <w:name w:val="页眉 Char"/>
    <w:autoRedefine/>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autoRedefine/>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uiPriority w:val="0"/>
    <w:pPr>
      <w:jc w:val="left"/>
    </w:pPr>
    <w:rPr>
      <w:rFonts w:cs="宋体"/>
      <w:kern w:val="0"/>
      <w:sz w:val="20"/>
      <w:szCs w:val="20"/>
    </w:rPr>
  </w:style>
  <w:style w:type="paragraph" w:customStyle="1" w:styleId="127">
    <w:name w:val="样式 10 磅 左1"/>
    <w:basedOn w:val="1"/>
    <w:next w:val="1"/>
    <w:uiPriority w:val="0"/>
    <w:pPr>
      <w:jc w:val="left"/>
    </w:pPr>
    <w:rPr>
      <w:rFonts w:cs="宋体"/>
      <w:kern w:val="0"/>
      <w:sz w:val="20"/>
      <w:szCs w:val="20"/>
    </w:rPr>
  </w:style>
  <w:style w:type="paragraph" w:customStyle="1" w:styleId="128">
    <w:name w:val="样式 10 磅 左2"/>
    <w:basedOn w:val="1"/>
    <w:next w:val="1"/>
    <w:autoRedefine/>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uiPriority w:val="1"/>
    <w:rPr>
      <w:rFonts w:ascii="Calibri" w:hAnsi="Calibri" w:eastAsia="宋体" w:cs="Times New Roman"/>
      <w:kern w:val="0"/>
      <w:sz w:val="22"/>
      <w:szCs w:val="21"/>
      <w:lang w:val="en-US" w:eastAsia="zh-CN" w:bidi="ar-SA"/>
    </w:rPr>
  </w:style>
  <w:style w:type="character" w:customStyle="1" w:styleId="132">
    <w:name w:val="无间隔 字符"/>
    <w:link w:val="131"/>
    <w:uiPriority w:val="1"/>
    <w:rPr>
      <w:rFonts w:ascii="Calibri" w:hAnsi="Calibri" w:eastAsia="宋体" w:cs="Times New Roman"/>
      <w:kern w:val="0"/>
      <w:sz w:val="22"/>
    </w:rPr>
  </w:style>
  <w:style w:type="paragraph" w:customStyle="1" w:styleId="133">
    <w:name w:val="概述标题"/>
    <w:basedOn w:val="1"/>
    <w:autoRedefine/>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uiPriority w:val="99"/>
    <w:rPr>
      <w:color w:val="605E5C"/>
      <w:shd w:val="clear" w:color="auto" w:fill="E1DFDD"/>
    </w:rPr>
  </w:style>
  <w:style w:type="character" w:customStyle="1" w:styleId="138">
    <w:name w:val="Bold text_1 Char"/>
    <w:link w:val="24"/>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uiPriority w:val="99"/>
    <w:rPr>
      <w:rFonts w:ascii="Times New Roman" w:hAnsi="Times New Roman"/>
    </w:rPr>
  </w:style>
  <w:style w:type="character" w:customStyle="1" w:styleId="141">
    <w:name w:val="未处理的提及11"/>
    <w:basedOn w:val="67"/>
    <w:autoRedefine/>
    <w:semiHidden/>
    <w:unhideWhenUsed/>
    <w:uiPriority w:val="99"/>
    <w:rPr>
      <w:color w:val="605E5C"/>
      <w:shd w:val="clear" w:color="auto" w:fill="E1DFDD"/>
    </w:rPr>
  </w:style>
  <w:style w:type="character" w:customStyle="1" w:styleId="142">
    <w:name w:val="未处理的提及2"/>
    <w:basedOn w:val="67"/>
    <w:autoRedefine/>
    <w:semiHidden/>
    <w:unhideWhenUsed/>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200" w:after="20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autoRedefine/>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uiPriority w:val="0"/>
    <w:rPr>
      <w:rFonts w:ascii="Frutiger" w:hAnsi="Frutiger" w:eastAsia="宋体"/>
      <w:b/>
      <w:color w:val="FF8200"/>
      <w:kern w:val="0"/>
      <w:szCs w:val="22"/>
      <w:lang w:val="en-IN" w:eastAsia="en-US"/>
    </w:rPr>
  </w:style>
  <w:style w:type="paragraph" w:customStyle="1" w:styleId="153">
    <w:name w:val="Table of Contents"/>
    <w:basedOn w:val="139"/>
    <w:link w:val="154"/>
    <w:uiPriority w:val="0"/>
    <w:pPr>
      <w:pageBreakBefore/>
      <w:jc w:val="both"/>
    </w:pPr>
    <w:rPr>
      <w:szCs w:val="20"/>
    </w:rPr>
  </w:style>
  <w:style w:type="character" w:customStyle="1" w:styleId="154">
    <w:name w:val="Table of Contents Char"/>
    <w:basedOn w:val="67"/>
    <w:link w:val="153"/>
    <w:autoRedefine/>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uiPriority w:val="0"/>
    <w:pPr>
      <w:tabs>
        <w:tab w:val="right" w:pos="9736"/>
      </w:tabs>
    </w:pPr>
  </w:style>
  <w:style w:type="character" w:customStyle="1" w:styleId="157">
    <w:name w:val="目录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uiPriority w:val="99"/>
    <w:rPr>
      <w:color w:val="605E5C"/>
      <w:shd w:val="clear" w:color="auto" w:fill="E1DFDD"/>
    </w:rPr>
  </w:style>
  <w:style w:type="table" w:customStyle="1" w:styleId="160">
    <w:name w:val="List Table 2 Accent 4"/>
    <w:basedOn w:val="34"/>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autoRedefine/>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uiPriority w:val="99"/>
    <w:rPr>
      <w:color w:val="605E5C"/>
      <w:shd w:val="clear" w:color="auto" w:fill="E1DFDD"/>
    </w:rPr>
  </w:style>
  <w:style w:type="character" w:customStyle="1" w:styleId="192">
    <w:name w:val="标题 7 字符"/>
    <w:basedOn w:val="67"/>
    <w:link w:val="8"/>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uiPriority w:val="99"/>
    <w:rPr>
      <w:color w:val="605E5C"/>
      <w:shd w:val="clear" w:color="auto" w:fill="E1DFDD"/>
    </w:rPr>
  </w:style>
  <w:style w:type="table" w:customStyle="1" w:styleId="195">
    <w:name w:val="List Table 2 Accent 2"/>
    <w:basedOn w:val="34"/>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uiPriority w:val="99"/>
  </w:style>
  <w:style w:type="table" w:customStyle="1" w:styleId="201">
    <w:name w:val="List Table 2 Accent 5"/>
    <w:basedOn w:val="34"/>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1AA6C1F-4A02-4580-BEB4-8F02E8A2BB2F}">
  <ds:schemaRefs/>
</ds:datastoreItem>
</file>

<file path=docProps/app.xml><?xml version="1.0" encoding="utf-8"?>
<Properties xmlns="http://schemas.openxmlformats.org/officeDocument/2006/extended-properties" xmlns:vt="http://schemas.openxmlformats.org/officeDocument/2006/docPropsVTypes">
  <Template>Normal</Template>
  <Pages>4</Pages>
  <Words>143</Words>
  <Characters>820</Characters>
  <Lines>6</Lines>
  <Paragraphs>1</Paragraphs>
  <TotalTime>0</TotalTime>
  <ScaleCrop>false</ScaleCrop>
  <LinksUpToDate>false</LinksUpToDate>
  <CharactersWithSpaces>962</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2024-03-04T11:03:16Z</dcterms:modified>
  <cp:revision>804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FAFDAB5A8E8242B2982DA3A4F85CBBE2_13</vt:lpwstr>
  </property>
</Properties>
</file>