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3A9B2F76">
      <w:pPr>
        <w:pStyle w:val="style0"/>
        <w:jc w:val="center"/>
        <w:rPr>
          <w:sz w:val="52"/>
          <w:szCs w:val="52"/>
        </w:rPr>
      </w:pPr>
      <w:bookmarkStart w:id="0" w:name="_GoBack"/>
      <w:bookmarkEnd w:id="0"/>
      <w:r>
        <w:rPr>
          <w:sz w:val="52"/>
          <w:szCs w:val="52"/>
        </w:rPr>
        <w:t>《公路工程项目管理》综合实训</w:t>
      </w:r>
    </w:p>
    <w:p w14:paraId="6F81F49D">
      <w:pPr>
        <w:pStyle w:val="style0"/>
        <w:jc w:val="center"/>
        <w:rPr>
          <w:sz w:val="52"/>
          <w:szCs w:val="52"/>
        </w:rPr>
      </w:pPr>
      <w:r>
        <w:rPr>
          <w:rFonts w:hint="eastAsia"/>
          <w:sz w:val="52"/>
          <w:szCs w:val="52"/>
          <w:lang w:eastAsia="zh-CN"/>
        </w:rPr>
        <w:t>———————————————</w:t>
      </w:r>
    </w:p>
    <w:p w14:paraId="83330217">
      <w:pPr>
        <w:pStyle w:val="style0"/>
        <w:jc w:val="center"/>
        <w:rPr>
          <w:sz w:val="52"/>
          <w:szCs w:val="52"/>
        </w:rPr>
      </w:pPr>
      <w:r>
        <w:rPr>
          <w:sz w:val="52"/>
          <w:szCs w:val="52"/>
        </w:rPr>
        <w:t>贝克曼梁法检测路基路面回弹弯沉虚拟仿真实验</w:t>
      </w:r>
    </w:p>
    <w:p w14:paraId="A0285A85">
      <w:pPr>
        <w:pStyle w:val="style0"/>
        <w:rPr/>
      </w:pPr>
    </w:p>
    <w:p w14:paraId="E2CA4148">
      <w:pPr>
        <w:pStyle w:val="style0"/>
        <w:rPr/>
      </w:pPr>
    </w:p>
    <w:p w14:paraId="F3F0B6D9">
      <w:pPr>
        <w:pStyle w:val="style0"/>
        <w:rPr/>
      </w:pPr>
    </w:p>
    <w:p w14:paraId="535B4A3B">
      <w:pPr>
        <w:pStyle w:val="style0"/>
        <w:rPr/>
      </w:pPr>
    </w:p>
    <w:p w14:paraId="5ED58FBB">
      <w:pPr>
        <w:pStyle w:val="style0"/>
        <w:rPr>
          <w:sz w:val="52"/>
          <w:szCs w:val="52"/>
          <w:u w:val="single"/>
        </w:rPr>
      </w:pPr>
      <w:r>
        <w:rPr>
          <w:rFonts w:hint="eastAsia"/>
          <w:sz w:val="52"/>
          <w:szCs w:val="52"/>
          <w:lang w:eastAsia="zh-CN"/>
        </w:rPr>
        <w:t>班 级：</w:t>
      </w:r>
      <w:r>
        <w:rPr>
          <w:rFonts w:hint="eastAsia"/>
          <w:sz w:val="52"/>
          <w:szCs w:val="52"/>
          <w:u w:val="single"/>
          <w:lang w:eastAsia="zh-CN"/>
        </w:rPr>
        <w:t>道桥</w:t>
      </w:r>
      <w:r>
        <w:rPr>
          <w:rFonts w:hint="default"/>
          <w:sz w:val="52"/>
          <w:szCs w:val="52"/>
          <w:u w:val="single"/>
          <w:lang w:val="en-US" w:eastAsia="zh-CN"/>
        </w:rPr>
        <w:t xml:space="preserve">23-1               </w:t>
      </w:r>
    </w:p>
    <w:p w14:paraId="B9750A8F">
      <w:pPr>
        <w:pStyle w:val="style0"/>
        <w:rPr>
          <w:sz w:val="52"/>
          <w:szCs w:val="52"/>
        </w:rPr>
      </w:pPr>
    </w:p>
    <w:p w14:paraId="2DCB2179">
      <w:pPr>
        <w:pStyle w:val="style0"/>
        <w:rPr>
          <w:rFonts w:hint="eastAsia"/>
          <w:sz w:val="52"/>
          <w:szCs w:val="52"/>
          <w:u w:val="single"/>
          <w:lang w:val="en-US" w:eastAsia="zh-CN"/>
        </w:rPr>
      </w:pPr>
      <w:r>
        <w:rPr>
          <w:rFonts w:hint="eastAsia"/>
          <w:sz w:val="52"/>
          <w:szCs w:val="52"/>
          <w:lang w:eastAsia="zh-CN"/>
        </w:rPr>
        <w:t>姓 名：</w:t>
      </w:r>
      <w:r>
        <w:rPr>
          <w:rFonts w:hint="eastAsia"/>
          <w:sz w:val="52"/>
          <w:szCs w:val="52"/>
          <w:u w:val="single"/>
          <w:lang w:val="en-US" w:eastAsia="zh-CN"/>
        </w:rPr>
        <w:t>贺永才</w:t>
      </w:r>
      <w:r>
        <w:rPr>
          <w:rFonts w:hint="default"/>
          <w:sz w:val="52"/>
          <w:szCs w:val="52"/>
          <w:u w:val="single"/>
          <w:lang w:val="en-US" w:eastAsia="zh-CN"/>
        </w:rPr>
        <w:t xml:space="preserve">                  </w:t>
      </w:r>
    </w:p>
    <w:p w14:paraId="2ABC6ABD">
      <w:pPr>
        <w:pStyle w:val="style0"/>
        <w:rPr>
          <w:sz w:val="52"/>
          <w:szCs w:val="52"/>
        </w:rPr>
      </w:pPr>
    </w:p>
    <w:p w14:paraId="68239E18">
      <w:pPr>
        <w:pStyle w:val="style0"/>
        <w:rPr>
          <w:sz w:val="52"/>
          <w:szCs w:val="52"/>
          <w:u w:val="single"/>
        </w:rPr>
      </w:pPr>
      <w:r>
        <w:rPr>
          <w:rFonts w:hint="eastAsia"/>
          <w:sz w:val="52"/>
          <w:szCs w:val="52"/>
          <w:lang w:eastAsia="zh-CN"/>
        </w:rPr>
        <w:t>学 号：</w:t>
      </w:r>
      <w:r>
        <w:rPr>
          <w:rFonts w:hint="default"/>
          <w:sz w:val="52"/>
          <w:szCs w:val="52"/>
          <w:u w:val="single"/>
          <w:lang w:val="en-US" w:eastAsia="zh-CN"/>
        </w:rPr>
        <w:t xml:space="preserve">20233291               </w:t>
      </w:r>
    </w:p>
    <w:p w14:paraId="68444AD4">
      <w:pPr>
        <w:pStyle w:val="style0"/>
        <w:rPr/>
      </w:pPr>
    </w:p>
    <w:p w14:paraId="B740AB33">
      <w:pPr>
        <w:pStyle w:val="style0"/>
        <w:rPr/>
      </w:pPr>
    </w:p>
    <w:p w14:paraId="4B4D7F96">
      <w:pPr>
        <w:pStyle w:val="style0"/>
        <w:rPr/>
      </w:pPr>
    </w:p>
    <w:p w14:paraId="139E68C8">
      <w:pPr>
        <w:pStyle w:val="style0"/>
        <w:rPr/>
      </w:pPr>
    </w:p>
    <w:p w14:paraId="D64C82ED">
      <w:pPr>
        <w:pStyle w:val="style0"/>
        <w:rPr/>
      </w:pPr>
    </w:p>
    <w:p w14:paraId="991C5A98">
      <w:pPr>
        <w:pStyle w:val="style0"/>
        <w:rPr/>
      </w:pPr>
    </w:p>
    <w:p w14:paraId="2D56C606">
      <w:pPr>
        <w:pStyle w:val="style0"/>
        <w:rPr/>
      </w:pPr>
    </w:p>
    <w:p w14:paraId="46E91AC0">
      <w:pPr>
        <w:pStyle w:val="style0"/>
        <w:rPr/>
      </w:pPr>
    </w:p>
    <w:p w14:paraId="08C6D6EA">
      <w:pPr>
        <w:pStyle w:val="style0"/>
        <w:rPr/>
      </w:pPr>
    </w:p>
    <w:p w14:paraId="566D1DC2">
      <w:pPr>
        <w:pStyle w:val="style0"/>
        <w:rPr/>
      </w:pPr>
    </w:p>
    <w:p w14:paraId="9CDD01EF">
      <w:pPr>
        <w:pStyle w:val="style0"/>
        <w:rPr/>
      </w:pPr>
    </w:p>
    <w:p w14:paraId="C4C46533">
      <w:pPr>
        <w:pStyle w:val="style0"/>
        <w:rPr/>
      </w:pPr>
    </w:p>
    <w:p w14:paraId="0F4E0E11">
      <w:pPr>
        <w:pStyle w:val="style0"/>
        <w:rPr/>
      </w:pPr>
    </w:p>
    <w:p w14:paraId="187720F8">
      <w:pPr>
        <w:pStyle w:val="style0"/>
        <w:rPr/>
      </w:pPr>
    </w:p>
    <w:p w14:paraId="92548D21">
      <w:pPr>
        <w:pStyle w:val="style0"/>
        <w:rPr/>
      </w:pPr>
    </w:p>
    <w:p w14:paraId="472D39B7">
      <w:pPr>
        <w:pStyle w:val="style0"/>
        <w:rPr/>
      </w:pPr>
    </w:p>
    <w:p w14:paraId="F8B7D8F4">
      <w:pPr>
        <w:pStyle w:val="style0"/>
        <w:rPr/>
      </w:pPr>
    </w:p>
    <w:p w14:paraId="4E96A4A4">
      <w:pPr>
        <w:pStyle w:val="style0"/>
        <w:rPr/>
      </w:pPr>
    </w:p>
    <w:p w14:paraId="077268B7">
      <w:pPr>
        <w:pStyle w:val="style0"/>
        <w:rPr/>
      </w:pPr>
    </w:p>
    <w:p w14:paraId="11D2C96F">
      <w:pPr>
        <w:pStyle w:val="style0"/>
        <w:rPr/>
      </w:pPr>
    </w:p>
    <w:p w14:paraId="EAE7894C">
      <w:pPr>
        <w:pStyle w:val="style0"/>
        <w:rPr/>
      </w:pPr>
    </w:p>
    <w:p w14:paraId="A0FA9AD7">
      <w:pPr>
        <w:pStyle w:val="style0"/>
        <w:rPr/>
      </w:pPr>
    </w:p>
    <w:p w14:paraId="AEA6E35E">
      <w:pPr>
        <w:pStyle w:val="style0"/>
        <w:rPr/>
      </w:pPr>
    </w:p>
    <w:p w14:paraId="36492B58">
      <w:pPr>
        <w:pStyle w:val="style0"/>
        <w:rPr/>
      </w:pPr>
    </w:p>
    <w:p w14:paraId="3067B623">
      <w:pPr>
        <w:pStyle w:val="style0"/>
        <w:rPr/>
      </w:pPr>
    </w:p>
    <w:p w14:paraId="2AE8E00B">
      <w:pPr>
        <w:pStyle w:val="style0"/>
        <w:rPr/>
      </w:pPr>
    </w:p>
    <w:p w14:paraId="CAAF79AC">
      <w:pPr>
        <w:pStyle w:val="style0"/>
        <w:rPr/>
      </w:pPr>
    </w:p>
    <w:p w14:paraId="517F46FF">
      <w:pPr>
        <w:pStyle w:val="style0"/>
        <w:rPr/>
      </w:pPr>
    </w:p>
    <w:p w14:paraId="8B5026F7">
      <w:pPr>
        <w:pStyle w:val="style0"/>
        <w:rPr/>
      </w:pPr>
    </w:p>
    <w:p w14:paraId="984B8FEA">
      <w:pPr>
        <w:pStyle w:val="style0"/>
        <w:rPr/>
      </w:pPr>
    </w:p>
    <w:p w14:paraId="7AC61C04">
      <w:pPr>
        <w:pStyle w:val="style0"/>
        <w:rPr/>
      </w:pPr>
    </w:p>
    <w:p w14:paraId="51EE56E3">
      <w:pPr>
        <w:pStyle w:val="style0"/>
        <w:rPr/>
      </w:pPr>
    </w:p>
    <w:p w14:paraId="094C16F3">
      <w:pPr>
        <w:pStyle w:val="style0"/>
        <w:rPr/>
      </w:pPr>
    </w:p>
    <w:p w14:paraId="FC0D9644">
      <w:pPr>
        <w:pStyle w:val="style0"/>
        <w:rPr/>
      </w:pPr>
    </w:p>
    <w:p w14:paraId="CF922521">
      <w:pPr>
        <w:pStyle w:val="style0"/>
        <w:rPr/>
      </w:pPr>
    </w:p>
    <w:p w14:paraId="42ED6A60">
      <w:pPr>
        <w:pStyle w:val="style0"/>
        <w:rPr/>
      </w:pPr>
    </w:p>
    <w:p w14:paraId="319BF118">
      <w:pPr>
        <w:pStyle w:val="style0"/>
        <w:rPr/>
      </w:pPr>
    </w:p>
    <w:p w14:paraId="5EA26B9C">
      <w:pPr>
        <w:pStyle w:val="style0"/>
        <w:rPr/>
      </w:pPr>
    </w:p>
    <w:p w14:paraId="DAC27691">
      <w:pPr>
        <w:pStyle w:val="style0"/>
        <w:rPr/>
      </w:pPr>
    </w:p>
    <w:p w14:paraId="F154F186">
      <w:pPr>
        <w:pStyle w:val="style0"/>
        <w:rPr/>
      </w:pPr>
      <w:r>
        <w:t xml:space="preserve">贝克曼梁法检测路基路面回弹弯沉  </w:t>
      </w:r>
    </w:p>
    <w:p w14:paraId="96FADA85">
      <w:pPr>
        <w:pStyle w:val="style0"/>
        <w:rPr/>
      </w:pPr>
      <w:r>
        <w:t xml:space="preserve"> 虚拟仿真实验指导手册  </w:t>
      </w:r>
    </w:p>
    <w:p w14:paraId="D814C092">
      <w:pPr>
        <w:pStyle w:val="style0"/>
        <w:rPr/>
      </w:pPr>
      <w:r>
        <w:t xml:space="preserve">所属课程：《公路工程项目管理》综合实训  </w:t>
      </w:r>
    </w:p>
    <w:p w14:paraId="B1D4F5A6">
      <w:pPr>
        <w:pStyle w:val="style0"/>
        <w:rPr/>
      </w:pPr>
      <w:r>
        <w:t xml:space="preserve">仿真平台：RoadLab-VR 3.0  </w:t>
      </w:r>
    </w:p>
    <w:p w14:paraId="BCBCE1F8">
      <w:pPr>
        <w:pStyle w:val="style0"/>
        <w:rPr/>
      </w:pPr>
      <w:r>
        <w:t xml:space="preserve">编制依据：JTG 3450-2019《公路路基路面现场测试规程》  </w:t>
      </w:r>
    </w:p>
    <w:p w14:paraId="2E79CDA4">
      <w:pPr>
        <w:pStyle w:val="style0"/>
        <w:rPr/>
      </w:pPr>
      <w:r>
        <w:t xml:space="preserve">版本号：V1.2  </w:t>
      </w:r>
    </w:p>
    <w:p w14:paraId="5FF735B8">
      <w:pPr>
        <w:pStyle w:val="style0"/>
        <w:rPr/>
      </w:pPr>
    </w:p>
    <w:p w14:paraId="786B19C6">
      <w:pPr>
        <w:pStyle w:val="style0"/>
        <w:rPr/>
      </w:pPr>
      <w:r>
        <w:t>---</w:t>
      </w:r>
    </w:p>
    <w:p w14:paraId="EB9428E0">
      <w:pPr>
        <w:pStyle w:val="style0"/>
        <w:rPr/>
      </w:pPr>
    </w:p>
    <w:p w14:paraId="EC67ABCF">
      <w:pPr>
        <w:pStyle w:val="style0"/>
        <w:rPr/>
      </w:pPr>
      <w:r>
        <w:t xml:space="preserve"> 一、虚拟仿真实验目标  </w:t>
      </w:r>
    </w:p>
    <w:p w14:paraId="6A6F0068">
      <w:pPr>
        <w:pStyle w:val="style0"/>
        <w:rPr/>
      </w:pPr>
      <w:r>
        <w:t xml:space="preserve">1. 掌握贝克曼梁法检测原理（杠杆比为5:1）  </w:t>
      </w:r>
    </w:p>
    <w:p w14:paraId="79736B01">
      <w:pPr>
        <w:pStyle w:val="style0"/>
        <w:rPr/>
      </w:pPr>
      <w:r>
        <w:t xml:space="preserve">2. 规范操作流程：选点→布设→加载→读数→修正  </w:t>
      </w:r>
    </w:p>
    <w:p w14:paraId="7114B22C">
      <w:pPr>
        <w:pStyle w:val="style0"/>
        <w:rPr/>
      </w:pPr>
      <w:r>
        <w:t xml:space="preserve">3. 独立完成弯沉值计算与质量判定  </w:t>
      </w:r>
    </w:p>
    <w:p w14:paraId="10AD08E3">
      <w:pPr>
        <w:pStyle w:val="style0"/>
        <w:rPr/>
      </w:pPr>
      <w:r>
        <w:t xml:space="preserve">4. 生成符合规范的检测报告  </w:t>
      </w:r>
    </w:p>
    <w:p w14:paraId="3D73D8B1">
      <w:pPr>
        <w:pStyle w:val="style0"/>
        <w:rPr/>
      </w:pPr>
    </w:p>
    <w:p w14:paraId="8359F623">
      <w:pPr>
        <w:pStyle w:val="style0"/>
        <w:rPr/>
      </w:pPr>
      <w:r>
        <w:t>---</w:t>
      </w:r>
    </w:p>
    <w:p w14:paraId="4E70AFAB">
      <w:pPr>
        <w:pStyle w:val="style0"/>
        <w:rPr/>
      </w:pPr>
    </w:p>
    <w:p w14:paraId="13798FAF">
      <w:pPr>
        <w:pStyle w:val="style0"/>
        <w:rPr/>
      </w:pPr>
      <w:r>
        <w:t xml:space="preserve"> 二、虚拟设备与场景配置  </w:t>
      </w:r>
    </w:p>
    <w:p w14:paraId="686CD078">
      <w:pPr>
        <w:pStyle w:val="style0"/>
        <w:rPr/>
      </w:pPr>
      <w:r>
        <w:t xml:space="preserve"> 虚拟设备  技术参数  操作功能   </w:t>
      </w:r>
    </w:p>
    <w:p w14:paraId="11DAFA1C">
      <w:pPr>
        <w:pStyle w:val="style0"/>
        <w:rPr/>
      </w:pPr>
      <w:r>
        <w:t xml:space="preserve">  </w:t>
      </w:r>
    </w:p>
    <w:p w14:paraId="D33E90B4">
      <w:pPr>
        <w:pStyle w:val="style0"/>
        <w:rPr/>
      </w:pPr>
      <w:r>
        <w:t xml:space="preserve"> 贝克曼梁  5.4m铝合金梁（分3段）  自由组装/气泡调平   </w:t>
      </w:r>
    </w:p>
    <w:p w14:paraId="51BA7A4E">
      <w:pPr>
        <w:pStyle w:val="style0"/>
        <w:rPr/>
      </w:pPr>
      <w:r>
        <w:t xml:space="preserve"> 测试车  BZZ100标准轴载  后轴双轮加载（10cm重叠）   </w:t>
      </w:r>
    </w:p>
    <w:p w14:paraId="FB9A502C">
      <w:pPr>
        <w:pStyle w:val="style0"/>
        <w:rPr/>
      </w:pPr>
      <w:r>
        <w:t xml:space="preserve"> 百分表  量程010mm/精度0.01mm  虚拟读数/清零/锁定   </w:t>
      </w:r>
    </w:p>
    <w:p w14:paraId="549E3BA9">
      <w:pPr>
        <w:pStyle w:val="style0"/>
        <w:rPr/>
      </w:pPr>
      <w:r>
        <w:t xml:space="preserve"> 环境模拟模块  温度10℃~45℃可调  自动计算温度修正系数   </w:t>
      </w:r>
    </w:p>
    <w:p w14:paraId="49E256BE">
      <w:pPr>
        <w:pStyle w:val="style0"/>
        <w:rPr/>
      </w:pPr>
    </w:p>
    <w:p w14:paraId="94202764">
      <w:pPr>
        <w:pStyle w:val="style0"/>
        <w:rPr/>
      </w:pPr>
      <w:r>
        <w:t xml:space="preserve">&gt; *场景选择：沥青路面（连续检测段）/水泥路面（接缝检测点）*  </w:t>
      </w:r>
    </w:p>
    <w:p w14:paraId="89E7EE51">
      <w:pPr>
        <w:pStyle w:val="style0"/>
        <w:rPr/>
      </w:pPr>
    </w:p>
    <w:p w14:paraId="579DC096">
      <w:pPr>
        <w:pStyle w:val="style0"/>
        <w:rPr/>
      </w:pPr>
    </w:p>
    <w:p w14:paraId="07B0D408">
      <w:pPr>
        <w:pStyle w:val="style0"/>
        <w:rPr/>
      </w:pPr>
      <w:r>
        <w:rPr/>
        <w:drawing>
          <wp:inline distL="0" distT="0" distB="0" distR="0">
            <wp:extent cx="5667340" cy="3049014"/>
            <wp:effectExtent l="0" t="0" r="0" b="0"/>
            <wp:docPr id="1028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5667340" cy="3049014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BEADCD2B">
      <w:pPr>
        <w:pStyle w:val="style0"/>
        <w:rPr/>
      </w:pPr>
      <w:r>
        <w:t xml:space="preserve"> 三、标准化操作流程（VR交互指令）  </w:t>
      </w:r>
    </w:p>
    <w:p w14:paraId="90B823B1">
      <w:pPr>
        <w:pStyle w:val="style0"/>
        <w:rPr/>
      </w:pPr>
      <w:r>
        <w:t>mermaid</w:t>
      </w:r>
    </w:p>
    <w:p w14:paraId="9473B880">
      <w:pPr>
        <w:pStyle w:val="style0"/>
        <w:rPr/>
      </w:pPr>
      <w:r>
        <w:t>graph TB</w:t>
      </w:r>
    </w:p>
    <w:p w14:paraId="3A34FF74">
      <w:pPr>
        <w:pStyle w:val="style0"/>
        <w:rPr/>
      </w:pPr>
      <w:r>
        <w:t xml:space="preserve">    A布点 --&gt;按20m间距标点 B架梁调平</w:t>
      </w:r>
    </w:p>
    <w:p w14:paraId="EDE8B7EF">
      <w:pPr>
        <w:pStyle w:val="style0"/>
        <w:rPr/>
      </w:pPr>
      <w:r>
        <w:t xml:space="preserve">    B --&gt;气泡居中误差≤2° C安装百分表</w:t>
      </w:r>
    </w:p>
    <w:p w14:paraId="14C36023">
      <w:pPr>
        <w:pStyle w:val="style0"/>
        <w:rPr/>
      </w:pPr>
      <w:r>
        <w:t xml:space="preserve">    C --&gt;距测点50cm D测试车就位</w:t>
      </w:r>
    </w:p>
    <w:p w14:paraId="980ED430">
      <w:pPr>
        <w:pStyle w:val="style0"/>
        <w:rPr/>
      </w:pPr>
      <w:r>
        <w:t xml:space="preserve">    D --&gt;后轮隙对准测点 E读取初值L1</w:t>
      </w:r>
    </w:p>
    <w:p w14:paraId="82B7DE9F">
      <w:pPr>
        <w:pStyle w:val="style0"/>
        <w:rPr/>
      </w:pPr>
      <w:r>
        <w:t xml:space="preserve">    E --&gt;加载5min F读取终值L2</w:t>
      </w:r>
    </w:p>
    <w:p w14:paraId="1807F966">
      <w:pPr>
        <w:pStyle w:val="style0"/>
        <w:rPr/>
      </w:pPr>
      <w:r>
        <w:t xml:space="preserve">    F --&gt; G计算弯沉值 Lt=2(L2-L1)</w:t>
      </w:r>
    </w:p>
    <w:p w14:paraId="6A8FE650">
      <w:pPr>
        <w:pStyle w:val="style0"/>
        <w:rPr/>
      </w:pPr>
      <w:r>
        <w:t xml:space="preserve">关键操作警示：  </w:t>
      </w:r>
    </w:p>
    <w:p w14:paraId="B06D8201">
      <w:pPr>
        <w:pStyle w:val="style0"/>
        <w:rPr/>
      </w:pPr>
      <w:r>
        <w:t xml:space="preserve">⚠️ 轮胎接地压力必须保持 0.7MPa±0.05MPa  </w:t>
      </w:r>
    </w:p>
    <w:p w14:paraId="7A42249F">
      <w:pPr>
        <w:pStyle w:val="style0"/>
        <w:rPr/>
      </w:pPr>
      <w:r>
        <w:t xml:space="preserve">⚠️ 百分表指针归零后方可加载  </w:t>
      </w:r>
    </w:p>
    <w:p w14:paraId="50DB850D">
      <w:pPr>
        <w:pStyle w:val="style0"/>
        <w:rPr/>
      </w:pPr>
      <w:r>
        <w:t xml:space="preserve"> 四、数据处理与修正公式  </w:t>
      </w:r>
    </w:p>
    <w:p w14:paraId="CD76348B">
      <w:pPr>
        <w:pStyle w:val="style0"/>
        <w:rPr/>
      </w:pPr>
      <w:r>
        <w:t xml:space="preserve"> 1. 原始弯沉值计算  </w:t>
      </w:r>
    </w:p>
    <w:p w14:paraId="91AD693F">
      <w:pPr>
        <w:pStyle w:val="style0"/>
        <w:rPr/>
      </w:pPr>
      <w:r>
        <w:t xml:space="preserve">公式：  </w:t>
      </w:r>
    </w:p>
    <w:p w14:paraId="BEA30F56">
      <w:pPr>
        <w:pStyle w:val="style0"/>
        <w:rPr/>
      </w:pPr>
      <w:r>
        <w:t xml:space="preserve">\ L_t = 2 \times (L_2 - L_1) \  </w:t>
      </w:r>
    </w:p>
    <w:p w14:paraId="373AD13A">
      <w:pPr>
        <w:pStyle w:val="style0"/>
        <w:rPr/>
      </w:pPr>
      <w:r>
        <w:t xml:space="preserve">式中：  </w:t>
      </w:r>
    </w:p>
    <w:p w14:paraId="E180A393">
      <w:pPr>
        <w:pStyle w:val="style0"/>
        <w:rPr/>
      </w:pPr>
      <w:r>
        <w:t xml:space="preserve">- \( L_1 \)：初始读数（0.01mm）  </w:t>
      </w:r>
    </w:p>
    <w:p w14:paraId="12D3474D">
      <w:pPr>
        <w:pStyle w:val="style0"/>
        <w:rPr/>
      </w:pPr>
      <w:r>
        <w:t xml:space="preserve">- \( L_2 \)：加载终读数（0.01mm） </w:t>
      </w:r>
    </w:p>
    <w:p w14:paraId="65351D56">
      <w:pPr>
        <w:pStyle w:val="style0"/>
        <w:rPr/>
      </w:pPr>
      <w:r>
        <w:t xml:space="preserve"> 2. 温度修正（沥青路面专用）  </w:t>
      </w:r>
    </w:p>
    <w:p w14:paraId="C8BAFFF8">
      <w:pPr>
        <w:pStyle w:val="style0"/>
        <w:rPr/>
      </w:pPr>
      <w:r>
        <w:t xml:space="preserve">公式：  </w:t>
      </w:r>
    </w:p>
    <w:p w14:paraId="63EF35A1">
      <w:pPr>
        <w:pStyle w:val="style0"/>
        <w:rPr/>
      </w:pPr>
      <w:r>
        <w:t xml:space="preserve">\ L_{20} = L_t \times K_1 \  </w:t>
      </w:r>
    </w:p>
    <w:p w14:paraId="2B8F1177">
      <w:pPr>
        <w:pStyle w:val="style0"/>
        <w:rPr/>
      </w:pPr>
      <w:r>
        <w:t xml:space="preserve">修正系数表：  </w:t>
      </w:r>
    </w:p>
    <w:p w14:paraId="487C3346">
      <w:pPr>
        <w:pStyle w:val="style0"/>
        <w:rPr/>
      </w:pPr>
      <w:r>
        <w:t xml:space="preserve"> 路面温度(℃)  K₁   </w:t>
      </w:r>
    </w:p>
    <w:p w14:paraId="A0B3BAE6">
      <w:pPr>
        <w:pStyle w:val="style0"/>
        <w:rPr/>
      </w:pPr>
      <w:r>
        <w:t xml:space="preserve"> 15  1.32   </w:t>
      </w:r>
    </w:p>
    <w:p w14:paraId="83A0B82D">
      <w:pPr>
        <w:pStyle w:val="style0"/>
        <w:rPr/>
      </w:pPr>
      <w:r>
        <w:t xml:space="preserve"> 25  1.00   </w:t>
      </w:r>
    </w:p>
    <w:p w14:paraId="00186152">
      <w:pPr>
        <w:pStyle w:val="style0"/>
        <w:rPr/>
      </w:pPr>
      <w:r>
        <w:t xml:space="preserve"> 35  0.83  </w:t>
      </w:r>
    </w:p>
    <w:p w14:paraId="8E8977B9">
      <w:pPr>
        <w:pStyle w:val="style0"/>
        <w:rPr/>
      </w:pPr>
      <w:r>
        <w:t xml:space="preserve"> 3. 质量判定标准  </w:t>
      </w:r>
    </w:p>
    <w:p w14:paraId="741EE9BB">
      <w:pPr>
        <w:pStyle w:val="style0"/>
        <w:rPr/>
      </w:pPr>
      <w:r>
        <w:t xml:space="preserve"> 路面类型  设计弯沉(0.01mm)  合格判定值   </w:t>
      </w:r>
    </w:p>
    <w:p w14:paraId="3ABF10DC">
      <w:pPr>
        <w:pStyle w:val="style0"/>
        <w:rPr/>
      </w:pPr>
      <w:r>
        <w:t xml:space="preserve"> 高速公路沥青  20.5  Lt≤设计值   </w:t>
      </w:r>
    </w:p>
    <w:p w14:paraId="5ED64861">
      <w:pPr>
        <w:pStyle w:val="style0"/>
        <w:rPr/>
      </w:pPr>
      <w:r>
        <w:t xml:space="preserve"> 一级水泥路面  24.8  Lt≤设计值×1.2   </w:t>
      </w:r>
    </w:p>
    <w:p w14:paraId="15A02947">
      <w:pPr>
        <w:pStyle w:val="style0"/>
        <w:rPr/>
      </w:pPr>
      <w:r>
        <w:t xml:space="preserve"> 五、虚拟仿真评分体系（满分100分）  </w:t>
      </w:r>
    </w:p>
    <w:p w14:paraId="143FBAF6">
      <w:pPr>
        <w:pStyle w:val="style0"/>
        <w:rPr/>
      </w:pPr>
      <w:r>
        <w:t xml:space="preserve"> 评分模块  考核要点  分值   </w:t>
      </w:r>
    </w:p>
    <w:p w14:paraId="C1B2C148">
      <w:pPr>
        <w:pStyle w:val="style0"/>
        <w:rPr/>
      </w:pPr>
      <w:r>
        <w:t xml:space="preserve"> 操作规范性  设备架设误差≤3%  30   </w:t>
      </w:r>
    </w:p>
    <w:p w14:paraId="8F54DAA0">
      <w:pPr>
        <w:pStyle w:val="style0"/>
        <w:rPr/>
      </w:pPr>
      <w:r>
        <w:t xml:space="preserve"> 数据采集  5次平行检测的变异系数≤15%  25   </w:t>
      </w:r>
    </w:p>
    <w:p w14:paraId="2DA6CCF0">
      <w:pPr>
        <w:pStyle w:val="style0"/>
        <w:rPr/>
      </w:pPr>
      <w:r>
        <w:t xml:space="preserve"> 计算准确性  修正值与理论值偏差≤5%  30   </w:t>
      </w:r>
    </w:p>
    <w:p w14:paraId="AB3DD6F0">
      <w:pPr>
        <w:pStyle w:val="style0"/>
        <w:rPr/>
      </w:pPr>
      <w:r>
        <w:t xml:space="preserve"> 报告完整性  含温度修正与结论判定  15   </w:t>
      </w:r>
    </w:p>
    <w:p w14:paraId="6629677A">
      <w:pPr>
        <w:pStyle w:val="style0"/>
        <w:rPr/>
      </w:pPr>
      <w:r>
        <w:t xml:space="preserve"> 六、虚拟故障设定（实训能力拓展）  </w:t>
      </w:r>
    </w:p>
    <w:p w14:paraId="A02DB130">
      <w:pPr>
        <w:pStyle w:val="style0"/>
        <w:rPr/>
      </w:pPr>
      <w:r>
        <w:t xml:space="preserve">故障现象  原因分析  处理方案   </w:t>
      </w:r>
    </w:p>
    <w:p w14:paraId="0C9A646F">
      <w:pPr>
        <w:pStyle w:val="style0"/>
        <w:rPr/>
      </w:pPr>
      <w:r>
        <w:t xml:space="preserve">  </w:t>
      </w:r>
    </w:p>
    <w:p w14:paraId="9856B9F2">
      <w:pPr>
        <w:pStyle w:val="style0"/>
        <w:rPr/>
      </w:pPr>
      <w:r>
        <w:t xml:space="preserve"> 百分表不回零  支脚地基松软  换点+加固基础   </w:t>
      </w:r>
    </w:p>
    <w:p w14:paraId="EED8AB17">
      <w:pPr>
        <w:pStyle w:val="style0"/>
        <w:rPr/>
      </w:pPr>
      <w:r>
        <w:t xml:space="preserve"> 读数波动＞10%  轮胎气压不足  补充胎压至0.7MPa   </w:t>
      </w:r>
    </w:p>
    <w:p w14:paraId="12DC5CDE">
      <w:pPr>
        <w:pStyle w:val="style0"/>
        <w:rPr/>
      </w:pPr>
      <w:r>
        <w:t xml:space="preserve"> 弯沉值异常偏大  基层存在暗穴  标记点位并扩大检测范围   </w:t>
      </w:r>
    </w:p>
    <w:p w14:paraId="C00B8318">
      <w:pPr>
        <w:pStyle w:val="style0"/>
        <w:rPr/>
      </w:pP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813</Words>
  <Characters>1043</Characters>
  <Application>WPS Office</Application>
  <Paragraphs>124</Paragraphs>
  <CharactersWithSpaces>1398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2025-06-23T04:49:40Z</dcterms:created>
  <dc:creator>2312DRA50C</dc:creator>
  <lastModifiedBy>2312DRA50C</lastModifiedBy>
  <dcterms:modified xsi:type="dcterms:W3CDTF">2025-06-23T04:59:50Z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cd5e2bf3c0134194a62ec44052d3b354_21</vt:lpwstr>
  </property>
</Properties>
</file>