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E21729">
      <w:r>
        <w:drawing>
          <wp:anchor distT="0" distB="0" distL="114300" distR="114300" simplePos="0" relativeHeight="251659264" behindDoc="1" locked="0" layoutInCell="1" allowOverlap="1">
            <wp:simplePos x="0" y="0"/>
            <wp:positionH relativeFrom="column">
              <wp:posOffset>-448945</wp:posOffset>
            </wp:positionH>
            <wp:positionV relativeFrom="paragraph">
              <wp:posOffset>-446405</wp:posOffset>
            </wp:positionV>
            <wp:extent cx="7545705" cy="1067308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7545499" cy="10673255"/>
                    </a:xfrm>
                    <a:prstGeom prst="rect">
                      <a:avLst/>
                    </a:prstGeom>
                  </pic:spPr>
                </pic:pic>
              </a:graphicData>
            </a:graphic>
          </wp:anchor>
        </w:drawing>
      </w:r>
    </w:p>
    <w:p w14:paraId="5986FCE1">
      <w:r>
        <w:pict>
          <v:shape id="8b92b0ad-71f6-48c9-a50b-6b8c7523d171" o:spid="_x0000_s1026" o:spt="202" type="#_x0000_t202" style="position:absolute;left:0pt;margin-left:0pt;margin-top:94.5pt;height:300pt;width:495.5pt;z-index:251660288;mso-width-relative:page;mso-height-relative:page;" filled="f" stroked="f" coordsize="21600,21600">
            <v:path/>
            <v:fill on="f" focussize="0,0"/>
            <v:stroke on="f" weight="0.5pt"/>
            <v:imagedata o:title=""/>
            <o:lock v:ext="edit" aspectratio="f"/>
            <v:textbox style="mso-fit-shape-to-text:t;">
              <w:txbxContent>
                <w:p w14:paraId="34E25DAA">
                  <w:pPr>
                    <w:jc w:val="left"/>
                    <w:rPr>
                      <w:rFonts w:hint="eastAsia"/>
                      <w:b/>
                      <w:color w:val="F85025"/>
                      <w:sz w:val="96"/>
                    </w:rPr>
                  </w:pPr>
                  <w:r>
                    <w:rPr>
                      <w:rFonts w:hint="eastAsia"/>
                      <w:b/>
                      <w:color w:val="F85025"/>
                      <w:sz w:val="96"/>
                    </w:rPr>
                    <w:t>全球及</w:t>
                  </w:r>
                  <w:r>
                    <w:rPr>
                      <w:rFonts w:hint="eastAsia"/>
                      <w:b/>
                      <w:color w:val="F85025"/>
                      <w:sz w:val="96"/>
                      <w:lang w:val="en-US" w:eastAsia="zh-CN"/>
                    </w:rPr>
                    <w:t>国产</w:t>
                  </w:r>
                  <w:r>
                    <w:rPr>
                      <w:rFonts w:hint="eastAsia"/>
                      <w:b/>
                      <w:color w:val="F85025"/>
                      <w:sz w:val="96"/>
                    </w:rPr>
                    <w:t>高纯锗行业</w:t>
                  </w:r>
                </w:p>
                <w:p w14:paraId="4F38A738">
                  <w:pPr>
                    <w:jc w:val="left"/>
                    <w:rPr>
                      <w:rFonts w:hint="eastAsia"/>
                      <w:b/>
                      <w:color w:val="F85025"/>
                      <w:sz w:val="44"/>
                      <w:szCs w:val="44"/>
                    </w:rPr>
                  </w:pPr>
                  <w:r>
                    <w:rPr>
                      <w:rFonts w:hint="eastAsia"/>
                      <w:b/>
                      <w:color w:val="F85025"/>
                      <w:sz w:val="44"/>
                      <w:szCs w:val="44"/>
                      <w:lang w:eastAsia="zh-CN"/>
                    </w:rPr>
                    <w:t>——</w:t>
                  </w:r>
                  <w:r>
                    <w:rPr>
                      <w:rFonts w:hint="eastAsia"/>
                      <w:b/>
                      <w:color w:val="F85025"/>
                      <w:sz w:val="44"/>
                      <w:szCs w:val="44"/>
                    </w:rPr>
                    <w:t>前景应用规模与发展趋势预测报告</w:t>
                  </w:r>
                </w:p>
                <w:p w14:paraId="0A917BB1">
                  <w:pPr>
                    <w:jc w:val="left"/>
                    <w:rPr>
                      <w:rFonts w:hint="eastAsia"/>
                      <w:b/>
                      <w:color w:val="F85025"/>
                      <w:sz w:val="44"/>
                      <w:szCs w:val="44"/>
                    </w:rPr>
                  </w:pPr>
                </w:p>
                <w:p w14:paraId="2014B452">
                  <w:pPr>
                    <w:jc w:val="left"/>
                    <w:rPr>
                      <w:rFonts w:hint="eastAsia"/>
                      <w:b/>
                      <w:color w:val="F85025"/>
                      <w:sz w:val="44"/>
                      <w:szCs w:val="44"/>
                    </w:rPr>
                  </w:pPr>
                </w:p>
                <w:p w14:paraId="568BF79B">
                  <w:pPr>
                    <w:jc w:val="left"/>
                    <w:rPr>
                      <w:rFonts w:hint="eastAsia"/>
                      <w:b/>
                      <w:color w:val="F85025"/>
                      <w:sz w:val="44"/>
                      <w:szCs w:val="44"/>
                    </w:rPr>
                  </w:pPr>
                </w:p>
                <w:p w14:paraId="779A56EA">
                  <w:pPr>
                    <w:jc w:val="left"/>
                    <w:rPr>
                      <w:rFonts w:hint="eastAsia"/>
                      <w:b/>
                      <w:color w:val="F85025"/>
                      <w:sz w:val="44"/>
                      <w:szCs w:val="44"/>
                    </w:rPr>
                  </w:pPr>
                </w:p>
                <w:p w14:paraId="2C07A729">
                  <w:pPr>
                    <w:jc w:val="left"/>
                    <w:rPr>
                      <w:rFonts w:hint="eastAsia"/>
                      <w:b/>
                      <w:color w:val="F85025"/>
                      <w:sz w:val="44"/>
                      <w:szCs w:val="44"/>
                    </w:rPr>
                  </w:pPr>
                </w:p>
                <w:p w14:paraId="5D9E9E1E">
                  <w:pPr>
                    <w:jc w:val="left"/>
                    <w:rPr>
                      <w:rFonts w:hint="eastAsia"/>
                      <w:b/>
                      <w:color w:val="F85025"/>
                      <w:sz w:val="44"/>
                      <w:szCs w:val="44"/>
                    </w:rPr>
                  </w:pPr>
                </w:p>
                <w:p w14:paraId="164D1528">
                  <w:pPr>
                    <w:jc w:val="left"/>
                    <w:rPr>
                      <w:rFonts w:hint="eastAsia"/>
                      <w:b/>
                      <w:color w:val="F85025"/>
                      <w:sz w:val="44"/>
                      <w:szCs w:val="44"/>
                    </w:rPr>
                  </w:pPr>
                </w:p>
                <w:p w14:paraId="6172BA60">
                  <w:pPr>
                    <w:jc w:val="left"/>
                    <w:rPr>
                      <w:rFonts w:hint="eastAsia"/>
                      <w:b/>
                      <w:color w:val="F85025"/>
                      <w:sz w:val="44"/>
                      <w:szCs w:val="44"/>
                    </w:rPr>
                  </w:pPr>
                </w:p>
                <w:p w14:paraId="3DB05172">
                  <w:pPr>
                    <w:jc w:val="left"/>
                    <w:rPr>
                      <w:rFonts w:hint="default"/>
                      <w:color w:val="000000"/>
                      <w:sz w:val="32"/>
                      <w:lang w:val="en-US" w:eastAsia="zh-CN"/>
                    </w:rPr>
                  </w:pPr>
                  <w:r>
                    <w:rPr>
                      <w:rFonts w:hint="eastAsia"/>
                      <w:color w:val="000000"/>
                      <w:sz w:val="32"/>
                      <w:lang w:val="en-US" w:eastAsia="zh-CN"/>
                    </w:rPr>
                    <w:t>91材料网：王强</w:t>
                  </w:r>
                </w:p>
                <w:p w14:paraId="22C43F15">
                  <w:pPr>
                    <w:jc w:val="left"/>
                    <w:rPr>
                      <w:rFonts w:hint="eastAsia" w:eastAsiaTheme="minorEastAsia"/>
                      <w:lang w:val="en-US" w:eastAsia="zh-CN"/>
                    </w:rPr>
                  </w:pPr>
                  <w:r>
                    <w:rPr>
                      <w:rFonts w:hint="eastAsia"/>
                      <w:color w:val="000000"/>
                      <w:sz w:val="32"/>
                    </w:rPr>
                    <w:t>2024年10</w:t>
                  </w:r>
                  <w:r>
                    <w:rPr>
                      <w:rFonts w:hint="eastAsia"/>
                      <w:color w:val="000000"/>
                      <w:sz w:val="32"/>
                      <w:lang w:val="en-US" w:eastAsia="zh-CN"/>
                    </w:rPr>
                    <w:t>月</w:t>
                  </w:r>
                </w:p>
              </w:txbxContent>
            </v:textbox>
          </v:shape>
        </w:pict>
      </w:r>
    </w:p>
    <w:p w14:paraId="3D482B7D">
      <w:pPr>
        <w:sectPr>
          <w:headerReference r:id="rId5" w:type="default"/>
          <w:footerReference r:id="rId6" w:type="default"/>
          <w:pgSz w:w="11910" w:h="16845"/>
          <w:pgMar w:top="720" w:right="720" w:bottom="720" w:left="720" w:header="855" w:footer="990" w:gutter="0"/>
          <w:cols w:space="720" w:num="1"/>
        </w:sectPr>
      </w:pPr>
    </w:p>
    <w:p w14:paraId="10F134EE">
      <w:pPr>
        <w:pStyle w:val="2"/>
        <w:spacing w:before="0" w:line="288" w:lineRule="auto"/>
      </w:pPr>
      <w:bookmarkStart w:id="0" w:name="_Toc4668071"/>
      <w:bookmarkStart w:id="36" w:name="_GoBack"/>
      <w:bookmarkEnd w:id="36"/>
      <w:r>
        <w:rPr>
          <w:rFonts w:hint="eastAsia"/>
          <w:color w:val="F85025"/>
          <w:sz w:val="42"/>
        </w:rPr>
        <w:t>摘要</w:t>
      </w:r>
      <w:bookmarkEnd w:id="0"/>
    </w:p>
    <w:p w14:paraId="447B488F">
      <w:pPr>
        <w:spacing w:line="360" w:lineRule="auto"/>
        <w:ind w:firstLine="480" w:firstLineChars="200"/>
      </w:pPr>
      <w:r>
        <w:rPr>
          <w:rFonts w:hint="eastAsia"/>
          <w:sz w:val="24"/>
        </w:rPr>
        <w:t>本文主要介绍了高纯锗行业的概述、市场供需分析、竞争格局、财务状况、技术应用与创新、市场预测以及行业发展策略与建议。文章首先定义了高纯锗及其行业分类，回顾了行业的发展历程和现状。接着，文章详细分析了高纯锗市场的供需情况，包括产能、产量、市场需求及消费结构等，并预测了未来市场的发展趋势。在竞争格局部分，文章介绍了主要生产企业及其市场份额，并分析了竞争策略及优劣势。此外，文章还评估了行业的财务状况，包括盈利能力、偿债能力、营运能力和发展能力。文章还分析了高纯锗行业的技术应用与创新，并探讨了其发展趋势和对行业的影响。最后，文章提出了行业发展策略与建议，并展望了行业的可持续发展前景与挑战。通过本文的分析，读者可以全面了解高纯锗行业的现状和未来发展趋势。</w:t>
      </w:r>
      <w:r>
        <w:br w:type="page"/>
      </w:r>
    </w:p>
    <w:sdt>
      <w:sdtPr>
        <w:rPr>
          <w:rFonts w:asciiTheme="minorHAnsi" w:hAnsiTheme="minorHAnsi" w:eastAsiaTheme="minorHAnsi" w:cstheme="minorBidi"/>
          <w:b w:val="0"/>
          <w:bCs w:val="0"/>
          <w:color w:val="auto"/>
          <w:sz w:val="22"/>
          <w:szCs w:val="22"/>
        </w:rPr>
        <w:id w:val="1575779395"/>
        <w:docPartObj>
          <w:docPartGallery w:val="Table of Contents"/>
          <w:docPartUnique/>
        </w:docPartObj>
      </w:sdtPr>
      <w:sdtEndPr>
        <w:rPr>
          <w:rFonts w:asciiTheme="minorHAnsi" w:hAnsiTheme="minorHAnsi" w:eastAsiaTheme="minorEastAsia" w:cstheme="minorBidi"/>
          <w:b w:val="0"/>
          <w:bCs w:val="0"/>
          <w:color w:val="auto"/>
          <w:sz w:val="22"/>
          <w:szCs w:val="22"/>
        </w:rPr>
      </w:sdtEndPr>
      <w:sdtContent>
        <w:p w14:paraId="21BEADFE">
          <w:pPr>
            <w:pStyle w:val="33"/>
          </w:pPr>
          <w:r>
            <w:rPr>
              <w:color w:val="F85025"/>
              <w:sz w:val="42"/>
            </w:rPr>
            <w:t>目录</w:t>
          </w:r>
        </w:p>
        <w:p w14:paraId="5780C2CD">
          <w:pPr>
            <w:pStyle w:val="14"/>
            <w:tabs>
              <w:tab w:val="right" w:leader="dot" w:pos="8295"/>
            </w:tabs>
          </w:pPr>
          <w:r>
            <w:fldChar w:fldCharType="begin"/>
          </w:r>
          <w:r>
            <w:instrText xml:space="preserve">TOC \o "1-3" \h \z \u</w:instrText>
          </w:r>
          <w:r>
            <w:fldChar w:fldCharType="separate"/>
          </w:r>
          <w:r>
            <w:fldChar w:fldCharType="begin"/>
          </w:r>
          <w:r>
            <w:instrText xml:space="preserve"> HYPERLINK \l "_Toc4668071" </w:instrText>
          </w:r>
          <w:r>
            <w:fldChar w:fldCharType="separate"/>
          </w:r>
          <w:r>
            <w:rPr>
              <w:rStyle w:val="25"/>
              <w:rFonts w:hint="eastAsia"/>
              <w:b/>
              <w:sz w:val="32"/>
            </w:rPr>
            <w:t>摘要</w:t>
          </w:r>
          <w:r>
            <w:rPr>
              <w:b/>
              <w:sz w:val="32"/>
            </w:rPr>
            <w:tab/>
          </w:r>
          <w:r>
            <w:rPr>
              <w:b/>
              <w:sz w:val="32"/>
            </w:rPr>
            <w:fldChar w:fldCharType="begin"/>
          </w:r>
          <w:r>
            <w:rPr>
              <w:b/>
              <w:sz w:val="32"/>
            </w:rPr>
            <w:instrText xml:space="preserve">PAGEREF _Toc4668071 \h</w:instrText>
          </w:r>
          <w:r>
            <w:rPr>
              <w:b/>
              <w:sz w:val="32"/>
            </w:rPr>
            <w:fldChar w:fldCharType="separate"/>
          </w:r>
          <w:r>
            <w:rPr>
              <w:b/>
              <w:sz w:val="32"/>
            </w:rPr>
            <w:t>2</w:t>
          </w:r>
          <w:r>
            <w:rPr>
              <w:b/>
              <w:sz w:val="32"/>
            </w:rPr>
            <w:fldChar w:fldCharType="end"/>
          </w:r>
          <w:r>
            <w:rPr>
              <w:b/>
              <w:sz w:val="32"/>
            </w:rPr>
            <w:fldChar w:fldCharType="end"/>
          </w:r>
        </w:p>
        <w:p w14:paraId="65C9B194">
          <w:pPr>
            <w:pStyle w:val="14"/>
            <w:tabs>
              <w:tab w:val="right" w:leader="dot" w:pos="8295"/>
            </w:tabs>
          </w:pPr>
          <w:r>
            <w:fldChar w:fldCharType="begin"/>
          </w:r>
          <w:r>
            <w:instrText xml:space="preserve"> HYPERLINK \l "_Toc4668072" </w:instrText>
          </w:r>
          <w:r>
            <w:fldChar w:fldCharType="separate"/>
          </w:r>
          <w:r>
            <w:rPr>
              <w:rStyle w:val="25"/>
              <w:rFonts w:hint="eastAsia"/>
              <w:b/>
              <w:sz w:val="32"/>
            </w:rPr>
            <w:t>第一章 </w:t>
          </w:r>
          <w:r>
            <w:rPr>
              <w:rStyle w:val="25"/>
              <w:rFonts w:hint="eastAsia" w:ascii="等线" w:hAnsi="等线" w:eastAsia="等线" w:cs="等线"/>
              <w:b/>
              <w:sz w:val="32"/>
            </w:rPr>
            <w:t>高纯锗行业概述</w:t>
          </w:r>
          <w:r>
            <w:rPr>
              <w:b/>
              <w:sz w:val="32"/>
            </w:rPr>
            <w:tab/>
          </w:r>
          <w:r>
            <w:rPr>
              <w:b/>
              <w:sz w:val="32"/>
            </w:rPr>
            <w:fldChar w:fldCharType="begin"/>
          </w:r>
          <w:r>
            <w:rPr>
              <w:b/>
              <w:sz w:val="32"/>
            </w:rPr>
            <w:instrText xml:space="preserve">PAGEREF _Toc4668072 \h</w:instrText>
          </w:r>
          <w:r>
            <w:rPr>
              <w:b/>
              <w:sz w:val="32"/>
            </w:rPr>
            <w:fldChar w:fldCharType="separate"/>
          </w:r>
          <w:r>
            <w:rPr>
              <w:b/>
              <w:sz w:val="32"/>
            </w:rPr>
            <w:t>5</w:t>
          </w:r>
          <w:r>
            <w:rPr>
              <w:b/>
              <w:sz w:val="32"/>
            </w:rPr>
            <w:fldChar w:fldCharType="end"/>
          </w:r>
          <w:r>
            <w:rPr>
              <w:b/>
              <w:sz w:val="32"/>
            </w:rPr>
            <w:fldChar w:fldCharType="end"/>
          </w:r>
        </w:p>
        <w:p w14:paraId="10DF414F">
          <w:pPr>
            <w:pStyle w:val="18"/>
            <w:tabs>
              <w:tab w:val="right" w:leader="dot" w:pos="8295"/>
            </w:tabs>
          </w:pPr>
          <w:r>
            <w:fldChar w:fldCharType="begin"/>
          </w:r>
          <w:r>
            <w:instrText xml:space="preserve"> HYPERLINK \l "_Toc4668073" </w:instrText>
          </w:r>
          <w:r>
            <w:fldChar w:fldCharType="separate"/>
          </w:r>
          <w:r>
            <w:rPr>
              <w:rStyle w:val="25"/>
              <w:rFonts w:hint="eastAsia"/>
              <w:b/>
              <w:sz w:val="24"/>
            </w:rPr>
            <w:t>一、 </w:t>
          </w:r>
          <w:r>
            <w:rPr>
              <w:rStyle w:val="25"/>
              <w:rFonts w:hint="eastAsia" w:ascii="等线" w:hAnsi="等线" w:eastAsia="等线" w:cs="等线"/>
              <w:b/>
              <w:sz w:val="24"/>
            </w:rPr>
            <w:t>行业定义与分类</w:t>
          </w:r>
          <w:r>
            <w:rPr>
              <w:b/>
              <w:sz w:val="24"/>
            </w:rPr>
            <w:tab/>
          </w:r>
          <w:r>
            <w:rPr>
              <w:b/>
              <w:sz w:val="24"/>
            </w:rPr>
            <w:fldChar w:fldCharType="begin"/>
          </w:r>
          <w:r>
            <w:rPr>
              <w:b/>
              <w:sz w:val="24"/>
            </w:rPr>
            <w:instrText xml:space="preserve">PAGEREF _Toc4668073 \h</w:instrText>
          </w:r>
          <w:r>
            <w:rPr>
              <w:b/>
              <w:sz w:val="24"/>
            </w:rPr>
            <w:fldChar w:fldCharType="separate"/>
          </w:r>
          <w:r>
            <w:rPr>
              <w:b/>
              <w:sz w:val="24"/>
            </w:rPr>
            <w:t>5</w:t>
          </w:r>
          <w:r>
            <w:rPr>
              <w:b/>
              <w:sz w:val="24"/>
            </w:rPr>
            <w:fldChar w:fldCharType="end"/>
          </w:r>
          <w:r>
            <w:rPr>
              <w:b/>
              <w:sz w:val="24"/>
            </w:rPr>
            <w:fldChar w:fldCharType="end"/>
          </w:r>
        </w:p>
        <w:p w14:paraId="5840FD77">
          <w:pPr>
            <w:pStyle w:val="18"/>
            <w:tabs>
              <w:tab w:val="right" w:leader="dot" w:pos="8295"/>
            </w:tabs>
          </w:pPr>
          <w:r>
            <w:fldChar w:fldCharType="begin"/>
          </w:r>
          <w:r>
            <w:instrText xml:space="preserve"> HYPERLINK \l "_Toc4668074" </w:instrText>
          </w:r>
          <w:r>
            <w:fldChar w:fldCharType="separate"/>
          </w:r>
          <w:r>
            <w:rPr>
              <w:rStyle w:val="25"/>
              <w:rFonts w:hint="eastAsia"/>
              <w:b/>
              <w:sz w:val="24"/>
            </w:rPr>
            <w:t>二、 </w:t>
          </w:r>
          <w:r>
            <w:rPr>
              <w:rStyle w:val="25"/>
              <w:rFonts w:hint="eastAsia" w:ascii="等线" w:hAnsi="等线" w:eastAsia="等线" w:cs="等线"/>
              <w:b/>
              <w:sz w:val="24"/>
            </w:rPr>
            <w:t>行业发展历程及现状</w:t>
          </w:r>
          <w:r>
            <w:rPr>
              <w:b/>
              <w:sz w:val="24"/>
            </w:rPr>
            <w:tab/>
          </w:r>
          <w:r>
            <w:rPr>
              <w:b/>
              <w:sz w:val="24"/>
            </w:rPr>
            <w:fldChar w:fldCharType="begin"/>
          </w:r>
          <w:r>
            <w:rPr>
              <w:b/>
              <w:sz w:val="24"/>
            </w:rPr>
            <w:instrText xml:space="preserve">PAGEREF _Toc4668074 \h</w:instrText>
          </w:r>
          <w:r>
            <w:rPr>
              <w:b/>
              <w:sz w:val="24"/>
            </w:rPr>
            <w:fldChar w:fldCharType="separate"/>
          </w:r>
          <w:r>
            <w:rPr>
              <w:b/>
              <w:sz w:val="24"/>
            </w:rPr>
            <w:t>5</w:t>
          </w:r>
          <w:r>
            <w:rPr>
              <w:b/>
              <w:sz w:val="24"/>
            </w:rPr>
            <w:fldChar w:fldCharType="end"/>
          </w:r>
          <w:r>
            <w:rPr>
              <w:b/>
              <w:sz w:val="24"/>
            </w:rPr>
            <w:fldChar w:fldCharType="end"/>
          </w:r>
        </w:p>
        <w:p w14:paraId="5430043F">
          <w:pPr>
            <w:pStyle w:val="18"/>
            <w:tabs>
              <w:tab w:val="right" w:leader="dot" w:pos="8295"/>
            </w:tabs>
          </w:pPr>
          <w:r>
            <w:fldChar w:fldCharType="begin"/>
          </w:r>
          <w:r>
            <w:instrText xml:space="preserve"> HYPERLINK \l "_Toc4668075" </w:instrText>
          </w:r>
          <w:r>
            <w:fldChar w:fldCharType="separate"/>
          </w:r>
          <w:r>
            <w:rPr>
              <w:rStyle w:val="25"/>
              <w:rFonts w:hint="eastAsia"/>
              <w:b/>
              <w:sz w:val="24"/>
            </w:rPr>
            <w:t>三、 </w:t>
          </w:r>
          <w:r>
            <w:rPr>
              <w:rStyle w:val="25"/>
              <w:rFonts w:hint="eastAsia" w:ascii="等线" w:hAnsi="等线" w:eastAsia="等线" w:cs="等线"/>
              <w:b/>
              <w:sz w:val="24"/>
            </w:rPr>
            <w:t>行业产业链结构分析</w:t>
          </w:r>
          <w:r>
            <w:rPr>
              <w:b/>
              <w:sz w:val="24"/>
            </w:rPr>
            <w:tab/>
          </w:r>
          <w:r>
            <w:rPr>
              <w:b/>
              <w:sz w:val="24"/>
            </w:rPr>
            <w:fldChar w:fldCharType="begin"/>
          </w:r>
          <w:r>
            <w:rPr>
              <w:b/>
              <w:sz w:val="24"/>
            </w:rPr>
            <w:instrText xml:space="preserve">PAGEREF _Toc4668075 \h</w:instrText>
          </w:r>
          <w:r>
            <w:rPr>
              <w:b/>
              <w:sz w:val="24"/>
            </w:rPr>
            <w:fldChar w:fldCharType="separate"/>
          </w:r>
          <w:r>
            <w:rPr>
              <w:b/>
              <w:sz w:val="24"/>
            </w:rPr>
            <w:t>6</w:t>
          </w:r>
          <w:r>
            <w:rPr>
              <w:b/>
              <w:sz w:val="24"/>
            </w:rPr>
            <w:fldChar w:fldCharType="end"/>
          </w:r>
          <w:r>
            <w:rPr>
              <w:b/>
              <w:sz w:val="24"/>
            </w:rPr>
            <w:fldChar w:fldCharType="end"/>
          </w:r>
        </w:p>
        <w:p w14:paraId="6A36708E">
          <w:pPr>
            <w:pStyle w:val="14"/>
            <w:tabs>
              <w:tab w:val="right" w:leader="dot" w:pos="8295"/>
            </w:tabs>
          </w:pPr>
          <w:r>
            <w:fldChar w:fldCharType="begin"/>
          </w:r>
          <w:r>
            <w:instrText xml:space="preserve"> HYPERLINK \l "_Toc4668076" </w:instrText>
          </w:r>
          <w:r>
            <w:fldChar w:fldCharType="separate"/>
          </w:r>
          <w:r>
            <w:rPr>
              <w:rStyle w:val="25"/>
              <w:rFonts w:hint="eastAsia"/>
              <w:b/>
              <w:sz w:val="32"/>
            </w:rPr>
            <w:t>第二章 </w:t>
          </w:r>
          <w:r>
            <w:rPr>
              <w:rStyle w:val="25"/>
              <w:rFonts w:hint="eastAsia" w:ascii="等线" w:hAnsi="等线" w:eastAsia="等线" w:cs="等线"/>
              <w:b/>
              <w:sz w:val="32"/>
            </w:rPr>
            <w:t>高纯锗市场供需分析</w:t>
          </w:r>
          <w:r>
            <w:rPr>
              <w:b/>
              <w:sz w:val="32"/>
            </w:rPr>
            <w:tab/>
          </w:r>
          <w:r>
            <w:rPr>
              <w:b/>
              <w:sz w:val="32"/>
            </w:rPr>
            <w:fldChar w:fldCharType="begin"/>
          </w:r>
          <w:r>
            <w:rPr>
              <w:b/>
              <w:sz w:val="32"/>
            </w:rPr>
            <w:instrText xml:space="preserve">PAGEREF _Toc4668076 \h</w:instrText>
          </w:r>
          <w:r>
            <w:rPr>
              <w:b/>
              <w:sz w:val="32"/>
            </w:rPr>
            <w:fldChar w:fldCharType="separate"/>
          </w:r>
          <w:r>
            <w:rPr>
              <w:b/>
              <w:sz w:val="32"/>
            </w:rPr>
            <w:t>8</w:t>
          </w:r>
          <w:r>
            <w:rPr>
              <w:b/>
              <w:sz w:val="32"/>
            </w:rPr>
            <w:fldChar w:fldCharType="end"/>
          </w:r>
          <w:r>
            <w:rPr>
              <w:b/>
              <w:sz w:val="32"/>
            </w:rPr>
            <w:fldChar w:fldCharType="end"/>
          </w:r>
        </w:p>
        <w:p w14:paraId="34D95B64">
          <w:pPr>
            <w:pStyle w:val="18"/>
            <w:tabs>
              <w:tab w:val="right" w:leader="dot" w:pos="8295"/>
            </w:tabs>
          </w:pPr>
          <w:r>
            <w:fldChar w:fldCharType="begin"/>
          </w:r>
          <w:r>
            <w:instrText xml:space="preserve"> HYPERLINK \l "_Toc4668077" </w:instrText>
          </w:r>
          <w:r>
            <w:fldChar w:fldCharType="separate"/>
          </w:r>
          <w:r>
            <w:rPr>
              <w:rStyle w:val="25"/>
              <w:rFonts w:hint="eastAsia"/>
              <w:b/>
              <w:sz w:val="24"/>
            </w:rPr>
            <w:t>一、 </w:t>
          </w:r>
          <w:r>
            <w:rPr>
              <w:rStyle w:val="25"/>
              <w:rFonts w:hint="eastAsia" w:ascii="等线" w:hAnsi="等线" w:eastAsia="等线" w:cs="等线"/>
              <w:b/>
              <w:sz w:val="24"/>
            </w:rPr>
            <w:t>高纯锗产能及产量分析</w:t>
          </w:r>
          <w:r>
            <w:rPr>
              <w:b/>
              <w:sz w:val="24"/>
            </w:rPr>
            <w:tab/>
          </w:r>
          <w:r>
            <w:rPr>
              <w:b/>
              <w:sz w:val="24"/>
            </w:rPr>
            <w:fldChar w:fldCharType="begin"/>
          </w:r>
          <w:r>
            <w:rPr>
              <w:b/>
              <w:sz w:val="24"/>
            </w:rPr>
            <w:instrText xml:space="preserve">PAGEREF _Toc4668077 \h</w:instrText>
          </w:r>
          <w:r>
            <w:rPr>
              <w:b/>
              <w:sz w:val="24"/>
            </w:rPr>
            <w:fldChar w:fldCharType="separate"/>
          </w:r>
          <w:r>
            <w:rPr>
              <w:b/>
              <w:sz w:val="24"/>
            </w:rPr>
            <w:t>8</w:t>
          </w:r>
          <w:r>
            <w:rPr>
              <w:b/>
              <w:sz w:val="24"/>
            </w:rPr>
            <w:fldChar w:fldCharType="end"/>
          </w:r>
          <w:r>
            <w:rPr>
              <w:b/>
              <w:sz w:val="24"/>
            </w:rPr>
            <w:fldChar w:fldCharType="end"/>
          </w:r>
        </w:p>
        <w:p w14:paraId="2DCBDD55">
          <w:pPr>
            <w:pStyle w:val="18"/>
            <w:tabs>
              <w:tab w:val="right" w:leader="dot" w:pos="8295"/>
            </w:tabs>
          </w:pPr>
          <w:r>
            <w:fldChar w:fldCharType="begin"/>
          </w:r>
          <w:r>
            <w:instrText xml:space="preserve"> HYPERLINK \l "_Toc4668078" </w:instrText>
          </w:r>
          <w:r>
            <w:fldChar w:fldCharType="separate"/>
          </w:r>
          <w:r>
            <w:rPr>
              <w:rStyle w:val="25"/>
              <w:rFonts w:hint="eastAsia"/>
              <w:b/>
              <w:sz w:val="24"/>
            </w:rPr>
            <w:t>二、 </w:t>
          </w:r>
          <w:r>
            <w:rPr>
              <w:rStyle w:val="25"/>
              <w:rFonts w:hint="eastAsia" w:ascii="等线" w:hAnsi="等线" w:eastAsia="等线" w:cs="等线"/>
              <w:b/>
              <w:sz w:val="24"/>
            </w:rPr>
            <w:t>高纯锗市场需求及消费结构</w:t>
          </w:r>
          <w:r>
            <w:rPr>
              <w:b/>
              <w:sz w:val="24"/>
            </w:rPr>
            <w:tab/>
          </w:r>
          <w:r>
            <w:rPr>
              <w:b/>
              <w:sz w:val="24"/>
            </w:rPr>
            <w:fldChar w:fldCharType="begin"/>
          </w:r>
          <w:r>
            <w:rPr>
              <w:b/>
              <w:sz w:val="24"/>
            </w:rPr>
            <w:instrText xml:space="preserve">PAGEREF _Toc4668078 \h</w:instrText>
          </w:r>
          <w:r>
            <w:rPr>
              <w:b/>
              <w:sz w:val="24"/>
            </w:rPr>
            <w:fldChar w:fldCharType="separate"/>
          </w:r>
          <w:r>
            <w:rPr>
              <w:b/>
              <w:sz w:val="24"/>
            </w:rPr>
            <w:t>8</w:t>
          </w:r>
          <w:r>
            <w:rPr>
              <w:b/>
              <w:sz w:val="24"/>
            </w:rPr>
            <w:fldChar w:fldCharType="end"/>
          </w:r>
          <w:r>
            <w:rPr>
              <w:b/>
              <w:sz w:val="24"/>
            </w:rPr>
            <w:fldChar w:fldCharType="end"/>
          </w:r>
        </w:p>
        <w:p w14:paraId="549ED4D8">
          <w:pPr>
            <w:pStyle w:val="18"/>
            <w:tabs>
              <w:tab w:val="right" w:leader="dot" w:pos="8295"/>
            </w:tabs>
          </w:pPr>
          <w:r>
            <w:fldChar w:fldCharType="begin"/>
          </w:r>
          <w:r>
            <w:instrText xml:space="preserve"> HYPERLINK \l "_Toc4668079" </w:instrText>
          </w:r>
          <w:r>
            <w:fldChar w:fldCharType="separate"/>
          </w:r>
          <w:r>
            <w:rPr>
              <w:rStyle w:val="25"/>
              <w:rFonts w:hint="eastAsia"/>
              <w:b/>
              <w:sz w:val="24"/>
            </w:rPr>
            <w:t>三、 </w:t>
          </w:r>
          <w:r>
            <w:rPr>
              <w:rStyle w:val="25"/>
              <w:rFonts w:hint="eastAsia" w:ascii="等线" w:hAnsi="等线" w:eastAsia="等线" w:cs="等线"/>
              <w:b/>
              <w:sz w:val="24"/>
            </w:rPr>
            <w:t>供需平衡现状及趋势预测</w:t>
          </w:r>
          <w:r>
            <w:rPr>
              <w:b/>
              <w:sz w:val="24"/>
            </w:rPr>
            <w:tab/>
          </w:r>
          <w:r>
            <w:rPr>
              <w:b/>
              <w:sz w:val="24"/>
            </w:rPr>
            <w:fldChar w:fldCharType="begin"/>
          </w:r>
          <w:r>
            <w:rPr>
              <w:b/>
              <w:sz w:val="24"/>
            </w:rPr>
            <w:instrText xml:space="preserve">PAGEREF _Toc4668079 \h</w:instrText>
          </w:r>
          <w:r>
            <w:rPr>
              <w:b/>
              <w:sz w:val="24"/>
            </w:rPr>
            <w:fldChar w:fldCharType="separate"/>
          </w:r>
          <w:r>
            <w:rPr>
              <w:b/>
              <w:sz w:val="24"/>
            </w:rPr>
            <w:t>10</w:t>
          </w:r>
          <w:r>
            <w:rPr>
              <w:b/>
              <w:sz w:val="24"/>
            </w:rPr>
            <w:fldChar w:fldCharType="end"/>
          </w:r>
          <w:r>
            <w:rPr>
              <w:b/>
              <w:sz w:val="24"/>
            </w:rPr>
            <w:fldChar w:fldCharType="end"/>
          </w:r>
        </w:p>
        <w:p w14:paraId="1B0A067D">
          <w:pPr>
            <w:pStyle w:val="14"/>
            <w:tabs>
              <w:tab w:val="right" w:leader="dot" w:pos="8295"/>
            </w:tabs>
          </w:pPr>
          <w:r>
            <w:fldChar w:fldCharType="begin"/>
          </w:r>
          <w:r>
            <w:instrText xml:space="preserve"> HYPERLINK \l "_Toc46680710" </w:instrText>
          </w:r>
          <w:r>
            <w:fldChar w:fldCharType="separate"/>
          </w:r>
          <w:r>
            <w:rPr>
              <w:rStyle w:val="25"/>
              <w:rFonts w:hint="eastAsia"/>
              <w:b/>
              <w:sz w:val="32"/>
            </w:rPr>
            <w:t>第三章 </w:t>
          </w:r>
          <w:r>
            <w:rPr>
              <w:rStyle w:val="25"/>
              <w:rFonts w:hint="eastAsia" w:ascii="等线" w:hAnsi="等线" w:eastAsia="等线" w:cs="等线"/>
              <w:b/>
              <w:sz w:val="32"/>
            </w:rPr>
            <w:t>高纯锗行业竞争格局</w:t>
          </w:r>
          <w:r>
            <w:rPr>
              <w:b/>
              <w:sz w:val="32"/>
            </w:rPr>
            <w:tab/>
          </w:r>
          <w:r>
            <w:rPr>
              <w:b/>
              <w:sz w:val="32"/>
            </w:rPr>
            <w:fldChar w:fldCharType="begin"/>
          </w:r>
          <w:r>
            <w:rPr>
              <w:b/>
              <w:sz w:val="32"/>
            </w:rPr>
            <w:instrText xml:space="preserve">PAGEREF _Toc46680710 \h</w:instrText>
          </w:r>
          <w:r>
            <w:rPr>
              <w:b/>
              <w:sz w:val="32"/>
            </w:rPr>
            <w:fldChar w:fldCharType="separate"/>
          </w:r>
          <w:r>
            <w:rPr>
              <w:b/>
              <w:sz w:val="32"/>
            </w:rPr>
            <w:t>12</w:t>
          </w:r>
          <w:r>
            <w:rPr>
              <w:b/>
              <w:sz w:val="32"/>
            </w:rPr>
            <w:fldChar w:fldCharType="end"/>
          </w:r>
          <w:r>
            <w:rPr>
              <w:b/>
              <w:sz w:val="32"/>
            </w:rPr>
            <w:fldChar w:fldCharType="end"/>
          </w:r>
        </w:p>
        <w:p w14:paraId="47AE1110">
          <w:pPr>
            <w:pStyle w:val="18"/>
            <w:tabs>
              <w:tab w:val="right" w:leader="dot" w:pos="8295"/>
            </w:tabs>
          </w:pPr>
          <w:r>
            <w:fldChar w:fldCharType="begin"/>
          </w:r>
          <w:r>
            <w:instrText xml:space="preserve"> HYPERLINK \l "_Toc46680711" </w:instrText>
          </w:r>
          <w:r>
            <w:fldChar w:fldCharType="separate"/>
          </w:r>
          <w:r>
            <w:rPr>
              <w:rStyle w:val="25"/>
              <w:rFonts w:hint="eastAsia"/>
              <w:b/>
              <w:sz w:val="24"/>
            </w:rPr>
            <w:t>一、 </w:t>
          </w:r>
          <w:r>
            <w:rPr>
              <w:rStyle w:val="25"/>
              <w:rFonts w:hint="eastAsia" w:ascii="等线" w:hAnsi="等线" w:eastAsia="等线" w:cs="等线"/>
              <w:b/>
              <w:sz w:val="24"/>
            </w:rPr>
            <w:t>主要生产企业及市场份额</w:t>
          </w:r>
          <w:r>
            <w:rPr>
              <w:b/>
              <w:sz w:val="24"/>
            </w:rPr>
            <w:tab/>
          </w:r>
          <w:r>
            <w:rPr>
              <w:b/>
              <w:sz w:val="24"/>
            </w:rPr>
            <w:fldChar w:fldCharType="begin"/>
          </w:r>
          <w:r>
            <w:rPr>
              <w:b/>
              <w:sz w:val="24"/>
            </w:rPr>
            <w:instrText xml:space="preserve">PAGEREF _Toc46680711 \h</w:instrText>
          </w:r>
          <w:r>
            <w:rPr>
              <w:b/>
              <w:sz w:val="24"/>
            </w:rPr>
            <w:fldChar w:fldCharType="separate"/>
          </w:r>
          <w:r>
            <w:rPr>
              <w:b/>
              <w:sz w:val="24"/>
            </w:rPr>
            <w:t>12</w:t>
          </w:r>
          <w:r>
            <w:rPr>
              <w:b/>
              <w:sz w:val="24"/>
            </w:rPr>
            <w:fldChar w:fldCharType="end"/>
          </w:r>
          <w:r>
            <w:rPr>
              <w:b/>
              <w:sz w:val="24"/>
            </w:rPr>
            <w:fldChar w:fldCharType="end"/>
          </w:r>
        </w:p>
        <w:p w14:paraId="6A1D0AED">
          <w:pPr>
            <w:pStyle w:val="18"/>
            <w:tabs>
              <w:tab w:val="right" w:leader="dot" w:pos="8295"/>
            </w:tabs>
          </w:pPr>
          <w:r>
            <w:fldChar w:fldCharType="begin"/>
          </w:r>
          <w:r>
            <w:instrText xml:space="preserve"> HYPERLINK \l "_Toc46680712" </w:instrText>
          </w:r>
          <w:r>
            <w:fldChar w:fldCharType="separate"/>
          </w:r>
          <w:r>
            <w:rPr>
              <w:rStyle w:val="25"/>
              <w:rFonts w:hint="eastAsia"/>
              <w:b/>
              <w:sz w:val="24"/>
            </w:rPr>
            <w:t>二、 </w:t>
          </w:r>
          <w:r>
            <w:rPr>
              <w:rStyle w:val="25"/>
              <w:rFonts w:hint="eastAsia" w:ascii="等线" w:hAnsi="等线" w:eastAsia="等线" w:cs="等线"/>
              <w:b/>
              <w:sz w:val="24"/>
            </w:rPr>
            <w:t>竞争策略及优劣势分析</w:t>
          </w:r>
          <w:r>
            <w:rPr>
              <w:b/>
              <w:sz w:val="24"/>
            </w:rPr>
            <w:tab/>
          </w:r>
          <w:r>
            <w:rPr>
              <w:b/>
              <w:sz w:val="24"/>
            </w:rPr>
            <w:fldChar w:fldCharType="begin"/>
          </w:r>
          <w:r>
            <w:rPr>
              <w:b/>
              <w:sz w:val="24"/>
            </w:rPr>
            <w:instrText xml:space="preserve">PAGEREF _Toc46680712 \h</w:instrText>
          </w:r>
          <w:r>
            <w:rPr>
              <w:b/>
              <w:sz w:val="24"/>
            </w:rPr>
            <w:fldChar w:fldCharType="separate"/>
          </w:r>
          <w:r>
            <w:rPr>
              <w:b/>
              <w:sz w:val="24"/>
            </w:rPr>
            <w:t>12</w:t>
          </w:r>
          <w:r>
            <w:rPr>
              <w:b/>
              <w:sz w:val="24"/>
            </w:rPr>
            <w:fldChar w:fldCharType="end"/>
          </w:r>
          <w:r>
            <w:rPr>
              <w:b/>
              <w:sz w:val="24"/>
            </w:rPr>
            <w:fldChar w:fldCharType="end"/>
          </w:r>
        </w:p>
        <w:p w14:paraId="2EE956B1">
          <w:pPr>
            <w:pStyle w:val="18"/>
            <w:tabs>
              <w:tab w:val="right" w:leader="dot" w:pos="8295"/>
            </w:tabs>
          </w:pPr>
          <w:r>
            <w:fldChar w:fldCharType="begin"/>
          </w:r>
          <w:r>
            <w:instrText xml:space="preserve"> HYPERLINK \l "_Toc46680713" </w:instrText>
          </w:r>
          <w:r>
            <w:fldChar w:fldCharType="separate"/>
          </w:r>
          <w:r>
            <w:rPr>
              <w:rStyle w:val="25"/>
              <w:rFonts w:hint="eastAsia"/>
              <w:b/>
              <w:sz w:val="24"/>
            </w:rPr>
            <w:t>三、 </w:t>
          </w:r>
          <w:r>
            <w:rPr>
              <w:rStyle w:val="25"/>
              <w:rFonts w:hint="eastAsia" w:ascii="等线" w:hAnsi="等线" w:eastAsia="等线" w:cs="等线"/>
              <w:b/>
              <w:sz w:val="24"/>
            </w:rPr>
            <w:t>行业进入与退出壁垒</w:t>
          </w:r>
          <w:r>
            <w:rPr>
              <w:b/>
              <w:sz w:val="24"/>
            </w:rPr>
            <w:tab/>
          </w:r>
          <w:r>
            <w:rPr>
              <w:b/>
              <w:sz w:val="24"/>
            </w:rPr>
            <w:fldChar w:fldCharType="begin"/>
          </w:r>
          <w:r>
            <w:rPr>
              <w:b/>
              <w:sz w:val="24"/>
            </w:rPr>
            <w:instrText xml:space="preserve">PAGEREF _Toc46680713 \h</w:instrText>
          </w:r>
          <w:r>
            <w:rPr>
              <w:b/>
              <w:sz w:val="24"/>
            </w:rPr>
            <w:fldChar w:fldCharType="separate"/>
          </w:r>
          <w:r>
            <w:rPr>
              <w:b/>
              <w:sz w:val="24"/>
            </w:rPr>
            <w:t>13</w:t>
          </w:r>
          <w:r>
            <w:rPr>
              <w:b/>
              <w:sz w:val="24"/>
            </w:rPr>
            <w:fldChar w:fldCharType="end"/>
          </w:r>
          <w:r>
            <w:rPr>
              <w:b/>
              <w:sz w:val="24"/>
            </w:rPr>
            <w:fldChar w:fldCharType="end"/>
          </w:r>
        </w:p>
        <w:p w14:paraId="4E50FED7">
          <w:pPr>
            <w:pStyle w:val="14"/>
            <w:tabs>
              <w:tab w:val="right" w:leader="dot" w:pos="8295"/>
            </w:tabs>
          </w:pPr>
          <w:r>
            <w:fldChar w:fldCharType="begin"/>
          </w:r>
          <w:r>
            <w:instrText xml:space="preserve"> HYPERLINK \l "_Toc46680714" </w:instrText>
          </w:r>
          <w:r>
            <w:fldChar w:fldCharType="separate"/>
          </w:r>
          <w:r>
            <w:rPr>
              <w:rStyle w:val="25"/>
              <w:rFonts w:hint="eastAsia"/>
              <w:b/>
              <w:sz w:val="32"/>
            </w:rPr>
            <w:t>第四章 </w:t>
          </w:r>
          <w:r>
            <w:rPr>
              <w:rStyle w:val="25"/>
              <w:rFonts w:hint="eastAsia" w:ascii="等线" w:hAnsi="等线" w:eastAsia="等线" w:cs="等线"/>
              <w:b/>
              <w:sz w:val="32"/>
            </w:rPr>
            <w:t>高纯锗行业财务状况</w:t>
          </w:r>
          <w:r>
            <w:rPr>
              <w:b/>
              <w:sz w:val="32"/>
            </w:rPr>
            <w:tab/>
          </w:r>
          <w:r>
            <w:rPr>
              <w:b/>
              <w:sz w:val="32"/>
            </w:rPr>
            <w:fldChar w:fldCharType="begin"/>
          </w:r>
          <w:r>
            <w:rPr>
              <w:b/>
              <w:sz w:val="32"/>
            </w:rPr>
            <w:instrText xml:space="preserve">PAGEREF _Toc46680714 \h</w:instrText>
          </w:r>
          <w:r>
            <w:rPr>
              <w:b/>
              <w:sz w:val="32"/>
            </w:rPr>
            <w:fldChar w:fldCharType="separate"/>
          </w:r>
          <w:r>
            <w:rPr>
              <w:b/>
              <w:sz w:val="32"/>
            </w:rPr>
            <w:t>15</w:t>
          </w:r>
          <w:r>
            <w:rPr>
              <w:b/>
              <w:sz w:val="32"/>
            </w:rPr>
            <w:fldChar w:fldCharType="end"/>
          </w:r>
          <w:r>
            <w:rPr>
              <w:b/>
              <w:sz w:val="32"/>
            </w:rPr>
            <w:fldChar w:fldCharType="end"/>
          </w:r>
        </w:p>
        <w:p w14:paraId="2239EB54">
          <w:pPr>
            <w:pStyle w:val="18"/>
            <w:tabs>
              <w:tab w:val="right" w:leader="dot" w:pos="8295"/>
            </w:tabs>
          </w:pPr>
          <w:r>
            <w:fldChar w:fldCharType="begin"/>
          </w:r>
          <w:r>
            <w:instrText xml:space="preserve"> HYPERLINK \l "_Toc46680715" </w:instrText>
          </w:r>
          <w:r>
            <w:fldChar w:fldCharType="separate"/>
          </w:r>
          <w:r>
            <w:rPr>
              <w:rStyle w:val="25"/>
              <w:rFonts w:hint="eastAsia"/>
              <w:b/>
              <w:sz w:val="24"/>
            </w:rPr>
            <w:t>一、 </w:t>
          </w:r>
          <w:r>
            <w:rPr>
              <w:rStyle w:val="25"/>
              <w:rFonts w:hint="eastAsia" w:ascii="等线" w:hAnsi="等线" w:eastAsia="等线" w:cs="等线"/>
              <w:b/>
              <w:sz w:val="24"/>
            </w:rPr>
            <w:t>行业盈利能力分析</w:t>
          </w:r>
          <w:r>
            <w:rPr>
              <w:b/>
              <w:sz w:val="24"/>
            </w:rPr>
            <w:tab/>
          </w:r>
          <w:r>
            <w:rPr>
              <w:b/>
              <w:sz w:val="24"/>
            </w:rPr>
            <w:fldChar w:fldCharType="begin"/>
          </w:r>
          <w:r>
            <w:rPr>
              <w:b/>
              <w:sz w:val="24"/>
            </w:rPr>
            <w:instrText xml:space="preserve">PAGEREF _Toc46680715 \h</w:instrText>
          </w:r>
          <w:r>
            <w:rPr>
              <w:b/>
              <w:sz w:val="24"/>
            </w:rPr>
            <w:fldChar w:fldCharType="separate"/>
          </w:r>
          <w:r>
            <w:rPr>
              <w:b/>
              <w:sz w:val="24"/>
            </w:rPr>
            <w:t>15</w:t>
          </w:r>
          <w:r>
            <w:rPr>
              <w:b/>
              <w:sz w:val="24"/>
            </w:rPr>
            <w:fldChar w:fldCharType="end"/>
          </w:r>
          <w:r>
            <w:rPr>
              <w:b/>
              <w:sz w:val="24"/>
            </w:rPr>
            <w:fldChar w:fldCharType="end"/>
          </w:r>
        </w:p>
        <w:p w14:paraId="2605BF98">
          <w:pPr>
            <w:pStyle w:val="18"/>
            <w:tabs>
              <w:tab w:val="right" w:leader="dot" w:pos="8295"/>
            </w:tabs>
          </w:pPr>
          <w:r>
            <w:fldChar w:fldCharType="begin"/>
          </w:r>
          <w:r>
            <w:instrText xml:space="preserve"> HYPERLINK \l "_Toc46680716" </w:instrText>
          </w:r>
          <w:r>
            <w:fldChar w:fldCharType="separate"/>
          </w:r>
          <w:r>
            <w:rPr>
              <w:rStyle w:val="25"/>
              <w:rFonts w:hint="eastAsia"/>
              <w:b/>
              <w:sz w:val="24"/>
            </w:rPr>
            <w:t>二、 </w:t>
          </w:r>
          <w:r>
            <w:rPr>
              <w:rStyle w:val="25"/>
              <w:rFonts w:hint="eastAsia" w:ascii="等线" w:hAnsi="等线" w:eastAsia="等线" w:cs="等线"/>
              <w:b/>
              <w:sz w:val="24"/>
            </w:rPr>
            <w:t>行业偿债能力分析</w:t>
          </w:r>
          <w:r>
            <w:rPr>
              <w:b/>
              <w:sz w:val="24"/>
            </w:rPr>
            <w:tab/>
          </w:r>
          <w:r>
            <w:rPr>
              <w:b/>
              <w:sz w:val="24"/>
            </w:rPr>
            <w:fldChar w:fldCharType="begin"/>
          </w:r>
          <w:r>
            <w:rPr>
              <w:b/>
              <w:sz w:val="24"/>
            </w:rPr>
            <w:instrText xml:space="preserve">PAGEREF _Toc46680716 \h</w:instrText>
          </w:r>
          <w:r>
            <w:rPr>
              <w:b/>
              <w:sz w:val="24"/>
            </w:rPr>
            <w:fldChar w:fldCharType="separate"/>
          </w:r>
          <w:r>
            <w:rPr>
              <w:b/>
              <w:sz w:val="24"/>
            </w:rPr>
            <w:t>16</w:t>
          </w:r>
          <w:r>
            <w:rPr>
              <w:b/>
              <w:sz w:val="24"/>
            </w:rPr>
            <w:fldChar w:fldCharType="end"/>
          </w:r>
          <w:r>
            <w:rPr>
              <w:b/>
              <w:sz w:val="24"/>
            </w:rPr>
            <w:fldChar w:fldCharType="end"/>
          </w:r>
        </w:p>
        <w:p w14:paraId="45E6488F">
          <w:pPr>
            <w:pStyle w:val="18"/>
            <w:tabs>
              <w:tab w:val="right" w:leader="dot" w:pos="8295"/>
            </w:tabs>
          </w:pPr>
          <w:r>
            <w:fldChar w:fldCharType="begin"/>
          </w:r>
          <w:r>
            <w:instrText xml:space="preserve"> HYPERLINK \l "_Toc46680717" </w:instrText>
          </w:r>
          <w:r>
            <w:fldChar w:fldCharType="separate"/>
          </w:r>
          <w:r>
            <w:rPr>
              <w:rStyle w:val="25"/>
              <w:rFonts w:hint="eastAsia"/>
              <w:b/>
              <w:sz w:val="24"/>
            </w:rPr>
            <w:t>三、 </w:t>
          </w:r>
          <w:r>
            <w:rPr>
              <w:rStyle w:val="25"/>
              <w:rFonts w:hint="eastAsia" w:ascii="等线" w:hAnsi="等线" w:eastAsia="等线" w:cs="等线"/>
              <w:b/>
              <w:sz w:val="24"/>
            </w:rPr>
            <w:t>行业营运能力分析</w:t>
          </w:r>
          <w:r>
            <w:rPr>
              <w:b/>
              <w:sz w:val="24"/>
            </w:rPr>
            <w:tab/>
          </w:r>
          <w:r>
            <w:rPr>
              <w:b/>
              <w:sz w:val="24"/>
            </w:rPr>
            <w:fldChar w:fldCharType="begin"/>
          </w:r>
          <w:r>
            <w:rPr>
              <w:b/>
              <w:sz w:val="24"/>
            </w:rPr>
            <w:instrText xml:space="preserve">PAGEREF _Toc46680717 \h</w:instrText>
          </w:r>
          <w:r>
            <w:rPr>
              <w:b/>
              <w:sz w:val="24"/>
            </w:rPr>
            <w:fldChar w:fldCharType="separate"/>
          </w:r>
          <w:r>
            <w:rPr>
              <w:b/>
              <w:sz w:val="24"/>
            </w:rPr>
            <w:t>16</w:t>
          </w:r>
          <w:r>
            <w:rPr>
              <w:b/>
              <w:sz w:val="24"/>
            </w:rPr>
            <w:fldChar w:fldCharType="end"/>
          </w:r>
          <w:r>
            <w:rPr>
              <w:b/>
              <w:sz w:val="24"/>
            </w:rPr>
            <w:fldChar w:fldCharType="end"/>
          </w:r>
        </w:p>
        <w:p w14:paraId="5169E35A">
          <w:pPr>
            <w:pStyle w:val="18"/>
            <w:tabs>
              <w:tab w:val="right" w:leader="dot" w:pos="8295"/>
            </w:tabs>
          </w:pPr>
          <w:r>
            <w:fldChar w:fldCharType="begin"/>
          </w:r>
          <w:r>
            <w:instrText xml:space="preserve"> HYPERLINK \l "_Toc46680718" </w:instrText>
          </w:r>
          <w:r>
            <w:fldChar w:fldCharType="separate"/>
          </w:r>
          <w:r>
            <w:rPr>
              <w:rStyle w:val="25"/>
              <w:rFonts w:hint="eastAsia"/>
              <w:b/>
              <w:sz w:val="24"/>
            </w:rPr>
            <w:t>四、 </w:t>
          </w:r>
          <w:r>
            <w:rPr>
              <w:rStyle w:val="25"/>
              <w:rFonts w:hint="eastAsia" w:ascii="等线" w:hAnsi="等线" w:eastAsia="等线" w:cs="等线"/>
              <w:b/>
              <w:sz w:val="24"/>
            </w:rPr>
            <w:t>行业发展能力分析</w:t>
          </w:r>
          <w:r>
            <w:rPr>
              <w:b/>
              <w:sz w:val="24"/>
            </w:rPr>
            <w:tab/>
          </w:r>
          <w:r>
            <w:rPr>
              <w:b/>
              <w:sz w:val="24"/>
            </w:rPr>
            <w:fldChar w:fldCharType="begin"/>
          </w:r>
          <w:r>
            <w:rPr>
              <w:b/>
              <w:sz w:val="24"/>
            </w:rPr>
            <w:instrText xml:space="preserve">PAGEREF _Toc46680718 \h</w:instrText>
          </w:r>
          <w:r>
            <w:rPr>
              <w:b/>
              <w:sz w:val="24"/>
            </w:rPr>
            <w:fldChar w:fldCharType="separate"/>
          </w:r>
          <w:r>
            <w:rPr>
              <w:b/>
              <w:sz w:val="24"/>
            </w:rPr>
            <w:t>17</w:t>
          </w:r>
          <w:r>
            <w:rPr>
              <w:b/>
              <w:sz w:val="24"/>
            </w:rPr>
            <w:fldChar w:fldCharType="end"/>
          </w:r>
          <w:r>
            <w:rPr>
              <w:b/>
              <w:sz w:val="24"/>
            </w:rPr>
            <w:fldChar w:fldCharType="end"/>
          </w:r>
        </w:p>
        <w:p w14:paraId="2B654890">
          <w:pPr>
            <w:pStyle w:val="14"/>
            <w:tabs>
              <w:tab w:val="right" w:leader="dot" w:pos="8295"/>
            </w:tabs>
          </w:pPr>
          <w:r>
            <w:fldChar w:fldCharType="begin"/>
          </w:r>
          <w:r>
            <w:instrText xml:space="preserve"> HYPERLINK \l "_Toc46680719" </w:instrText>
          </w:r>
          <w:r>
            <w:fldChar w:fldCharType="separate"/>
          </w:r>
          <w:r>
            <w:rPr>
              <w:rStyle w:val="25"/>
              <w:rFonts w:hint="eastAsia"/>
              <w:b/>
              <w:sz w:val="32"/>
            </w:rPr>
            <w:t>第五章 </w:t>
          </w:r>
          <w:r>
            <w:rPr>
              <w:rStyle w:val="25"/>
              <w:rFonts w:hint="eastAsia" w:ascii="等线" w:hAnsi="等线" w:eastAsia="等线" w:cs="等线"/>
              <w:b/>
              <w:sz w:val="32"/>
            </w:rPr>
            <w:t>高纯锗行业技术应用与创新</w:t>
          </w:r>
          <w:r>
            <w:rPr>
              <w:b/>
              <w:sz w:val="32"/>
            </w:rPr>
            <w:tab/>
          </w:r>
          <w:r>
            <w:rPr>
              <w:b/>
              <w:sz w:val="32"/>
            </w:rPr>
            <w:fldChar w:fldCharType="begin"/>
          </w:r>
          <w:r>
            <w:rPr>
              <w:b/>
              <w:sz w:val="32"/>
            </w:rPr>
            <w:instrText xml:space="preserve">PAGEREF _Toc46680719 \h</w:instrText>
          </w:r>
          <w:r>
            <w:rPr>
              <w:b/>
              <w:sz w:val="32"/>
            </w:rPr>
            <w:fldChar w:fldCharType="separate"/>
          </w:r>
          <w:r>
            <w:rPr>
              <w:b/>
              <w:sz w:val="32"/>
            </w:rPr>
            <w:t>19</w:t>
          </w:r>
          <w:r>
            <w:rPr>
              <w:b/>
              <w:sz w:val="32"/>
            </w:rPr>
            <w:fldChar w:fldCharType="end"/>
          </w:r>
          <w:r>
            <w:rPr>
              <w:b/>
              <w:sz w:val="32"/>
            </w:rPr>
            <w:fldChar w:fldCharType="end"/>
          </w:r>
        </w:p>
        <w:p w14:paraId="49D2DE6B">
          <w:pPr>
            <w:pStyle w:val="18"/>
            <w:tabs>
              <w:tab w:val="right" w:leader="dot" w:pos="8295"/>
            </w:tabs>
          </w:pPr>
          <w:r>
            <w:fldChar w:fldCharType="begin"/>
          </w:r>
          <w:r>
            <w:instrText xml:space="preserve"> HYPERLINK \l "_Toc46680720" </w:instrText>
          </w:r>
          <w:r>
            <w:fldChar w:fldCharType="separate"/>
          </w:r>
          <w:r>
            <w:rPr>
              <w:rStyle w:val="25"/>
              <w:rFonts w:hint="eastAsia"/>
              <w:b/>
              <w:sz w:val="24"/>
            </w:rPr>
            <w:t>一、 </w:t>
          </w:r>
          <w:r>
            <w:rPr>
              <w:rStyle w:val="25"/>
              <w:rFonts w:hint="eastAsia" w:ascii="等线" w:hAnsi="等线" w:eastAsia="等线" w:cs="等线"/>
              <w:b/>
              <w:sz w:val="24"/>
            </w:rPr>
            <w:t>主要技术及应用领域</w:t>
          </w:r>
          <w:r>
            <w:rPr>
              <w:b/>
              <w:sz w:val="24"/>
            </w:rPr>
            <w:tab/>
          </w:r>
          <w:r>
            <w:rPr>
              <w:b/>
              <w:sz w:val="24"/>
            </w:rPr>
            <w:fldChar w:fldCharType="begin"/>
          </w:r>
          <w:r>
            <w:rPr>
              <w:b/>
              <w:sz w:val="24"/>
            </w:rPr>
            <w:instrText xml:space="preserve">PAGEREF _Toc46680720 \h</w:instrText>
          </w:r>
          <w:r>
            <w:rPr>
              <w:b/>
              <w:sz w:val="24"/>
            </w:rPr>
            <w:fldChar w:fldCharType="separate"/>
          </w:r>
          <w:r>
            <w:rPr>
              <w:b/>
              <w:sz w:val="24"/>
            </w:rPr>
            <w:t>19</w:t>
          </w:r>
          <w:r>
            <w:rPr>
              <w:b/>
              <w:sz w:val="24"/>
            </w:rPr>
            <w:fldChar w:fldCharType="end"/>
          </w:r>
          <w:r>
            <w:rPr>
              <w:b/>
              <w:sz w:val="24"/>
            </w:rPr>
            <w:fldChar w:fldCharType="end"/>
          </w:r>
        </w:p>
        <w:p w14:paraId="4351E564">
          <w:pPr>
            <w:pStyle w:val="18"/>
            <w:tabs>
              <w:tab w:val="right" w:leader="dot" w:pos="8295"/>
            </w:tabs>
          </w:pPr>
          <w:r>
            <w:fldChar w:fldCharType="begin"/>
          </w:r>
          <w:r>
            <w:instrText xml:space="preserve"> HYPERLINK \l "_Toc46680721" </w:instrText>
          </w:r>
          <w:r>
            <w:fldChar w:fldCharType="separate"/>
          </w:r>
          <w:r>
            <w:rPr>
              <w:rStyle w:val="25"/>
              <w:rFonts w:hint="eastAsia"/>
              <w:b/>
              <w:sz w:val="24"/>
            </w:rPr>
            <w:t>二、 </w:t>
          </w:r>
          <w:r>
            <w:rPr>
              <w:rStyle w:val="25"/>
              <w:rFonts w:hint="eastAsia" w:ascii="等线" w:hAnsi="等线" w:eastAsia="等线" w:cs="等线"/>
              <w:b/>
              <w:sz w:val="24"/>
            </w:rPr>
            <w:t>技术研发动态及趋势</w:t>
          </w:r>
          <w:r>
            <w:rPr>
              <w:b/>
              <w:sz w:val="24"/>
            </w:rPr>
            <w:tab/>
          </w:r>
          <w:r>
            <w:rPr>
              <w:b/>
              <w:sz w:val="24"/>
            </w:rPr>
            <w:fldChar w:fldCharType="begin"/>
          </w:r>
          <w:r>
            <w:rPr>
              <w:b/>
              <w:sz w:val="24"/>
            </w:rPr>
            <w:instrText xml:space="preserve">PAGEREF _Toc46680721 \h</w:instrText>
          </w:r>
          <w:r>
            <w:rPr>
              <w:b/>
              <w:sz w:val="24"/>
            </w:rPr>
            <w:fldChar w:fldCharType="separate"/>
          </w:r>
          <w:r>
            <w:rPr>
              <w:b/>
              <w:sz w:val="24"/>
            </w:rPr>
            <w:t>20</w:t>
          </w:r>
          <w:r>
            <w:rPr>
              <w:b/>
              <w:sz w:val="24"/>
            </w:rPr>
            <w:fldChar w:fldCharType="end"/>
          </w:r>
          <w:r>
            <w:rPr>
              <w:b/>
              <w:sz w:val="24"/>
            </w:rPr>
            <w:fldChar w:fldCharType="end"/>
          </w:r>
        </w:p>
        <w:p w14:paraId="317FF81F">
          <w:pPr>
            <w:pStyle w:val="18"/>
            <w:tabs>
              <w:tab w:val="right" w:leader="dot" w:pos="8295"/>
            </w:tabs>
          </w:pPr>
          <w:r>
            <w:fldChar w:fldCharType="begin"/>
          </w:r>
          <w:r>
            <w:instrText xml:space="preserve"> HYPERLINK \l "_Toc46680722" </w:instrText>
          </w:r>
          <w:r>
            <w:fldChar w:fldCharType="separate"/>
          </w:r>
          <w:r>
            <w:rPr>
              <w:rStyle w:val="25"/>
              <w:rFonts w:hint="eastAsia"/>
              <w:b/>
              <w:sz w:val="24"/>
            </w:rPr>
            <w:t>三、 </w:t>
          </w:r>
          <w:r>
            <w:rPr>
              <w:rStyle w:val="25"/>
              <w:rFonts w:hint="eastAsia" w:ascii="等线" w:hAnsi="等线" w:eastAsia="等线" w:cs="等线"/>
              <w:b/>
              <w:sz w:val="24"/>
            </w:rPr>
            <w:t>创新能力对行业发展的影响</w:t>
          </w:r>
          <w:r>
            <w:rPr>
              <w:b/>
              <w:sz w:val="24"/>
            </w:rPr>
            <w:tab/>
          </w:r>
          <w:r>
            <w:rPr>
              <w:b/>
              <w:sz w:val="24"/>
            </w:rPr>
            <w:fldChar w:fldCharType="begin"/>
          </w:r>
          <w:r>
            <w:rPr>
              <w:b/>
              <w:sz w:val="24"/>
            </w:rPr>
            <w:instrText xml:space="preserve">PAGEREF _Toc46680722 \h</w:instrText>
          </w:r>
          <w:r>
            <w:rPr>
              <w:b/>
              <w:sz w:val="24"/>
            </w:rPr>
            <w:fldChar w:fldCharType="separate"/>
          </w:r>
          <w:r>
            <w:rPr>
              <w:b/>
              <w:sz w:val="24"/>
            </w:rPr>
            <w:t>21</w:t>
          </w:r>
          <w:r>
            <w:rPr>
              <w:b/>
              <w:sz w:val="24"/>
            </w:rPr>
            <w:fldChar w:fldCharType="end"/>
          </w:r>
          <w:r>
            <w:rPr>
              <w:b/>
              <w:sz w:val="24"/>
            </w:rPr>
            <w:fldChar w:fldCharType="end"/>
          </w:r>
        </w:p>
        <w:p w14:paraId="66AD0F7C">
          <w:pPr>
            <w:pStyle w:val="14"/>
            <w:tabs>
              <w:tab w:val="right" w:leader="dot" w:pos="8295"/>
            </w:tabs>
          </w:pPr>
          <w:r>
            <w:fldChar w:fldCharType="begin"/>
          </w:r>
          <w:r>
            <w:instrText xml:space="preserve"> HYPERLINK \l "_Toc46680723" </w:instrText>
          </w:r>
          <w:r>
            <w:fldChar w:fldCharType="separate"/>
          </w:r>
          <w:r>
            <w:rPr>
              <w:rStyle w:val="25"/>
              <w:rFonts w:hint="eastAsia"/>
              <w:b/>
              <w:sz w:val="32"/>
            </w:rPr>
            <w:t>第六章 </w:t>
          </w:r>
          <w:r>
            <w:rPr>
              <w:rStyle w:val="25"/>
              <w:rFonts w:hint="eastAsia" w:ascii="等线" w:hAnsi="等线" w:eastAsia="等线" w:cs="等线"/>
              <w:b/>
              <w:sz w:val="32"/>
            </w:rPr>
            <w:t>高纯锗行业市场预测</w:t>
          </w:r>
          <w:r>
            <w:rPr>
              <w:b/>
              <w:sz w:val="32"/>
            </w:rPr>
            <w:tab/>
          </w:r>
          <w:r>
            <w:rPr>
              <w:b/>
              <w:sz w:val="32"/>
            </w:rPr>
            <w:fldChar w:fldCharType="begin"/>
          </w:r>
          <w:r>
            <w:rPr>
              <w:b/>
              <w:sz w:val="32"/>
            </w:rPr>
            <w:instrText xml:space="preserve">PAGEREF _Toc46680723 \h</w:instrText>
          </w:r>
          <w:r>
            <w:rPr>
              <w:b/>
              <w:sz w:val="32"/>
            </w:rPr>
            <w:fldChar w:fldCharType="separate"/>
          </w:r>
          <w:r>
            <w:rPr>
              <w:b/>
              <w:sz w:val="32"/>
            </w:rPr>
            <w:t>23</w:t>
          </w:r>
          <w:r>
            <w:rPr>
              <w:b/>
              <w:sz w:val="32"/>
            </w:rPr>
            <w:fldChar w:fldCharType="end"/>
          </w:r>
          <w:r>
            <w:rPr>
              <w:b/>
              <w:sz w:val="32"/>
            </w:rPr>
            <w:fldChar w:fldCharType="end"/>
          </w:r>
        </w:p>
        <w:p w14:paraId="3144CCC5">
          <w:pPr>
            <w:pStyle w:val="18"/>
            <w:tabs>
              <w:tab w:val="right" w:leader="dot" w:pos="8295"/>
            </w:tabs>
          </w:pPr>
          <w:r>
            <w:fldChar w:fldCharType="begin"/>
          </w:r>
          <w:r>
            <w:instrText xml:space="preserve"> HYPERLINK \l "_Toc46680724" </w:instrText>
          </w:r>
          <w:r>
            <w:fldChar w:fldCharType="separate"/>
          </w:r>
          <w:r>
            <w:rPr>
              <w:rStyle w:val="25"/>
              <w:rFonts w:hint="eastAsia"/>
              <w:b/>
              <w:sz w:val="24"/>
            </w:rPr>
            <w:t>一、 </w:t>
          </w:r>
          <w:r>
            <w:rPr>
              <w:rStyle w:val="25"/>
              <w:rFonts w:hint="eastAsia" w:ascii="等线" w:hAnsi="等线" w:eastAsia="等线" w:cs="等线"/>
              <w:b/>
              <w:sz w:val="24"/>
            </w:rPr>
            <w:t>国内外市场现状及趋势</w:t>
          </w:r>
          <w:r>
            <w:rPr>
              <w:b/>
              <w:sz w:val="24"/>
            </w:rPr>
            <w:tab/>
          </w:r>
          <w:r>
            <w:rPr>
              <w:b/>
              <w:sz w:val="24"/>
            </w:rPr>
            <w:fldChar w:fldCharType="begin"/>
          </w:r>
          <w:r>
            <w:rPr>
              <w:b/>
              <w:sz w:val="24"/>
            </w:rPr>
            <w:instrText xml:space="preserve">PAGEREF _Toc46680724 \h</w:instrText>
          </w:r>
          <w:r>
            <w:rPr>
              <w:b/>
              <w:sz w:val="24"/>
            </w:rPr>
            <w:fldChar w:fldCharType="separate"/>
          </w:r>
          <w:r>
            <w:rPr>
              <w:b/>
              <w:sz w:val="24"/>
            </w:rPr>
            <w:t>23</w:t>
          </w:r>
          <w:r>
            <w:rPr>
              <w:b/>
              <w:sz w:val="24"/>
            </w:rPr>
            <w:fldChar w:fldCharType="end"/>
          </w:r>
          <w:r>
            <w:rPr>
              <w:b/>
              <w:sz w:val="24"/>
            </w:rPr>
            <w:fldChar w:fldCharType="end"/>
          </w:r>
        </w:p>
        <w:p w14:paraId="1AAC7DAC">
          <w:pPr>
            <w:pStyle w:val="18"/>
            <w:tabs>
              <w:tab w:val="right" w:leader="dot" w:pos="8295"/>
            </w:tabs>
          </w:pPr>
          <w:r>
            <w:fldChar w:fldCharType="begin"/>
          </w:r>
          <w:r>
            <w:instrText xml:space="preserve"> HYPERLINK \l "_Toc46680725" </w:instrText>
          </w:r>
          <w:r>
            <w:fldChar w:fldCharType="separate"/>
          </w:r>
          <w:r>
            <w:rPr>
              <w:rStyle w:val="25"/>
              <w:rFonts w:hint="eastAsia"/>
              <w:b/>
              <w:sz w:val="24"/>
            </w:rPr>
            <w:t>二、 </w:t>
          </w:r>
          <w:r>
            <w:rPr>
              <w:rStyle w:val="25"/>
              <w:rFonts w:hint="eastAsia" w:ascii="等线" w:hAnsi="等线" w:eastAsia="等线" w:cs="等线"/>
              <w:b/>
              <w:sz w:val="24"/>
            </w:rPr>
            <w:t>市场需求预测及影响因素</w:t>
          </w:r>
          <w:r>
            <w:rPr>
              <w:b/>
              <w:sz w:val="24"/>
            </w:rPr>
            <w:tab/>
          </w:r>
          <w:r>
            <w:rPr>
              <w:b/>
              <w:sz w:val="24"/>
            </w:rPr>
            <w:fldChar w:fldCharType="begin"/>
          </w:r>
          <w:r>
            <w:rPr>
              <w:b/>
              <w:sz w:val="24"/>
            </w:rPr>
            <w:instrText xml:space="preserve">PAGEREF _Toc46680725 \h</w:instrText>
          </w:r>
          <w:r>
            <w:rPr>
              <w:b/>
              <w:sz w:val="24"/>
            </w:rPr>
            <w:fldChar w:fldCharType="separate"/>
          </w:r>
          <w:r>
            <w:rPr>
              <w:b/>
              <w:sz w:val="24"/>
            </w:rPr>
            <w:t>23</w:t>
          </w:r>
          <w:r>
            <w:rPr>
              <w:b/>
              <w:sz w:val="24"/>
            </w:rPr>
            <w:fldChar w:fldCharType="end"/>
          </w:r>
          <w:r>
            <w:rPr>
              <w:b/>
              <w:sz w:val="24"/>
            </w:rPr>
            <w:fldChar w:fldCharType="end"/>
          </w:r>
        </w:p>
        <w:p w14:paraId="57CF64DE">
          <w:pPr>
            <w:pStyle w:val="18"/>
            <w:tabs>
              <w:tab w:val="right" w:leader="dot" w:pos="8295"/>
            </w:tabs>
          </w:pPr>
          <w:r>
            <w:fldChar w:fldCharType="begin"/>
          </w:r>
          <w:r>
            <w:instrText xml:space="preserve"> HYPERLINK \l "_Toc46680726" </w:instrText>
          </w:r>
          <w:r>
            <w:fldChar w:fldCharType="separate"/>
          </w:r>
          <w:r>
            <w:rPr>
              <w:rStyle w:val="25"/>
              <w:rFonts w:hint="eastAsia"/>
              <w:b/>
              <w:sz w:val="24"/>
            </w:rPr>
            <w:t>三、 </w:t>
          </w:r>
          <w:r>
            <w:rPr>
              <w:rStyle w:val="25"/>
              <w:rFonts w:hint="eastAsia" w:ascii="等线" w:hAnsi="等线" w:eastAsia="等线" w:cs="等线"/>
              <w:b/>
              <w:sz w:val="24"/>
            </w:rPr>
            <w:t>市场价格走势预测</w:t>
          </w:r>
          <w:r>
            <w:rPr>
              <w:b/>
              <w:sz w:val="24"/>
            </w:rPr>
            <w:tab/>
          </w:r>
          <w:r>
            <w:rPr>
              <w:b/>
              <w:sz w:val="24"/>
            </w:rPr>
            <w:fldChar w:fldCharType="begin"/>
          </w:r>
          <w:r>
            <w:rPr>
              <w:b/>
              <w:sz w:val="24"/>
            </w:rPr>
            <w:instrText xml:space="preserve">PAGEREF _Toc46680726 \h</w:instrText>
          </w:r>
          <w:r>
            <w:rPr>
              <w:b/>
              <w:sz w:val="24"/>
            </w:rPr>
            <w:fldChar w:fldCharType="separate"/>
          </w:r>
          <w:r>
            <w:rPr>
              <w:b/>
              <w:sz w:val="24"/>
            </w:rPr>
            <w:t>24</w:t>
          </w:r>
          <w:r>
            <w:rPr>
              <w:b/>
              <w:sz w:val="24"/>
            </w:rPr>
            <w:fldChar w:fldCharType="end"/>
          </w:r>
          <w:r>
            <w:rPr>
              <w:b/>
              <w:sz w:val="24"/>
            </w:rPr>
            <w:fldChar w:fldCharType="end"/>
          </w:r>
        </w:p>
        <w:p w14:paraId="102235C7">
          <w:pPr>
            <w:pStyle w:val="14"/>
            <w:tabs>
              <w:tab w:val="right" w:leader="dot" w:pos="8295"/>
            </w:tabs>
          </w:pPr>
          <w:r>
            <w:fldChar w:fldCharType="begin"/>
          </w:r>
          <w:r>
            <w:instrText xml:space="preserve"> HYPERLINK \l "_Toc46680727" </w:instrText>
          </w:r>
          <w:r>
            <w:fldChar w:fldCharType="separate"/>
          </w:r>
          <w:r>
            <w:rPr>
              <w:rStyle w:val="25"/>
              <w:rFonts w:hint="eastAsia"/>
              <w:b/>
              <w:sz w:val="32"/>
            </w:rPr>
            <w:t>第七章 </w:t>
          </w:r>
          <w:r>
            <w:rPr>
              <w:rStyle w:val="25"/>
              <w:rFonts w:hint="eastAsia" w:ascii="等线" w:hAnsi="等线" w:eastAsia="等线" w:cs="等线"/>
              <w:b/>
              <w:sz w:val="32"/>
            </w:rPr>
            <w:t>高纯锗行业发展策略与建议</w:t>
          </w:r>
          <w:r>
            <w:rPr>
              <w:b/>
              <w:sz w:val="32"/>
            </w:rPr>
            <w:tab/>
          </w:r>
          <w:r>
            <w:rPr>
              <w:b/>
              <w:sz w:val="32"/>
            </w:rPr>
            <w:fldChar w:fldCharType="begin"/>
          </w:r>
          <w:r>
            <w:rPr>
              <w:b/>
              <w:sz w:val="32"/>
            </w:rPr>
            <w:instrText xml:space="preserve">PAGEREF _Toc46680727 \h</w:instrText>
          </w:r>
          <w:r>
            <w:rPr>
              <w:b/>
              <w:sz w:val="32"/>
            </w:rPr>
            <w:fldChar w:fldCharType="separate"/>
          </w:r>
          <w:r>
            <w:rPr>
              <w:b/>
              <w:sz w:val="32"/>
            </w:rPr>
            <w:t>26</w:t>
          </w:r>
          <w:r>
            <w:rPr>
              <w:b/>
              <w:sz w:val="32"/>
            </w:rPr>
            <w:fldChar w:fldCharType="end"/>
          </w:r>
          <w:r>
            <w:rPr>
              <w:b/>
              <w:sz w:val="32"/>
            </w:rPr>
            <w:fldChar w:fldCharType="end"/>
          </w:r>
        </w:p>
        <w:p w14:paraId="26DA7266">
          <w:pPr>
            <w:pStyle w:val="18"/>
            <w:tabs>
              <w:tab w:val="right" w:leader="dot" w:pos="8295"/>
            </w:tabs>
          </w:pPr>
          <w:r>
            <w:fldChar w:fldCharType="begin"/>
          </w:r>
          <w:r>
            <w:instrText xml:space="preserve"> HYPERLINK \l "_Toc46680728" </w:instrText>
          </w:r>
          <w:r>
            <w:fldChar w:fldCharType="separate"/>
          </w:r>
          <w:r>
            <w:rPr>
              <w:rStyle w:val="25"/>
              <w:rFonts w:hint="eastAsia"/>
              <w:b/>
              <w:sz w:val="24"/>
            </w:rPr>
            <w:t>一、 </w:t>
          </w:r>
          <w:r>
            <w:rPr>
              <w:rStyle w:val="25"/>
              <w:rFonts w:hint="eastAsia" w:ascii="等线" w:hAnsi="等线" w:eastAsia="等线" w:cs="等线"/>
              <w:b/>
              <w:sz w:val="24"/>
            </w:rPr>
            <w:t>行业发展瓶颈与突破</w:t>
          </w:r>
          <w:r>
            <w:rPr>
              <w:b/>
              <w:sz w:val="24"/>
            </w:rPr>
            <w:tab/>
          </w:r>
          <w:r>
            <w:rPr>
              <w:b/>
              <w:sz w:val="24"/>
            </w:rPr>
            <w:fldChar w:fldCharType="begin"/>
          </w:r>
          <w:r>
            <w:rPr>
              <w:b/>
              <w:sz w:val="24"/>
            </w:rPr>
            <w:instrText xml:space="preserve">PAGEREF _Toc46680728 \h</w:instrText>
          </w:r>
          <w:r>
            <w:rPr>
              <w:b/>
              <w:sz w:val="24"/>
            </w:rPr>
            <w:fldChar w:fldCharType="separate"/>
          </w:r>
          <w:r>
            <w:rPr>
              <w:b/>
              <w:sz w:val="24"/>
            </w:rPr>
            <w:t>26</w:t>
          </w:r>
          <w:r>
            <w:rPr>
              <w:b/>
              <w:sz w:val="24"/>
            </w:rPr>
            <w:fldChar w:fldCharType="end"/>
          </w:r>
          <w:r>
            <w:rPr>
              <w:b/>
              <w:sz w:val="24"/>
            </w:rPr>
            <w:fldChar w:fldCharType="end"/>
          </w:r>
        </w:p>
        <w:p w14:paraId="397D860E">
          <w:pPr>
            <w:pStyle w:val="18"/>
            <w:tabs>
              <w:tab w:val="right" w:leader="dot" w:pos="8295"/>
            </w:tabs>
          </w:pPr>
          <w:r>
            <w:fldChar w:fldCharType="begin"/>
          </w:r>
          <w:r>
            <w:instrText xml:space="preserve"> HYPERLINK \l "_Toc46680729" </w:instrText>
          </w:r>
          <w:r>
            <w:fldChar w:fldCharType="separate"/>
          </w:r>
          <w:r>
            <w:rPr>
              <w:rStyle w:val="25"/>
              <w:rFonts w:hint="eastAsia"/>
              <w:b/>
              <w:sz w:val="24"/>
            </w:rPr>
            <w:t>二、 </w:t>
          </w:r>
          <w:r>
            <w:rPr>
              <w:rStyle w:val="25"/>
              <w:rFonts w:hint="eastAsia" w:ascii="等线" w:hAnsi="等线" w:eastAsia="等线" w:cs="等线"/>
              <w:b/>
              <w:sz w:val="24"/>
            </w:rPr>
            <w:t>行业发展策略及建议</w:t>
          </w:r>
          <w:r>
            <w:rPr>
              <w:b/>
              <w:sz w:val="24"/>
            </w:rPr>
            <w:tab/>
          </w:r>
          <w:r>
            <w:rPr>
              <w:b/>
              <w:sz w:val="24"/>
            </w:rPr>
            <w:fldChar w:fldCharType="begin"/>
          </w:r>
          <w:r>
            <w:rPr>
              <w:b/>
              <w:sz w:val="24"/>
            </w:rPr>
            <w:instrText xml:space="preserve">PAGEREF _Toc46680729 \h</w:instrText>
          </w:r>
          <w:r>
            <w:rPr>
              <w:b/>
              <w:sz w:val="24"/>
            </w:rPr>
            <w:fldChar w:fldCharType="separate"/>
          </w:r>
          <w:r>
            <w:rPr>
              <w:b/>
              <w:sz w:val="24"/>
            </w:rPr>
            <w:t>27</w:t>
          </w:r>
          <w:r>
            <w:rPr>
              <w:b/>
              <w:sz w:val="24"/>
            </w:rPr>
            <w:fldChar w:fldCharType="end"/>
          </w:r>
          <w:r>
            <w:rPr>
              <w:b/>
              <w:sz w:val="24"/>
            </w:rPr>
            <w:fldChar w:fldCharType="end"/>
          </w:r>
        </w:p>
        <w:p w14:paraId="00B48BF2">
          <w:pPr>
            <w:pStyle w:val="18"/>
            <w:tabs>
              <w:tab w:val="right" w:leader="dot" w:pos="8295"/>
            </w:tabs>
          </w:pPr>
          <w:r>
            <w:fldChar w:fldCharType="begin"/>
          </w:r>
          <w:r>
            <w:instrText xml:space="preserve"> HYPERLINK \l "_Toc46680730" </w:instrText>
          </w:r>
          <w:r>
            <w:fldChar w:fldCharType="separate"/>
          </w:r>
          <w:r>
            <w:rPr>
              <w:rStyle w:val="25"/>
              <w:rFonts w:hint="eastAsia"/>
              <w:b/>
              <w:sz w:val="24"/>
            </w:rPr>
            <w:t>三、 </w:t>
          </w:r>
          <w:r>
            <w:rPr>
              <w:rStyle w:val="25"/>
              <w:rFonts w:hint="eastAsia" w:ascii="等线" w:hAnsi="等线" w:eastAsia="等线" w:cs="等线"/>
              <w:b/>
              <w:sz w:val="24"/>
            </w:rPr>
            <w:t>行业投资机会与风险</w:t>
          </w:r>
          <w:r>
            <w:rPr>
              <w:b/>
              <w:sz w:val="24"/>
            </w:rPr>
            <w:tab/>
          </w:r>
          <w:r>
            <w:rPr>
              <w:b/>
              <w:sz w:val="24"/>
            </w:rPr>
            <w:fldChar w:fldCharType="begin"/>
          </w:r>
          <w:r>
            <w:rPr>
              <w:b/>
              <w:sz w:val="24"/>
            </w:rPr>
            <w:instrText xml:space="preserve">PAGEREF _Toc46680730 \h</w:instrText>
          </w:r>
          <w:r>
            <w:rPr>
              <w:b/>
              <w:sz w:val="24"/>
            </w:rPr>
            <w:fldChar w:fldCharType="separate"/>
          </w:r>
          <w:r>
            <w:rPr>
              <w:b/>
              <w:sz w:val="24"/>
            </w:rPr>
            <w:t>28</w:t>
          </w:r>
          <w:r>
            <w:rPr>
              <w:b/>
              <w:sz w:val="24"/>
            </w:rPr>
            <w:fldChar w:fldCharType="end"/>
          </w:r>
          <w:r>
            <w:rPr>
              <w:b/>
              <w:sz w:val="24"/>
            </w:rPr>
            <w:fldChar w:fldCharType="end"/>
          </w:r>
        </w:p>
        <w:p w14:paraId="42745B68">
          <w:pPr>
            <w:pStyle w:val="14"/>
            <w:tabs>
              <w:tab w:val="right" w:leader="dot" w:pos="8295"/>
            </w:tabs>
          </w:pPr>
          <w:r>
            <w:fldChar w:fldCharType="begin"/>
          </w:r>
          <w:r>
            <w:instrText xml:space="preserve"> HYPERLINK \l "_Toc46680731" </w:instrText>
          </w:r>
          <w:r>
            <w:fldChar w:fldCharType="separate"/>
          </w:r>
          <w:r>
            <w:rPr>
              <w:rStyle w:val="25"/>
              <w:rFonts w:hint="eastAsia"/>
              <w:b/>
              <w:sz w:val="32"/>
            </w:rPr>
            <w:t>第八章 </w:t>
          </w:r>
          <w:r>
            <w:rPr>
              <w:rStyle w:val="25"/>
              <w:rFonts w:hint="eastAsia" w:ascii="等线" w:hAnsi="等线" w:eastAsia="等线" w:cs="等线"/>
              <w:b/>
              <w:sz w:val="32"/>
            </w:rPr>
            <w:t>高纯锗行业可持续发展分析</w:t>
          </w:r>
          <w:r>
            <w:rPr>
              <w:b/>
              <w:sz w:val="32"/>
            </w:rPr>
            <w:tab/>
          </w:r>
          <w:r>
            <w:rPr>
              <w:b/>
              <w:sz w:val="32"/>
            </w:rPr>
            <w:fldChar w:fldCharType="begin"/>
          </w:r>
          <w:r>
            <w:rPr>
              <w:b/>
              <w:sz w:val="32"/>
            </w:rPr>
            <w:instrText xml:space="preserve">PAGEREF _Toc46680731 \h</w:instrText>
          </w:r>
          <w:r>
            <w:rPr>
              <w:b/>
              <w:sz w:val="32"/>
            </w:rPr>
            <w:fldChar w:fldCharType="separate"/>
          </w:r>
          <w:r>
            <w:rPr>
              <w:b/>
              <w:sz w:val="32"/>
            </w:rPr>
            <w:t>29</w:t>
          </w:r>
          <w:r>
            <w:rPr>
              <w:b/>
              <w:sz w:val="32"/>
            </w:rPr>
            <w:fldChar w:fldCharType="end"/>
          </w:r>
          <w:r>
            <w:rPr>
              <w:b/>
              <w:sz w:val="32"/>
            </w:rPr>
            <w:fldChar w:fldCharType="end"/>
          </w:r>
        </w:p>
        <w:p w14:paraId="20EA98B2">
          <w:pPr>
            <w:pStyle w:val="18"/>
            <w:tabs>
              <w:tab w:val="right" w:leader="dot" w:pos="8295"/>
            </w:tabs>
          </w:pPr>
          <w:r>
            <w:fldChar w:fldCharType="begin"/>
          </w:r>
          <w:r>
            <w:instrText xml:space="preserve"> HYPERLINK \l "_Toc46680732" </w:instrText>
          </w:r>
          <w:r>
            <w:fldChar w:fldCharType="separate"/>
          </w:r>
          <w:r>
            <w:rPr>
              <w:rStyle w:val="25"/>
              <w:rFonts w:hint="eastAsia"/>
              <w:b/>
              <w:sz w:val="24"/>
            </w:rPr>
            <w:t>一、 </w:t>
          </w:r>
          <w:r>
            <w:rPr>
              <w:rStyle w:val="25"/>
              <w:rFonts w:hint="eastAsia" w:ascii="等线" w:hAnsi="等线" w:eastAsia="等线" w:cs="等线"/>
              <w:b/>
              <w:sz w:val="24"/>
            </w:rPr>
            <w:t>环境保护与节能减排现状</w:t>
          </w:r>
          <w:r>
            <w:rPr>
              <w:b/>
              <w:sz w:val="24"/>
            </w:rPr>
            <w:tab/>
          </w:r>
          <w:r>
            <w:rPr>
              <w:b/>
              <w:sz w:val="24"/>
            </w:rPr>
            <w:fldChar w:fldCharType="begin"/>
          </w:r>
          <w:r>
            <w:rPr>
              <w:b/>
              <w:sz w:val="24"/>
            </w:rPr>
            <w:instrText xml:space="preserve">PAGEREF _Toc46680732 \h</w:instrText>
          </w:r>
          <w:r>
            <w:rPr>
              <w:b/>
              <w:sz w:val="24"/>
            </w:rPr>
            <w:fldChar w:fldCharType="separate"/>
          </w:r>
          <w:r>
            <w:rPr>
              <w:b/>
              <w:sz w:val="24"/>
            </w:rPr>
            <w:t>29</w:t>
          </w:r>
          <w:r>
            <w:rPr>
              <w:b/>
              <w:sz w:val="24"/>
            </w:rPr>
            <w:fldChar w:fldCharType="end"/>
          </w:r>
          <w:r>
            <w:rPr>
              <w:b/>
              <w:sz w:val="24"/>
            </w:rPr>
            <w:fldChar w:fldCharType="end"/>
          </w:r>
        </w:p>
        <w:p w14:paraId="01F6C916">
          <w:pPr>
            <w:pStyle w:val="18"/>
            <w:tabs>
              <w:tab w:val="right" w:leader="dot" w:pos="8295"/>
            </w:tabs>
          </w:pPr>
          <w:r>
            <w:fldChar w:fldCharType="begin"/>
          </w:r>
          <w:r>
            <w:instrText xml:space="preserve"> HYPERLINK \l "_Toc46680733" </w:instrText>
          </w:r>
          <w:r>
            <w:fldChar w:fldCharType="separate"/>
          </w:r>
          <w:r>
            <w:rPr>
              <w:rStyle w:val="25"/>
              <w:rFonts w:hint="eastAsia"/>
              <w:b/>
              <w:sz w:val="24"/>
            </w:rPr>
            <w:t>二、 </w:t>
          </w:r>
          <w:r>
            <w:rPr>
              <w:rStyle w:val="25"/>
              <w:rFonts w:hint="eastAsia" w:ascii="等线" w:hAnsi="等线" w:eastAsia="等线" w:cs="等线"/>
              <w:b/>
              <w:sz w:val="24"/>
            </w:rPr>
            <w:t>可持续发展策略与实践</w:t>
          </w:r>
          <w:r>
            <w:rPr>
              <w:b/>
              <w:sz w:val="24"/>
            </w:rPr>
            <w:tab/>
          </w:r>
          <w:r>
            <w:rPr>
              <w:b/>
              <w:sz w:val="24"/>
            </w:rPr>
            <w:fldChar w:fldCharType="begin"/>
          </w:r>
          <w:r>
            <w:rPr>
              <w:b/>
              <w:sz w:val="24"/>
            </w:rPr>
            <w:instrText xml:space="preserve">PAGEREF _Toc46680733 \h</w:instrText>
          </w:r>
          <w:r>
            <w:rPr>
              <w:b/>
              <w:sz w:val="24"/>
            </w:rPr>
            <w:fldChar w:fldCharType="separate"/>
          </w:r>
          <w:r>
            <w:rPr>
              <w:b/>
              <w:sz w:val="24"/>
            </w:rPr>
            <w:t>29</w:t>
          </w:r>
          <w:r>
            <w:rPr>
              <w:b/>
              <w:sz w:val="24"/>
            </w:rPr>
            <w:fldChar w:fldCharType="end"/>
          </w:r>
          <w:r>
            <w:rPr>
              <w:b/>
              <w:sz w:val="24"/>
            </w:rPr>
            <w:fldChar w:fldCharType="end"/>
          </w:r>
        </w:p>
        <w:p w14:paraId="1063CDC5">
          <w:pPr>
            <w:pStyle w:val="18"/>
            <w:tabs>
              <w:tab w:val="right" w:leader="dot" w:pos="8295"/>
            </w:tabs>
          </w:pPr>
          <w:r>
            <w:fldChar w:fldCharType="begin"/>
          </w:r>
          <w:r>
            <w:instrText xml:space="preserve"> HYPERLINK \l "_Toc46680734" </w:instrText>
          </w:r>
          <w:r>
            <w:fldChar w:fldCharType="separate"/>
          </w:r>
          <w:r>
            <w:rPr>
              <w:rStyle w:val="25"/>
              <w:rFonts w:hint="eastAsia"/>
              <w:b/>
              <w:sz w:val="24"/>
            </w:rPr>
            <w:t>三、 </w:t>
          </w:r>
          <w:r>
            <w:rPr>
              <w:rStyle w:val="25"/>
              <w:rFonts w:hint="eastAsia" w:ascii="等线" w:hAnsi="等线" w:eastAsia="等线" w:cs="等线"/>
              <w:b/>
              <w:sz w:val="24"/>
            </w:rPr>
            <w:t>行业绿色转型的前景与挑战</w:t>
          </w:r>
          <w:r>
            <w:rPr>
              <w:b/>
              <w:sz w:val="24"/>
            </w:rPr>
            <w:tab/>
          </w:r>
          <w:r>
            <w:rPr>
              <w:b/>
              <w:sz w:val="24"/>
            </w:rPr>
            <w:fldChar w:fldCharType="begin"/>
          </w:r>
          <w:r>
            <w:rPr>
              <w:b/>
              <w:sz w:val="24"/>
            </w:rPr>
            <w:instrText xml:space="preserve">PAGEREF _Toc46680734 \h</w:instrText>
          </w:r>
          <w:r>
            <w:rPr>
              <w:b/>
              <w:sz w:val="24"/>
            </w:rPr>
            <w:fldChar w:fldCharType="separate"/>
          </w:r>
          <w:r>
            <w:rPr>
              <w:b/>
              <w:sz w:val="24"/>
            </w:rPr>
            <w:t>30</w:t>
          </w:r>
          <w:r>
            <w:rPr>
              <w:b/>
              <w:sz w:val="24"/>
            </w:rPr>
            <w:fldChar w:fldCharType="end"/>
          </w:r>
          <w:r>
            <w:rPr>
              <w:b/>
              <w:sz w:val="24"/>
            </w:rPr>
            <w:fldChar w:fldCharType="end"/>
          </w:r>
        </w:p>
        <w:p w14:paraId="4A35DE82">
          <w:pPr>
            <w:pStyle w:val="14"/>
            <w:tabs>
              <w:tab w:val="right" w:leader="dot" w:pos="8295"/>
            </w:tabs>
          </w:pPr>
          <w:r>
            <w:fldChar w:fldCharType="begin"/>
          </w:r>
          <w:r>
            <w:instrText xml:space="preserve"> HYPERLINK \l "_Toc46680736" </w:instrText>
          </w:r>
          <w:r>
            <w:fldChar w:fldCharType="separate"/>
          </w:r>
          <w:r>
            <w:rPr>
              <w:rStyle w:val="25"/>
              <w:rFonts w:hint="eastAsia"/>
              <w:b/>
              <w:sz w:val="32"/>
            </w:rPr>
            <w:t>附录</w:t>
          </w:r>
          <w:r>
            <w:rPr>
              <w:b/>
              <w:sz w:val="32"/>
            </w:rPr>
            <w:tab/>
          </w:r>
          <w:r>
            <w:rPr>
              <w:b/>
              <w:sz w:val="32"/>
            </w:rPr>
            <w:fldChar w:fldCharType="begin"/>
          </w:r>
          <w:r>
            <w:rPr>
              <w:b/>
              <w:sz w:val="32"/>
            </w:rPr>
            <w:instrText xml:space="preserve">PAGEREF _Toc46680736 \h</w:instrText>
          </w:r>
          <w:r>
            <w:rPr>
              <w:b/>
              <w:sz w:val="32"/>
            </w:rPr>
            <w:fldChar w:fldCharType="separate"/>
          </w:r>
          <w:r>
            <w:rPr>
              <w:b/>
              <w:sz w:val="32"/>
            </w:rPr>
            <w:t>33</w:t>
          </w:r>
          <w:r>
            <w:rPr>
              <w:b/>
              <w:sz w:val="32"/>
            </w:rPr>
            <w:fldChar w:fldCharType="end"/>
          </w:r>
          <w:r>
            <w:rPr>
              <w:b/>
              <w:sz w:val="32"/>
            </w:rPr>
            <w:fldChar w:fldCharType="end"/>
          </w:r>
        </w:p>
        <w:p w14:paraId="2C890592">
          <w:r>
            <w:fldChar w:fldCharType="end"/>
          </w:r>
        </w:p>
      </w:sdtContent>
    </w:sdt>
    <w:p w14:paraId="63DF5D06">
      <w:r>
        <w:br w:type="page"/>
      </w:r>
    </w:p>
    <w:p w14:paraId="30233B49">
      <w:pPr>
        <w:pStyle w:val="2"/>
        <w:spacing w:before="0" w:line="288" w:lineRule="auto"/>
      </w:pPr>
      <w:bookmarkStart w:id="1" w:name="_Toc4668072"/>
      <w:r>
        <w:rPr>
          <w:rFonts w:hint="eastAsia"/>
          <w:color w:val="F85025"/>
          <w:sz w:val="42"/>
        </w:rPr>
        <w:t>第一章 高纯锗行业概述</w:t>
      </w:r>
      <w:bookmarkEnd w:id="1"/>
    </w:p>
    <w:p w14:paraId="66BCF6AF">
      <w:pPr>
        <w:pStyle w:val="3"/>
        <w:spacing w:line="288" w:lineRule="auto"/>
      </w:pPr>
      <w:bookmarkStart w:id="2" w:name="_Toc4668073"/>
      <w:r>
        <w:rPr>
          <w:rFonts w:hint="eastAsia"/>
          <w:sz w:val="39"/>
        </w:rPr>
        <w:t>一、 行业定义与分类</w:t>
      </w:r>
      <w:bookmarkEnd w:id="2"/>
    </w:p>
    <w:p w14:paraId="2E80D1A5">
      <w:pPr>
        <w:spacing w:line="360" w:lineRule="auto"/>
        <w:ind w:firstLine="480" w:firstLineChars="200"/>
      </w:pPr>
      <w:r>
        <w:rPr>
          <w:rFonts w:hint="eastAsia"/>
          <w:b/>
          <w:sz w:val="24"/>
        </w:rPr>
        <w:t>行业定义</w:t>
      </w:r>
    </w:p>
    <w:p w14:paraId="46F7865B">
      <w:pPr>
        <w:spacing w:line="360" w:lineRule="auto"/>
        <w:ind w:firstLine="480" w:firstLineChars="200"/>
      </w:pPr>
      <w:r>
        <w:rPr>
          <w:rFonts w:hint="eastAsia"/>
          <w:sz w:val="24"/>
        </w:rPr>
        <w:t>高纯锗，作为半导体材料领域的一种关键元素，具有极高的纯度和特殊的物理性质。这种材料在制备过程中需经过严格的提纯过程，以确保其杂质含量极低。高纯锗不仅具备优异的导电性能，还在光学、热学、机械等方面表现出独特的优势。由于其独特的性能，高纯锗在半导体、光电、辐射探测等领域具有广泛的应用。</w:t>
      </w:r>
    </w:p>
    <w:p w14:paraId="0B81F0E5">
      <w:pPr>
        <w:spacing w:line="360" w:lineRule="auto"/>
        <w:ind w:firstLine="480" w:firstLineChars="200"/>
      </w:pPr>
      <w:r>
        <w:rPr>
          <w:rFonts w:hint="eastAsia"/>
          <w:sz w:val="24"/>
        </w:rPr>
        <w:t>在半导体产业中，高纯锗是制造高性能集成电路和光电子器件的重要原材料。其高纯度和优异的导电性能使得电路具有更低的电阻和更高的稳定性，从而提高电子产品的性能和可靠性。高纯锗还广泛应用于太阳能电池的制造，以提高电池的光电转换效率。</w:t>
      </w:r>
    </w:p>
    <w:p w14:paraId="6209FF2D">
      <w:pPr>
        <w:spacing w:line="360" w:lineRule="auto"/>
        <w:ind w:firstLine="480" w:firstLineChars="200"/>
      </w:pPr>
      <w:r>
        <w:rPr>
          <w:rFonts w:hint="eastAsia"/>
          <w:b/>
          <w:sz w:val="24"/>
        </w:rPr>
        <w:t>行业分类</w:t>
      </w:r>
    </w:p>
    <w:p w14:paraId="2F7C3065">
      <w:pPr>
        <w:spacing w:line="360" w:lineRule="auto"/>
        <w:ind w:firstLine="480" w:firstLineChars="200"/>
      </w:pPr>
      <w:r>
        <w:rPr>
          <w:rFonts w:hint="eastAsia"/>
          <w:sz w:val="24"/>
        </w:rPr>
        <w:t>根据应用领域和制造工艺的不同，高纯锗行业可以分为多个细分领域。在半导体领域，高纯锗主要用于制造高性能的集成电路和光电子器件，如晶体管、二极管等。在光电领域，高纯锗则被广泛应用于太阳能电池、红外探测器等光电器件的制造。而在辐射探测领域，高纯锗则是制造核探测器的重要材料，具有极高的探测灵敏度和精度。</w:t>
      </w:r>
    </w:p>
    <w:p w14:paraId="1894D6A8">
      <w:pPr>
        <w:spacing w:line="360" w:lineRule="auto"/>
        <w:ind w:firstLine="480" w:firstLineChars="200"/>
      </w:pPr>
      <w:r>
        <w:rPr>
          <w:rFonts w:hint="eastAsia"/>
          <w:sz w:val="24"/>
        </w:rPr>
        <w:t>高纯锗行业属于半导体材料领域，是电子信息产业的重要组成部分。随着科技的进步和电子信息产业的发展，高纯锗行业的前景将越来越广阔。未来，随着半导体技术的不断突破和光电子产业的快速发展，高纯锗的需求量将持续增长，为行业带来更多的机遇和挑战。</w:t>
      </w:r>
    </w:p>
    <w:p w14:paraId="58013C55">
      <w:pPr>
        <w:pStyle w:val="3"/>
        <w:spacing w:line="288" w:lineRule="auto"/>
      </w:pPr>
      <w:bookmarkStart w:id="3" w:name="_Toc4668074"/>
      <w:r>
        <w:rPr>
          <w:rFonts w:hint="eastAsia"/>
          <w:sz w:val="39"/>
        </w:rPr>
        <w:t>二、 行业发展历程及现状</w:t>
      </w:r>
      <w:bookmarkEnd w:id="3"/>
    </w:p>
    <w:p w14:paraId="71E174E5">
      <w:pPr>
        <w:spacing w:line="360" w:lineRule="auto"/>
        <w:ind w:firstLine="480" w:firstLineChars="200"/>
      </w:pPr>
      <w:r>
        <w:rPr>
          <w:rFonts w:hint="eastAsia"/>
          <w:sz w:val="24"/>
        </w:rPr>
        <w:t>高纯锗行业的发展历程既见证了技术的进步，也展现了市场的需求演变。从最初的起步到如今的成熟稳定，这个行业已经形成了完善的产业链和激烈的市场竞争格局。</w:t>
      </w:r>
    </w:p>
    <w:p w14:paraId="0D9FD4E7">
      <w:pPr>
        <w:spacing w:line="360" w:lineRule="auto"/>
        <w:ind w:firstLine="480" w:firstLineChars="200"/>
      </w:pPr>
      <w:r>
        <w:rPr>
          <w:rFonts w:hint="eastAsia"/>
          <w:sz w:val="24"/>
        </w:rPr>
        <w:t>在行业发展历程方面，高纯锗经历了几个重要的阶段。最初是技术突破期，科学家们对锗的特性和提纯技术进行了深入研究，取得了关键性的突破。这一时期，行业的技术壁垒较高，只有少数企业能够生产高纯度的锗。随着技术的逐渐成熟和成本的降低，高纯锗进入了快速增长期。在这个阶段，行业规模迅速扩大，企业数量增加，产品质量也得到了提升。随着需求的不断增长和市场的稳定，高纯锗行业逐渐进入了成熟稳定期。在这个阶段，行业的技术和市场格局基本稳定，企业之间的竞争主要体现在产品质量、成本和服务上。</w:t>
      </w:r>
    </w:p>
    <w:p w14:paraId="650CC3FD">
      <w:pPr>
        <w:spacing w:line="360" w:lineRule="auto"/>
        <w:ind w:firstLine="480" w:firstLineChars="200"/>
      </w:pPr>
      <w:r>
        <w:rPr>
          <w:rFonts w:hint="eastAsia"/>
          <w:sz w:val="24"/>
        </w:rPr>
        <w:t>从行业现状来看，高纯锗行业呈现出稳健的发展态势。随着科技的进步和应用领域的不断拓展，高纯锗的需求量持续增长。尤其是在太阳能、红外光学、半导体材料等领域，高纯锗的应用越来越广泛。行业竞争格局已经基本形成，一些龙头企业占据了主导地位。这些企业拥有先进的生产技术、完善的产业链和强大的研发实力，能够提供高质量的产品和服务。同时，一些小型企业也在积极寻求发展，通过技术创新和差异化竞争来拓展市场。</w:t>
      </w:r>
    </w:p>
    <w:p w14:paraId="54870717">
      <w:pPr>
        <w:pStyle w:val="3"/>
        <w:spacing w:line="288" w:lineRule="auto"/>
      </w:pPr>
      <w:bookmarkStart w:id="4" w:name="_Toc4668075"/>
      <w:r>
        <w:rPr>
          <w:rFonts w:hint="eastAsia"/>
          <w:sz w:val="39"/>
        </w:rPr>
        <w:t>三、 行业产业链结构分析</w:t>
      </w:r>
      <w:bookmarkEnd w:id="4"/>
    </w:p>
    <w:p w14:paraId="1E879E04">
      <w:pPr>
        <w:spacing w:line="360" w:lineRule="auto"/>
        <w:ind w:firstLine="480" w:firstLineChars="200"/>
      </w:pPr>
      <w:r>
        <w:rPr>
          <w:rFonts w:hint="eastAsia"/>
          <w:sz w:val="24"/>
        </w:rPr>
        <w:t>在高纯锗行业中，理解其产业链结构至关重要，它直接决定了行业的运行模式和竞争力。高纯锗的产业链包括上游原材料供应、中游材料制备和下游器件制造及应用等多个环节，每个环节都对整个产业链的稳定和发展产生重要影响。</w:t>
      </w:r>
    </w:p>
    <w:p w14:paraId="01E0CD9D">
      <w:pPr>
        <w:spacing w:line="360" w:lineRule="auto"/>
        <w:ind w:firstLine="480" w:firstLineChars="200"/>
      </w:pPr>
      <w:r>
        <w:rPr>
          <w:rFonts w:hint="eastAsia"/>
          <w:b/>
          <w:sz w:val="24"/>
        </w:rPr>
        <w:t>上下游产业关联</w:t>
      </w:r>
    </w:p>
    <w:p w14:paraId="7CFEBACA">
      <w:pPr>
        <w:spacing w:line="360" w:lineRule="auto"/>
        <w:ind w:firstLine="480" w:firstLineChars="200"/>
      </w:pPr>
      <w:r>
        <w:rPr>
          <w:rFonts w:hint="eastAsia"/>
          <w:sz w:val="24"/>
        </w:rPr>
        <w:t>高纯锗行业与多个领域密切相关，其中半导体、光电、辐射探测等领域的技术进步和市场需求对高纯锗行业的发展具有重要影响。半导体行业是锗的最大需求方，其技术进步和市场需求变化直接影响锗的价格和需求量。而光电和辐射探测领域的快速发展也为高纯锗提供了新的应用市场和机会。这些领域的技术创新和需求变化为高纯锗行业的发展提供了强大的动力。</w:t>
      </w:r>
    </w:p>
    <w:p w14:paraId="2B3DC7F9">
      <w:pPr>
        <w:spacing w:line="360" w:lineRule="auto"/>
        <w:ind w:firstLine="480" w:firstLineChars="200"/>
      </w:pPr>
      <w:r>
        <w:rPr>
          <w:rFonts w:hint="eastAsia"/>
          <w:b/>
          <w:sz w:val="24"/>
        </w:rPr>
        <w:t>产业链结构</w:t>
      </w:r>
    </w:p>
    <w:p w14:paraId="7B3021EA">
      <w:pPr>
        <w:spacing w:line="360" w:lineRule="auto"/>
        <w:ind w:firstLine="480" w:firstLineChars="200"/>
      </w:pPr>
      <w:r>
        <w:rPr>
          <w:rFonts w:hint="eastAsia"/>
          <w:sz w:val="24"/>
        </w:rPr>
        <w:t>高纯锗行业的产业链结构相对清晰，包括原材料供应、材料制备、器件制造、市场拓展等环节。每个环节都承载着行业发展的重要任务，其中原材料供应环节是整个产业链的基础，决定了后续环节的质量和稳定性。材料制备环节则要求企业掌握先进的技术和工艺，以生产出高质量的高纯锗材料。器件制造环节则需要企业具备精密的制造能力和严格的质量控制，以确保产品的精度和可靠性。市场拓展环节则是企业将产品推向市场、提升品牌影响力的重要环节。</w:t>
      </w:r>
      <w:r>
        <w:br w:type="page"/>
      </w:r>
    </w:p>
    <w:p w14:paraId="4210FCB0">
      <w:pPr>
        <w:pStyle w:val="2"/>
        <w:spacing w:before="0" w:line="288" w:lineRule="auto"/>
      </w:pPr>
      <w:bookmarkStart w:id="5" w:name="_Toc4668076"/>
      <w:r>
        <w:rPr>
          <w:rFonts w:hint="eastAsia"/>
          <w:color w:val="F85025"/>
          <w:sz w:val="42"/>
        </w:rPr>
        <w:t>第二章 高纯锗市场供需分析</w:t>
      </w:r>
      <w:bookmarkEnd w:id="5"/>
    </w:p>
    <w:p w14:paraId="53BFD2D9">
      <w:pPr>
        <w:pStyle w:val="3"/>
        <w:spacing w:line="288" w:lineRule="auto"/>
      </w:pPr>
      <w:bookmarkStart w:id="6" w:name="_Toc4668077"/>
      <w:r>
        <w:rPr>
          <w:rFonts w:hint="eastAsia"/>
          <w:sz w:val="39"/>
        </w:rPr>
        <w:t>一、 高纯锗产能及产量分析</w:t>
      </w:r>
      <w:bookmarkEnd w:id="6"/>
    </w:p>
    <w:p w14:paraId="5286B967">
      <w:pPr>
        <w:spacing w:line="360" w:lineRule="auto"/>
        <w:ind w:firstLine="480" w:firstLineChars="200"/>
      </w:pPr>
      <w:r>
        <w:rPr>
          <w:rFonts w:hint="eastAsia"/>
          <w:sz w:val="24"/>
        </w:rPr>
        <w:t>高纯锗作为半导体、光伏、光纤通信等领域的重要材料，其产能及产量一直备受关注。本节将从产能规模、产量增长以及产能布局三个方面对高纯锗的产能及产量进行详细分析。</w:t>
      </w:r>
    </w:p>
    <w:p w14:paraId="5964B2A7">
      <w:pPr>
        <w:spacing w:line="360" w:lineRule="auto"/>
        <w:ind w:firstLine="480" w:firstLineChars="200"/>
      </w:pPr>
      <w:r>
        <w:rPr>
          <w:rFonts w:hint="eastAsia"/>
          <w:sz w:val="24"/>
        </w:rPr>
        <w:t>产能规模：高纯锗市场的产能规模受到多种因素的影响，包括技术水平、资金投入、政策导向等。近年来，随着技术的不断进步和资金的不断投入，高纯锗的产能规模呈现稳步增长的趋势。国内企业在高纯锗生产方面取得了显著进展，不仅提升了生产效率，还优化了生产流程，使得高纯锗的产能得到了大幅提升。一些国外企业也加大了对中国市场的投入，进一步扩大了高纯锗的产能规模。</w:t>
      </w:r>
    </w:p>
    <w:p w14:paraId="1DEF617C">
      <w:pPr>
        <w:spacing w:line="360" w:lineRule="auto"/>
        <w:ind w:firstLine="480" w:firstLineChars="200"/>
      </w:pPr>
      <w:r>
        <w:rPr>
          <w:rFonts w:hint="eastAsia"/>
          <w:sz w:val="24"/>
        </w:rPr>
        <w:t>产量增长：随着半导体、光伏等行业的快速发展，高纯锗的需求量不断增加。为了满足市场需求，高纯锗的产量持续增长。国内企业通过加大生产力度、提高生产效率等措施，实现了高纯锗产量的快速增长。同时，一些新的生产企业也加入到高纯锗的生产行列中来，进一步推动了产量的增长。随着技术的不断进步和生产效率的提升，高纯锗的生产成本逐渐降低，也促进了产量的增长。</w:t>
      </w:r>
    </w:p>
    <w:p w14:paraId="4C5464EE">
      <w:pPr>
        <w:spacing w:line="360" w:lineRule="auto"/>
        <w:ind w:firstLine="480" w:firstLineChars="200"/>
      </w:pPr>
      <w:r>
        <w:rPr>
          <w:rFonts w:hint="eastAsia"/>
          <w:sz w:val="24"/>
        </w:rPr>
        <w:t>产能布局：国内高纯锗的产能布局逐渐优化。一些技术实力较强的企业开始占据主导地位，形成了较为完善的产业链。这些企业不仅拥有先进的生产设备和技术，还具备完善的原材料供应和销售渠道，能够确保高纯锗的稳定供应。同时，一些地区也形成了高纯锗的产业集群，进一步促进了产能的优化和整合。这种产能布局的优化不仅提高了生产效率，还降低了生产成本，提升了国内高纯锗的竞争力。</w:t>
      </w:r>
    </w:p>
    <w:p w14:paraId="56982A12">
      <w:pPr>
        <w:pStyle w:val="3"/>
        <w:spacing w:line="288" w:lineRule="auto"/>
      </w:pPr>
      <w:bookmarkStart w:id="7" w:name="_Toc4668078"/>
      <w:r>
        <w:rPr>
          <w:rFonts w:hint="eastAsia"/>
          <w:sz w:val="39"/>
        </w:rPr>
        <w:t>二、 高纯锗市场需求及消费结构</w:t>
      </w:r>
      <w:bookmarkEnd w:id="7"/>
    </w:p>
    <w:p w14:paraId="6DCC84D9">
      <w:pPr>
        <w:spacing w:line="360" w:lineRule="auto"/>
        <w:ind w:firstLine="480" w:firstLineChars="200"/>
      </w:pPr>
      <w:r>
        <w:rPr>
          <w:rFonts w:hint="eastAsia"/>
          <w:sz w:val="24"/>
        </w:rPr>
        <w:t>在高纯锗市场中，需求的稳步增长与消费结构的特性紧密相连。高纯锗因其在半导体、光伏及红外成像等领域的广泛应用，已成为这些高科技产业不可或缺的材料。特别是在半导体产业，高纯锗的应用占比居于首位，这得益于其在提升半导体器件性能方面的关键作用。近年来，随着二极管及类似半导体器件出口量的逐年攀升，从2019年的53491880.24万个增长至2021年的75550000万个，尽管2022年有所回落，但仍保持在65450000万个的高位，反映出高纯锗在半导体领域的强劲需求。</w:t>
      </w:r>
    </w:p>
    <w:p w14:paraId="47C71FF8">
      <w:pPr>
        <w:spacing w:line="360" w:lineRule="auto"/>
        <w:ind w:firstLine="480" w:firstLineChars="200"/>
      </w:pPr>
      <w:r>
        <w:rPr>
          <w:rFonts w:hint="eastAsia"/>
          <w:sz w:val="24"/>
        </w:rPr>
        <w:t>与此同时，以光伏为代表的新能源领域对高纯锗的需求也在逐步提升。随着全球对可再生能源的日益重视，光伏产业得到了快速发展，进一步拉动了高纯锗的市场需求。在消费结构上，虽然半导体领域的应用仍占主导，但光伏领域的需求增长已成为新的市场动力。</w:t>
      </w:r>
    </w:p>
    <w:p w14:paraId="7B75F920">
      <w:pPr>
        <w:spacing w:line="360" w:lineRule="auto"/>
        <w:ind w:firstLine="480" w:firstLineChars="200"/>
      </w:pPr>
      <w:r>
        <w:rPr>
          <w:rFonts w:hint="eastAsia"/>
          <w:sz w:val="24"/>
        </w:rPr>
        <w:t>不同地域对高纯锗的需求也呈现出差异化特点。一些发达地区，由于高科技产业集聚，对高纯锗的需求量相对较大。这种地域性的需求差异，为高纯锗市场的进一步拓展提供了更多可能性。总体来看，高纯锗市场需求保持稳定增长态势，消费结构日趋多元化，展现出良好的市场前景。</w:t>
      </w:r>
    </w:p>
    <w:p w14:paraId="7AAEC048">
      <w:pPr>
        <w:spacing w:line="360" w:lineRule="auto"/>
        <w:jc w:val="center"/>
      </w:pPr>
      <w:r>
        <w:rPr>
          <w:rFonts w:hint="eastAsia"/>
          <w:b/>
        </w:rPr>
        <w:t>表1 二极管及类似半导体器件出口量（全国）</w:t>
      </w:r>
    </w:p>
    <w:tbl>
      <w:tblPr>
        <w:tblStyle w:val="21"/>
        <w:tblW w:w="5000" w:type="pct"/>
        <w:jc w:val="center"/>
        <w:tblLayout w:type="autofit"/>
        <w:tblCellMar>
          <w:top w:w="0" w:type="dxa"/>
          <w:left w:w="108" w:type="dxa"/>
          <w:bottom w:w="0" w:type="dxa"/>
          <w:right w:w="108" w:type="dxa"/>
        </w:tblCellMar>
      </w:tblPr>
      <w:tblGrid>
        <w:gridCol w:w="4152"/>
        <w:gridCol w:w="4359"/>
      </w:tblGrid>
      <w:tr w14:paraId="6C4DF0D8">
        <w:tblPrEx>
          <w:tblCellMar>
            <w:top w:w="0" w:type="dxa"/>
            <w:left w:w="108" w:type="dxa"/>
            <w:bottom w:w="0" w:type="dxa"/>
            <w:right w:w="108" w:type="dxa"/>
          </w:tblCellMar>
        </w:tblPrEx>
        <w:trPr>
          <w:tblHeader/>
          <w:jc w:val="center"/>
        </w:trPr>
        <w:tc>
          <w:tcPr>
            <w:tcW w:w="5175" w:type="dxa"/>
            <w:tcBorders>
              <w:top w:val="single" w:color="222222" w:sz="6" w:space="0"/>
              <w:left w:val="single" w:color="222222" w:sz="6" w:space="0"/>
              <w:bottom w:val="single" w:color="222222" w:sz="6" w:space="0"/>
              <w:right w:val="single" w:color="222222" w:sz="6" w:space="0"/>
            </w:tcBorders>
          </w:tcPr>
          <w:p w14:paraId="05F4A082">
            <w:pPr>
              <w:spacing w:line="360" w:lineRule="auto"/>
              <w:ind w:firstLine="480" w:firstLineChars="200"/>
            </w:pPr>
            <w:r>
              <w:rPr>
                <w:rFonts w:hint="eastAsia"/>
                <w:sz w:val="24"/>
              </w:rPr>
              <w:t>年</w:t>
            </w:r>
          </w:p>
        </w:tc>
        <w:tc>
          <w:tcPr>
            <w:tcW w:w="5175" w:type="dxa"/>
            <w:tcBorders>
              <w:top w:val="single" w:color="222222" w:sz="6" w:space="0"/>
              <w:left w:val="single" w:color="222222" w:sz="6" w:space="0"/>
              <w:bottom w:val="single" w:color="222222" w:sz="6" w:space="0"/>
              <w:right w:val="single" w:color="222222" w:sz="6" w:space="0"/>
            </w:tcBorders>
          </w:tcPr>
          <w:p w14:paraId="4A2B3116">
            <w:pPr>
              <w:spacing w:line="360" w:lineRule="auto"/>
              <w:ind w:firstLine="480" w:firstLineChars="200"/>
            </w:pPr>
            <w:r>
              <w:rPr>
                <w:rFonts w:hint="eastAsia"/>
                <w:sz w:val="24"/>
              </w:rPr>
              <w:t>二极管及类似半导体器件出口量 (万个)</w:t>
            </w:r>
          </w:p>
        </w:tc>
      </w:tr>
      <w:tr w14:paraId="5CECD062">
        <w:tblPrEx>
          <w:tblCellMar>
            <w:top w:w="0" w:type="dxa"/>
            <w:left w:w="108" w:type="dxa"/>
            <w:bottom w:w="0" w:type="dxa"/>
            <w:right w:w="108" w:type="dxa"/>
          </w:tblCellMar>
        </w:tblPrEx>
        <w:trPr>
          <w:jc w:val="center"/>
        </w:trPr>
        <w:tc>
          <w:tcPr>
            <w:tcW w:w="5175" w:type="dxa"/>
            <w:tcBorders>
              <w:top w:val="single" w:color="222222" w:sz="6" w:space="0"/>
              <w:left w:val="single" w:color="222222" w:sz="6" w:space="0"/>
              <w:bottom w:val="single" w:color="222222" w:sz="6" w:space="0"/>
              <w:right w:val="single" w:color="222222" w:sz="6" w:space="0"/>
            </w:tcBorders>
          </w:tcPr>
          <w:p w14:paraId="1E716074">
            <w:pPr>
              <w:spacing w:line="360" w:lineRule="auto"/>
              <w:ind w:firstLine="480" w:firstLineChars="200"/>
            </w:pPr>
            <w:r>
              <w:rPr>
                <w:rFonts w:hint="eastAsia"/>
                <w:sz w:val="24"/>
              </w:rPr>
              <w:t>2019</w:t>
            </w:r>
          </w:p>
        </w:tc>
        <w:tc>
          <w:tcPr>
            <w:tcW w:w="5175" w:type="dxa"/>
            <w:tcBorders>
              <w:top w:val="single" w:color="222222" w:sz="6" w:space="0"/>
              <w:left w:val="single" w:color="222222" w:sz="6" w:space="0"/>
              <w:bottom w:val="single" w:color="222222" w:sz="6" w:space="0"/>
              <w:right w:val="single" w:color="222222" w:sz="6" w:space="0"/>
            </w:tcBorders>
          </w:tcPr>
          <w:p w14:paraId="2FA93344">
            <w:pPr>
              <w:spacing w:line="360" w:lineRule="auto"/>
              <w:ind w:firstLine="480" w:firstLineChars="200"/>
            </w:pPr>
            <w:r>
              <w:rPr>
                <w:rFonts w:hint="eastAsia"/>
                <w:sz w:val="24"/>
              </w:rPr>
              <w:t>53491880.24</w:t>
            </w:r>
          </w:p>
        </w:tc>
      </w:tr>
      <w:tr w14:paraId="2C9EBBD4">
        <w:tblPrEx>
          <w:tblCellMar>
            <w:top w:w="0" w:type="dxa"/>
            <w:left w:w="108" w:type="dxa"/>
            <w:bottom w:w="0" w:type="dxa"/>
            <w:right w:w="108" w:type="dxa"/>
          </w:tblCellMar>
        </w:tblPrEx>
        <w:trPr>
          <w:jc w:val="center"/>
        </w:trPr>
        <w:tc>
          <w:tcPr>
            <w:tcW w:w="5175" w:type="dxa"/>
            <w:tcBorders>
              <w:top w:val="single" w:color="222222" w:sz="6" w:space="0"/>
              <w:left w:val="single" w:color="222222" w:sz="6" w:space="0"/>
              <w:bottom w:val="single" w:color="222222" w:sz="6" w:space="0"/>
              <w:right w:val="single" w:color="222222" w:sz="6" w:space="0"/>
            </w:tcBorders>
          </w:tcPr>
          <w:p w14:paraId="32837EED">
            <w:pPr>
              <w:spacing w:line="360" w:lineRule="auto"/>
              <w:ind w:firstLine="480" w:firstLineChars="200"/>
            </w:pPr>
            <w:r>
              <w:rPr>
                <w:rFonts w:hint="eastAsia"/>
                <w:sz w:val="24"/>
              </w:rPr>
              <w:t>2020</w:t>
            </w:r>
          </w:p>
        </w:tc>
        <w:tc>
          <w:tcPr>
            <w:tcW w:w="5175" w:type="dxa"/>
            <w:tcBorders>
              <w:top w:val="single" w:color="222222" w:sz="6" w:space="0"/>
              <w:left w:val="single" w:color="222222" w:sz="6" w:space="0"/>
              <w:bottom w:val="single" w:color="222222" w:sz="6" w:space="0"/>
              <w:right w:val="single" w:color="222222" w:sz="6" w:space="0"/>
            </w:tcBorders>
          </w:tcPr>
          <w:p w14:paraId="0CFC697C">
            <w:pPr>
              <w:spacing w:line="360" w:lineRule="auto"/>
              <w:ind w:firstLine="480" w:firstLineChars="200"/>
            </w:pPr>
            <w:r>
              <w:rPr>
                <w:rFonts w:hint="eastAsia"/>
                <w:sz w:val="24"/>
              </w:rPr>
              <w:t>57962800.30</w:t>
            </w:r>
          </w:p>
        </w:tc>
      </w:tr>
      <w:tr w14:paraId="1883E005">
        <w:tblPrEx>
          <w:tblCellMar>
            <w:top w:w="0" w:type="dxa"/>
            <w:left w:w="108" w:type="dxa"/>
            <w:bottom w:w="0" w:type="dxa"/>
            <w:right w:w="108" w:type="dxa"/>
          </w:tblCellMar>
        </w:tblPrEx>
        <w:trPr>
          <w:jc w:val="center"/>
        </w:trPr>
        <w:tc>
          <w:tcPr>
            <w:tcW w:w="5175" w:type="dxa"/>
            <w:tcBorders>
              <w:top w:val="single" w:color="222222" w:sz="6" w:space="0"/>
              <w:left w:val="single" w:color="222222" w:sz="6" w:space="0"/>
              <w:bottom w:val="single" w:color="222222" w:sz="6" w:space="0"/>
              <w:right w:val="single" w:color="222222" w:sz="6" w:space="0"/>
            </w:tcBorders>
          </w:tcPr>
          <w:p w14:paraId="78D020D3">
            <w:pPr>
              <w:spacing w:line="360" w:lineRule="auto"/>
              <w:ind w:firstLine="480" w:firstLineChars="200"/>
            </w:pPr>
            <w:r>
              <w:rPr>
                <w:rFonts w:hint="eastAsia"/>
                <w:sz w:val="24"/>
              </w:rPr>
              <w:t>2021</w:t>
            </w:r>
          </w:p>
        </w:tc>
        <w:tc>
          <w:tcPr>
            <w:tcW w:w="5175" w:type="dxa"/>
            <w:tcBorders>
              <w:top w:val="single" w:color="222222" w:sz="6" w:space="0"/>
              <w:left w:val="single" w:color="222222" w:sz="6" w:space="0"/>
              <w:bottom w:val="single" w:color="222222" w:sz="6" w:space="0"/>
              <w:right w:val="single" w:color="222222" w:sz="6" w:space="0"/>
            </w:tcBorders>
          </w:tcPr>
          <w:p w14:paraId="1A7F6F2D">
            <w:pPr>
              <w:spacing w:line="360" w:lineRule="auto"/>
              <w:ind w:firstLine="480" w:firstLineChars="200"/>
            </w:pPr>
            <w:r>
              <w:rPr>
                <w:rFonts w:hint="eastAsia"/>
                <w:sz w:val="24"/>
              </w:rPr>
              <w:t>75550000</w:t>
            </w:r>
          </w:p>
        </w:tc>
      </w:tr>
      <w:tr w14:paraId="68527187">
        <w:tblPrEx>
          <w:tblCellMar>
            <w:top w:w="0" w:type="dxa"/>
            <w:left w:w="108" w:type="dxa"/>
            <w:bottom w:w="0" w:type="dxa"/>
            <w:right w:w="108" w:type="dxa"/>
          </w:tblCellMar>
        </w:tblPrEx>
        <w:trPr>
          <w:jc w:val="center"/>
        </w:trPr>
        <w:tc>
          <w:tcPr>
            <w:tcW w:w="5175" w:type="dxa"/>
            <w:tcBorders>
              <w:top w:val="single" w:color="222222" w:sz="6" w:space="0"/>
              <w:left w:val="single" w:color="222222" w:sz="6" w:space="0"/>
              <w:bottom w:val="single" w:color="222222" w:sz="6" w:space="0"/>
              <w:right w:val="single" w:color="222222" w:sz="6" w:space="0"/>
            </w:tcBorders>
          </w:tcPr>
          <w:p w14:paraId="59E2A26F">
            <w:pPr>
              <w:spacing w:line="360" w:lineRule="auto"/>
              <w:ind w:firstLine="480" w:firstLineChars="200"/>
            </w:pPr>
            <w:r>
              <w:rPr>
                <w:rFonts w:hint="eastAsia"/>
                <w:sz w:val="24"/>
              </w:rPr>
              <w:t>2022</w:t>
            </w:r>
          </w:p>
        </w:tc>
        <w:tc>
          <w:tcPr>
            <w:tcW w:w="5175" w:type="dxa"/>
            <w:tcBorders>
              <w:top w:val="single" w:color="222222" w:sz="6" w:space="0"/>
              <w:left w:val="single" w:color="222222" w:sz="6" w:space="0"/>
              <w:bottom w:val="single" w:color="222222" w:sz="6" w:space="0"/>
              <w:right w:val="single" w:color="222222" w:sz="6" w:space="0"/>
            </w:tcBorders>
          </w:tcPr>
          <w:p w14:paraId="2B29C373">
            <w:pPr>
              <w:spacing w:line="360" w:lineRule="auto"/>
              <w:ind w:firstLine="480" w:firstLineChars="200"/>
            </w:pPr>
            <w:r>
              <w:rPr>
                <w:rFonts w:hint="eastAsia"/>
                <w:sz w:val="24"/>
              </w:rPr>
              <w:t>65450000</w:t>
            </w:r>
          </w:p>
        </w:tc>
      </w:tr>
    </w:tbl>
    <w:p w14:paraId="07D11675">
      <w:pPr>
        <w:spacing w:before="120" w:beforeLines="50" w:line="360" w:lineRule="auto"/>
        <w:jc w:val="left"/>
      </w:pPr>
      <w:r>
        <w:rPr>
          <w:rFonts w:hint="eastAsia"/>
          <w:b/>
        </w:rPr>
        <w:t>数据来源：中经数据CEIdata</w:t>
      </w:r>
    </w:p>
    <w:p w14:paraId="7DFFF1CC">
      <w:pPr>
        <w:spacing w:before="360" w:line="360" w:lineRule="auto"/>
        <w:jc w:val="center"/>
      </w:pPr>
      <w:r>
        <w:drawing>
          <wp:inline distT="0" distB="0" distL="0" distR="0">
            <wp:extent cx="6572250" cy="26670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9"/>
                    <a:stretch>
                      <a:fillRect/>
                    </a:stretch>
                  </pic:blipFill>
                  <pic:spPr>
                    <a:xfrm>
                      <a:off x="0" y="0"/>
                      <a:ext cx="5732145" cy="2326088"/>
                    </a:xfrm>
                    <a:prstGeom prst="rect">
                      <a:avLst/>
                    </a:prstGeom>
                  </pic:spPr>
                </pic:pic>
              </a:graphicData>
            </a:graphic>
          </wp:inline>
        </w:drawing>
      </w:r>
    </w:p>
    <w:p w14:paraId="2A9F99C0">
      <w:pPr>
        <w:pStyle w:val="3"/>
        <w:spacing w:line="288" w:lineRule="auto"/>
      </w:pPr>
      <w:bookmarkStart w:id="8" w:name="_Toc4668079"/>
      <w:r>
        <w:rPr>
          <w:rFonts w:hint="eastAsia"/>
          <w:sz w:val="39"/>
        </w:rPr>
        <w:t>三、 供需平衡现状及趋势预测</w:t>
      </w:r>
      <w:bookmarkEnd w:id="8"/>
    </w:p>
    <w:p w14:paraId="734DB6FB">
      <w:pPr>
        <w:spacing w:line="360" w:lineRule="auto"/>
        <w:ind w:firstLine="480" w:firstLineChars="200"/>
      </w:pPr>
      <w:r>
        <w:rPr>
          <w:rFonts w:hint="eastAsia"/>
          <w:sz w:val="24"/>
        </w:rPr>
        <w:t>在高纯锗市场中，供需平衡状况是影响价格变动和市场稳定性的关键因素。当前，市场供需关系总体保持平衡，但在具体的时间段和地区，供需矛盾仍时有发生。以下是对高纯锗市场供需平衡现状及未来趋势的详细分析。</w:t>
      </w:r>
    </w:p>
    <w:p w14:paraId="4E9C44F1">
      <w:pPr>
        <w:spacing w:line="360" w:lineRule="auto"/>
        <w:ind w:firstLine="480" w:firstLineChars="200"/>
      </w:pPr>
      <w:r>
        <w:rPr>
          <w:rFonts w:hint="eastAsia"/>
          <w:b/>
          <w:sz w:val="24"/>
        </w:rPr>
        <w:t>供需平衡现状</w:t>
      </w:r>
    </w:p>
    <w:p w14:paraId="48F39B9A">
      <w:pPr>
        <w:spacing w:line="360" w:lineRule="auto"/>
        <w:ind w:firstLine="480" w:firstLineChars="200"/>
      </w:pPr>
      <w:r>
        <w:rPr>
          <w:rFonts w:hint="eastAsia"/>
          <w:sz w:val="24"/>
        </w:rPr>
        <w:t>目前，高纯锗市场的供需关系处于相对平衡的状态。供应商方面，全球高纯锗的生产能力较为稳定，主要生产商包括少数几家大型企业和一些小型生产商。这些企业拥有先进的生产技术和设备，能够稳定地提供高质量的高纯锗产品。需求方面，半导体、光伏等行业对高纯锗的需求量持续增长，特别是在新兴领域如5G通信、汽车电子等领域的应用不断扩大，为高纯锗市场提供了稳定的增长动力。然而，由于高纯锗的生产过程复杂，且存在一定的技术门槛，导致市场供应量相对有限，因此在某些时间段和地区，供需矛盾仍然存在。</w:t>
      </w:r>
    </w:p>
    <w:p w14:paraId="237ED8BD">
      <w:pPr>
        <w:spacing w:line="360" w:lineRule="auto"/>
        <w:ind w:firstLine="480" w:firstLineChars="200"/>
      </w:pPr>
      <w:r>
        <w:rPr>
          <w:rFonts w:hint="eastAsia"/>
          <w:b/>
          <w:sz w:val="24"/>
        </w:rPr>
        <w:t>趋势预测</w:t>
      </w:r>
    </w:p>
    <w:p w14:paraId="10A5676D">
      <w:pPr>
        <w:spacing w:line="360" w:lineRule="auto"/>
        <w:ind w:firstLine="480" w:firstLineChars="200"/>
      </w:pPr>
      <w:r>
        <w:rPr>
          <w:rFonts w:hint="eastAsia"/>
          <w:sz w:val="24"/>
        </w:rPr>
        <w:t>随着半导体、光伏等行业的进一步发展，对高纯锗的需求将持续增长。尤其是在新兴领域，如5G通信、汽车电子、航空航天等，对高纯锗的需求将更加旺盛。这将推动高纯锗市场的供需关系向紧平衡方向发展。同时，随着技术的不断进步和生产效率的提高，高纯锗的生产成本将逐渐降低，市场供应量也将有所增加。然而，由于高纯锗的稀有性和生产难度的提高，市场供应量的增长速度可能无法完全满足需求的增长，因此供需矛盾仍将存在。</w:t>
      </w:r>
    </w:p>
    <w:p w14:paraId="766B32D3">
      <w:pPr>
        <w:spacing w:line="360" w:lineRule="auto"/>
        <w:ind w:firstLine="480" w:firstLineChars="200"/>
      </w:pPr>
      <w:r>
        <w:rPr>
          <w:rFonts w:hint="eastAsia"/>
          <w:b/>
          <w:sz w:val="24"/>
        </w:rPr>
        <w:t>政策影响</w:t>
      </w:r>
    </w:p>
    <w:p w14:paraId="24AD1028">
      <w:pPr>
        <w:spacing w:line="360" w:lineRule="auto"/>
        <w:ind w:firstLine="480" w:firstLineChars="200"/>
      </w:pPr>
      <w:r>
        <w:rPr>
          <w:rFonts w:hint="eastAsia"/>
          <w:sz w:val="24"/>
        </w:rPr>
        <w:t>政策对高纯锗市场供需关系的影响也不容忽视。各国政府对高纯锗的出口和进口政策、环保政策等都可能对市场产生影响。例如，如果某国政府对高纯锗的出口进行限制或提高出口关税，将导致该国的高纯锗供应量减少，进而影响全球市场的供需平衡。环保政策的加强也将推动高纯锗的生产向更加环保、高效的方向发展，这将对市场的供需关系产生一定影响。</w:t>
      </w:r>
      <w:r>
        <w:br w:type="page"/>
      </w:r>
    </w:p>
    <w:p w14:paraId="669C9EB3">
      <w:pPr>
        <w:pStyle w:val="2"/>
        <w:spacing w:before="0" w:line="288" w:lineRule="auto"/>
      </w:pPr>
      <w:bookmarkStart w:id="9" w:name="_Toc46680710"/>
      <w:r>
        <w:rPr>
          <w:rFonts w:hint="eastAsia"/>
          <w:color w:val="F85025"/>
          <w:sz w:val="42"/>
        </w:rPr>
        <w:t>第三章 高纯锗行业竞争格局</w:t>
      </w:r>
      <w:bookmarkEnd w:id="9"/>
    </w:p>
    <w:p w14:paraId="15BEE73A">
      <w:pPr>
        <w:pStyle w:val="3"/>
        <w:spacing w:line="288" w:lineRule="auto"/>
      </w:pPr>
      <w:bookmarkStart w:id="10" w:name="_Toc46680711"/>
      <w:r>
        <w:rPr>
          <w:rFonts w:hint="eastAsia"/>
          <w:sz w:val="39"/>
        </w:rPr>
        <w:t>一、 主要生产企业及市场份额</w:t>
      </w:r>
      <w:bookmarkEnd w:id="10"/>
    </w:p>
    <w:p w14:paraId="12666FC2">
      <w:pPr>
        <w:spacing w:line="360" w:lineRule="auto"/>
        <w:ind w:firstLine="480" w:firstLineChars="200"/>
      </w:pPr>
      <w:r>
        <w:rPr>
          <w:rFonts w:hint="eastAsia"/>
          <w:sz w:val="24"/>
        </w:rPr>
        <w:t>在高纯锗市场中，几家大型生产企业凭借其独特的技术优势、产品质量和市场策略，占据了主导地位。以下是对这些主要生产企业的详细分析。</w:t>
      </w:r>
    </w:p>
    <w:p w14:paraId="2FCCA79D">
      <w:pPr>
        <w:spacing w:line="360" w:lineRule="auto"/>
        <w:ind w:firstLine="480" w:firstLineChars="200"/>
      </w:pPr>
      <w:r>
        <w:rPr>
          <w:rFonts w:hint="eastAsia"/>
          <w:sz w:val="24"/>
        </w:rPr>
        <w:t>生产企业一是该行业的领军企业，拥有先进的生产技术和设备，这使得其在生产过程中能够保持较高的产品质量稳定性。该企业注重技术研发和创新，不断提升自身的技术实力，以满足不断变化的市场需求。由于其产品质量稳定、性能优越，该企业在市场上赢得了良好的口碑，市场份额始终保持在较高水平。</w:t>
      </w:r>
    </w:p>
    <w:p w14:paraId="22ABD950">
      <w:pPr>
        <w:spacing w:line="360" w:lineRule="auto"/>
        <w:ind w:firstLine="480" w:firstLineChars="200"/>
      </w:pPr>
      <w:r>
        <w:rPr>
          <w:rFonts w:hint="eastAsia"/>
          <w:sz w:val="24"/>
        </w:rPr>
        <w:t>生产企业二则是以创新为核心竞争力的企业。该企业注重产品创新，不断推出符合市场需求的高纯锗产品。其产品具有较高的附加值和市场竞争力，能够满足客户的个性化需求。通过持续的创新和市场拓展，该企业的市场份额逐年增长，成为了市场中的重要力量。</w:t>
      </w:r>
    </w:p>
    <w:p w14:paraId="575400FA">
      <w:pPr>
        <w:spacing w:line="360" w:lineRule="auto"/>
        <w:ind w:firstLine="480" w:firstLineChars="200"/>
      </w:pPr>
      <w:r>
        <w:rPr>
          <w:rFonts w:hint="eastAsia"/>
          <w:sz w:val="24"/>
        </w:rPr>
        <w:t>生产企业三则拥有完善的产业链，从原料采购到生产加工再到产品销售，每个环节都严格控制，确保产品质量。该企业注重品质管理，建立了完善的质量管理体系，对每个环节进行严格的把控和检测。由于其产品质量可靠、性能稳定，该企业在市场上享有较高的声誉，市场份额也较为稳定。</w:t>
      </w:r>
    </w:p>
    <w:p w14:paraId="65C19F44">
      <w:pPr>
        <w:spacing w:line="360" w:lineRule="auto"/>
        <w:ind w:firstLine="480" w:firstLineChars="200"/>
      </w:pPr>
      <w:r>
        <w:rPr>
          <w:rFonts w:hint="eastAsia"/>
          <w:sz w:val="24"/>
        </w:rPr>
        <w:t>目前，高纯锗市场呈现出几家大型企业主导的局面，市场份额较为集中。然而，中小企业也在不断努力，通过技术创新和差异化竞争来寻求突破。未来，随着市场需求的不断变化和技术的不断进步，市场竞争将更加激烈，各企业需要不断提升自身的技术实力和市场竞争力，才能在市场中立于不败之地。</w:t>
      </w:r>
    </w:p>
    <w:p w14:paraId="78B92DF5">
      <w:pPr>
        <w:pStyle w:val="3"/>
        <w:spacing w:line="288" w:lineRule="auto"/>
      </w:pPr>
      <w:bookmarkStart w:id="11" w:name="_Toc46680712"/>
      <w:r>
        <w:rPr>
          <w:rFonts w:hint="eastAsia"/>
          <w:sz w:val="39"/>
        </w:rPr>
        <w:t>二、 竞争策略及优劣势分析</w:t>
      </w:r>
      <w:bookmarkEnd w:id="11"/>
    </w:p>
    <w:p w14:paraId="4664C149">
      <w:pPr>
        <w:spacing w:line="360" w:lineRule="auto"/>
        <w:ind w:firstLine="480" w:firstLineChars="200"/>
      </w:pPr>
      <w:r>
        <w:rPr>
          <w:rFonts w:hint="eastAsia"/>
          <w:sz w:val="24"/>
        </w:rPr>
        <w:t>在高纯锗市场中，企业间的竞争尤为激烈。为了在市场中立足并扩大市场份额，各大企业纷纷采取了不同的竞争策略，并在自身优势上进行了深入挖掘。</w:t>
      </w:r>
    </w:p>
    <w:p w14:paraId="71AC2E9F">
      <w:pPr>
        <w:spacing w:line="360" w:lineRule="auto"/>
        <w:ind w:firstLine="480" w:firstLineChars="200"/>
      </w:pPr>
      <w:r>
        <w:rPr>
          <w:rFonts w:hint="eastAsia"/>
          <w:sz w:val="24"/>
        </w:rPr>
        <w:t>技术创新是企业在高纯锗市场中获得竞争优势的关键。为了不断提高生产效率和产品质量，企业不断加大研发投入，推动高纯锗生产技术的创新升级。这些技术创新不仅降低了生产成本，提高了产品质量，还为企业带来了新的竞争优势。例如，某些企业通过优化生产工艺，使得高纯锗的生产过程更加环保、高效，从而赢得了客户的青睐。</w:t>
      </w:r>
    </w:p>
    <w:p w14:paraId="655A12BD">
      <w:pPr>
        <w:spacing w:line="360" w:lineRule="auto"/>
        <w:ind w:firstLine="480" w:firstLineChars="200"/>
      </w:pPr>
      <w:r>
        <w:rPr>
          <w:rFonts w:hint="eastAsia"/>
          <w:sz w:val="24"/>
        </w:rPr>
        <w:t>产品差异化是企业在高纯锗市场中抢占市场份额的另一种策略。随着客户需求的不断变化，企业需要不断推出符合市场需求的高纯锗产品。为此，企业需要对市场进行深入的调研和分析，了解客户需求的变化，并针对性地推出新的产品。企业还需要注重产品的品质和服务，以提高客户的满意度和忠诚度。</w:t>
      </w:r>
    </w:p>
    <w:p w14:paraId="222B65BA">
      <w:pPr>
        <w:spacing w:line="360" w:lineRule="auto"/>
        <w:ind w:firstLine="480" w:firstLineChars="200"/>
      </w:pPr>
      <w:r>
        <w:rPr>
          <w:rFonts w:hint="eastAsia"/>
          <w:sz w:val="24"/>
        </w:rPr>
        <w:t>市场拓展是企业在高纯锗市场中扩大市场份额的重要手段。除了在国内市场积极开拓外，企业还需要关注国际市场的发展趋势，积极开拓海外市场。通过参加国际展会、与国际知名企业建立合作关系等方式，企业可以扩大自身的知名度和影响力，进而获得更多的市场机会。</w:t>
      </w:r>
    </w:p>
    <w:p w14:paraId="033656EC">
      <w:pPr>
        <w:spacing w:line="360" w:lineRule="auto"/>
        <w:ind w:firstLine="480" w:firstLineChars="200"/>
      </w:pPr>
      <w:r>
        <w:rPr>
          <w:rFonts w:hint="eastAsia"/>
          <w:sz w:val="24"/>
        </w:rPr>
        <w:t>在高纯锗市场竞争中，不同企业具有不同的优劣势。一些企业拥有先进的生产技术和设备，能够生产出高品质的高纯锗产品；而另一些企业则注重产品创新和市场营销，能够在市场中获得更多的客户和资源。企业的产业链是否完善、管理是否规范等因素也会影响到企业的竞争力。因此，企业需要根据自身的实际情况，制定合适的竞争策略，以在市场中取得更好的业绩。</w:t>
      </w:r>
    </w:p>
    <w:p w14:paraId="2405CB8E">
      <w:pPr>
        <w:pStyle w:val="3"/>
        <w:spacing w:line="288" w:lineRule="auto"/>
      </w:pPr>
      <w:bookmarkStart w:id="12" w:name="_Toc46680713"/>
      <w:r>
        <w:rPr>
          <w:rFonts w:hint="eastAsia"/>
          <w:sz w:val="39"/>
        </w:rPr>
        <w:t>三、 行业进入与退出壁垒</w:t>
      </w:r>
      <w:bookmarkEnd w:id="12"/>
    </w:p>
    <w:p w14:paraId="6746AE38">
      <w:pPr>
        <w:spacing w:line="360" w:lineRule="auto"/>
        <w:ind w:firstLine="480" w:firstLineChars="200"/>
      </w:pPr>
      <w:r>
        <w:rPr>
          <w:rFonts w:hint="eastAsia"/>
          <w:sz w:val="24"/>
        </w:rPr>
        <w:t>高纯锗市场因其独特的产业特性和技术要求，具有较高的进入壁垒和退出壁垒。以下将对这两个方面进行详细分析。</w:t>
      </w:r>
    </w:p>
    <w:p w14:paraId="0B80819A">
      <w:pPr>
        <w:spacing w:line="360" w:lineRule="auto"/>
        <w:ind w:firstLine="480" w:firstLineChars="200"/>
      </w:pPr>
      <w:r>
        <w:rPr>
          <w:rFonts w:hint="eastAsia"/>
          <w:sz w:val="24"/>
        </w:rPr>
        <w:t>在高纯锗市场的进入壁垒方面，主要包括技术壁垒、资金壁垒和市场壁垒。技术壁垒是首要障碍，高纯锗的生产需要先进的生产技术和设备，以及丰富的生产经验。这些技术和经验的积累需要大量的时间和研发投入，使得新进入者难以在短时间内达到生产要求。高纯锗的生产过程对原材料和工艺要求极高，任何微小的误差都可能影响产品的质量和纯度，从而难以满足市场需求。资金壁垒也是进入该市场的一大障碍，因为建设高纯锗生产线需要巨额的投资，包括设备购置、技术研发、生产流程优化等。市场壁垒则体现在客户认可和市场份额的获取上，新进入者需要花费大量时间和资源来建立客户信任和市场地位。</w:t>
      </w:r>
    </w:p>
    <w:p w14:paraId="13BB5EB7">
      <w:pPr>
        <w:spacing w:line="360" w:lineRule="auto"/>
        <w:ind w:firstLine="480" w:firstLineChars="200"/>
      </w:pPr>
      <w:r>
        <w:rPr>
          <w:rFonts w:hint="eastAsia"/>
          <w:sz w:val="24"/>
        </w:rPr>
        <w:t>在高纯锗市场的退出壁垒方面，主要受到资产专用性强和员工安置难度大等因素的影响。高纯锗生产线的建设需要大量的资金和时间投入，一旦建成，其资产专用性非常强，难以转用于其他生产领域。这导致企业在考虑退出时，需要面临巨大的沉没成本。高纯锗生产需要专业的技术人员和熟练工人，这些人才在市场上的供应相对有限。如果企业决定退出市场，这些员工将面临失业的风险，企业需要承担一定的社会责任和安置成本。因此，企业在考虑进入高纯锗市场之前，必须充分评估自身的技术、资金和市场优势，以确保能够长期稳定地参与市场竞争。</w:t>
      </w:r>
    </w:p>
    <w:p w14:paraId="153954C8">
      <w:pPr>
        <w:spacing w:line="360" w:lineRule="auto"/>
        <w:jc w:val="center"/>
      </w:pPr>
      <w:r>
        <w:rPr>
          <w:rFonts w:hint="eastAsia"/>
          <w:b/>
        </w:rPr>
        <w:t>表2 高纯锗行业进入壁垒分析</w:t>
      </w:r>
    </w:p>
    <w:tbl>
      <w:tblPr>
        <w:tblStyle w:val="21"/>
        <w:tblW w:w="5000" w:type="pct"/>
        <w:jc w:val="center"/>
        <w:tblLayout w:type="autofit"/>
        <w:tblCellMar>
          <w:top w:w="0" w:type="dxa"/>
          <w:left w:w="108" w:type="dxa"/>
          <w:bottom w:w="0" w:type="dxa"/>
          <w:right w:w="108" w:type="dxa"/>
        </w:tblCellMar>
      </w:tblPr>
      <w:tblGrid>
        <w:gridCol w:w="4217"/>
        <w:gridCol w:w="4294"/>
      </w:tblGrid>
      <w:tr w14:paraId="39BEF6AE">
        <w:tblPrEx>
          <w:tblCellMar>
            <w:top w:w="0" w:type="dxa"/>
            <w:left w:w="108" w:type="dxa"/>
            <w:bottom w:w="0" w:type="dxa"/>
            <w:right w:w="108" w:type="dxa"/>
          </w:tblCellMar>
        </w:tblPrEx>
        <w:trPr>
          <w:tblHeader/>
          <w:jc w:val="center"/>
        </w:trPr>
        <w:tc>
          <w:tcPr>
            <w:tcW w:w="5175" w:type="dxa"/>
            <w:tcBorders>
              <w:top w:val="single" w:color="222222" w:sz="6" w:space="0"/>
              <w:left w:val="single" w:color="222222" w:sz="6" w:space="0"/>
              <w:bottom w:val="single" w:color="222222" w:sz="6" w:space="0"/>
              <w:right w:val="single" w:color="222222" w:sz="6" w:space="0"/>
            </w:tcBorders>
          </w:tcPr>
          <w:p w14:paraId="307B2C09">
            <w:pPr>
              <w:spacing w:line="360" w:lineRule="auto"/>
              <w:ind w:firstLine="480" w:firstLineChars="200"/>
            </w:pPr>
            <w:r>
              <w:rPr>
                <w:rFonts w:hint="eastAsia"/>
                <w:sz w:val="24"/>
              </w:rPr>
              <w:t>壁垒类型</w:t>
            </w:r>
          </w:p>
        </w:tc>
        <w:tc>
          <w:tcPr>
            <w:tcW w:w="5175" w:type="dxa"/>
            <w:tcBorders>
              <w:top w:val="single" w:color="222222" w:sz="6" w:space="0"/>
              <w:left w:val="single" w:color="222222" w:sz="6" w:space="0"/>
              <w:bottom w:val="single" w:color="222222" w:sz="6" w:space="0"/>
              <w:right w:val="single" w:color="222222" w:sz="6" w:space="0"/>
            </w:tcBorders>
          </w:tcPr>
          <w:p w14:paraId="7B3B1126">
            <w:pPr>
              <w:spacing w:line="360" w:lineRule="auto"/>
              <w:ind w:firstLine="480" w:firstLineChars="200"/>
            </w:pPr>
            <w:r>
              <w:rPr>
                <w:rFonts w:hint="eastAsia"/>
                <w:sz w:val="24"/>
              </w:rPr>
              <w:t>说明</w:t>
            </w:r>
          </w:p>
        </w:tc>
      </w:tr>
      <w:tr w14:paraId="790DE530">
        <w:tblPrEx>
          <w:tblCellMar>
            <w:top w:w="0" w:type="dxa"/>
            <w:left w:w="108" w:type="dxa"/>
            <w:bottom w:w="0" w:type="dxa"/>
            <w:right w:w="108" w:type="dxa"/>
          </w:tblCellMar>
        </w:tblPrEx>
        <w:trPr>
          <w:jc w:val="center"/>
        </w:trPr>
        <w:tc>
          <w:tcPr>
            <w:tcW w:w="5175" w:type="dxa"/>
            <w:tcBorders>
              <w:top w:val="single" w:color="222222" w:sz="6" w:space="0"/>
              <w:left w:val="single" w:color="222222" w:sz="6" w:space="0"/>
              <w:bottom w:val="single" w:color="222222" w:sz="6" w:space="0"/>
              <w:right w:val="single" w:color="222222" w:sz="6" w:space="0"/>
            </w:tcBorders>
          </w:tcPr>
          <w:p w14:paraId="747EB07B">
            <w:pPr>
              <w:spacing w:line="360" w:lineRule="auto"/>
              <w:ind w:firstLine="480" w:firstLineChars="200"/>
            </w:pPr>
            <w:r>
              <w:rPr>
                <w:rFonts w:hint="eastAsia"/>
                <w:sz w:val="24"/>
              </w:rPr>
              <w:t>技术壁垒</w:t>
            </w:r>
          </w:p>
        </w:tc>
        <w:tc>
          <w:tcPr>
            <w:tcW w:w="5175" w:type="dxa"/>
            <w:tcBorders>
              <w:top w:val="single" w:color="222222" w:sz="6" w:space="0"/>
              <w:left w:val="single" w:color="222222" w:sz="6" w:space="0"/>
              <w:bottom w:val="single" w:color="222222" w:sz="6" w:space="0"/>
              <w:right w:val="single" w:color="222222" w:sz="6" w:space="0"/>
            </w:tcBorders>
          </w:tcPr>
          <w:p w14:paraId="24FF02F4">
            <w:pPr>
              <w:spacing w:line="360" w:lineRule="auto"/>
              <w:ind w:firstLine="480" w:firstLineChars="200"/>
            </w:pPr>
            <w:r>
              <w:rPr>
                <w:rFonts w:hint="eastAsia"/>
                <w:sz w:val="24"/>
              </w:rPr>
              <w:t>半导体晶圆制造对材料的纯度有严格要求，如硅片（9N）、电子特气等</w:t>
            </w:r>
          </w:p>
        </w:tc>
      </w:tr>
      <w:tr w14:paraId="27C3A1C1">
        <w:tblPrEx>
          <w:tblCellMar>
            <w:top w:w="0" w:type="dxa"/>
            <w:left w:w="108" w:type="dxa"/>
            <w:bottom w:w="0" w:type="dxa"/>
            <w:right w:w="108" w:type="dxa"/>
          </w:tblCellMar>
        </w:tblPrEx>
        <w:trPr>
          <w:jc w:val="center"/>
        </w:trPr>
        <w:tc>
          <w:tcPr>
            <w:tcW w:w="5175" w:type="dxa"/>
            <w:tcBorders>
              <w:top w:val="single" w:color="222222" w:sz="6" w:space="0"/>
              <w:left w:val="single" w:color="222222" w:sz="6" w:space="0"/>
              <w:bottom w:val="single" w:color="222222" w:sz="6" w:space="0"/>
              <w:right w:val="single" w:color="222222" w:sz="6" w:space="0"/>
            </w:tcBorders>
          </w:tcPr>
          <w:p w14:paraId="48463D0D">
            <w:pPr>
              <w:spacing w:line="360" w:lineRule="auto"/>
              <w:ind w:firstLine="480" w:firstLineChars="200"/>
            </w:pPr>
            <w:r>
              <w:rPr>
                <w:rFonts w:hint="eastAsia"/>
                <w:sz w:val="24"/>
              </w:rPr>
              <w:t>规模和资金壁垒</w:t>
            </w:r>
          </w:p>
        </w:tc>
        <w:tc>
          <w:tcPr>
            <w:tcW w:w="5175" w:type="dxa"/>
            <w:tcBorders>
              <w:top w:val="single" w:color="222222" w:sz="6" w:space="0"/>
              <w:left w:val="single" w:color="222222" w:sz="6" w:space="0"/>
              <w:bottom w:val="single" w:color="222222" w:sz="6" w:space="0"/>
              <w:right w:val="single" w:color="222222" w:sz="6" w:space="0"/>
            </w:tcBorders>
          </w:tcPr>
          <w:p w14:paraId="769D918C">
            <w:pPr>
              <w:spacing w:line="360" w:lineRule="auto"/>
              <w:ind w:firstLine="480" w:firstLineChars="200"/>
            </w:pPr>
            <w:r>
              <w:rPr>
                <w:rFonts w:hint="eastAsia"/>
                <w:sz w:val="24"/>
              </w:rPr>
              <w:t>半导体材料生产需要大量资金，未形成规模效应则盈利水平难以保证</w:t>
            </w:r>
          </w:p>
        </w:tc>
      </w:tr>
      <w:tr w14:paraId="73B5A334">
        <w:tblPrEx>
          <w:tblCellMar>
            <w:top w:w="0" w:type="dxa"/>
            <w:left w:w="108" w:type="dxa"/>
            <w:bottom w:w="0" w:type="dxa"/>
            <w:right w:w="108" w:type="dxa"/>
          </w:tblCellMar>
        </w:tblPrEx>
        <w:trPr>
          <w:jc w:val="center"/>
        </w:trPr>
        <w:tc>
          <w:tcPr>
            <w:tcW w:w="5175" w:type="dxa"/>
            <w:tcBorders>
              <w:top w:val="single" w:color="222222" w:sz="6" w:space="0"/>
              <w:left w:val="single" w:color="222222" w:sz="6" w:space="0"/>
              <w:bottom w:val="single" w:color="222222" w:sz="6" w:space="0"/>
              <w:right w:val="single" w:color="222222" w:sz="6" w:space="0"/>
            </w:tcBorders>
          </w:tcPr>
          <w:p w14:paraId="59756D77">
            <w:pPr>
              <w:spacing w:line="360" w:lineRule="auto"/>
              <w:ind w:firstLine="480" w:firstLineChars="200"/>
            </w:pPr>
            <w:r>
              <w:rPr>
                <w:rFonts w:hint="eastAsia"/>
                <w:sz w:val="24"/>
              </w:rPr>
              <w:t>品牌与客户壁垒</w:t>
            </w:r>
          </w:p>
        </w:tc>
        <w:tc>
          <w:tcPr>
            <w:tcW w:w="5175" w:type="dxa"/>
            <w:tcBorders>
              <w:top w:val="single" w:color="222222" w:sz="6" w:space="0"/>
              <w:left w:val="single" w:color="222222" w:sz="6" w:space="0"/>
              <w:bottom w:val="single" w:color="222222" w:sz="6" w:space="0"/>
              <w:right w:val="single" w:color="222222" w:sz="6" w:space="0"/>
            </w:tcBorders>
          </w:tcPr>
          <w:p w14:paraId="46DAC9B0">
            <w:pPr>
              <w:spacing w:line="360" w:lineRule="auto"/>
              <w:ind w:firstLine="480" w:firstLineChars="200"/>
            </w:pPr>
            <w:r>
              <w:rPr>
                <w:rFonts w:hint="eastAsia"/>
                <w:sz w:val="24"/>
              </w:rPr>
              <w:t>材料产品需要经过客户验证，进入供应体系难度大、耗时长</w:t>
            </w:r>
          </w:p>
        </w:tc>
      </w:tr>
    </w:tbl>
    <w:p w14:paraId="5492B247">
      <w:pPr>
        <w:spacing w:before="120" w:beforeLines="50" w:line="360" w:lineRule="auto"/>
        <w:jc w:val="left"/>
      </w:pPr>
      <w:r>
        <w:rPr>
          <w:rFonts w:hint="eastAsia"/>
          <w:b/>
        </w:rPr>
        <w:t>数据来源:</w:t>
      </w:r>
      <w:r>
        <w:rPr>
          <w:rFonts w:hint="eastAsia"/>
          <w:b/>
          <w:lang w:eastAsia="zh-CN"/>
        </w:rPr>
        <w:t>网络</w:t>
      </w:r>
      <w:r>
        <w:rPr>
          <w:rFonts w:hint="eastAsia"/>
          <w:b/>
        </w:rPr>
        <w:t>搜索</w:t>
      </w:r>
      <w:r>
        <w:br w:type="page"/>
      </w:r>
    </w:p>
    <w:p w14:paraId="060DF08C">
      <w:pPr>
        <w:pStyle w:val="2"/>
        <w:spacing w:before="0" w:line="288" w:lineRule="auto"/>
      </w:pPr>
      <w:bookmarkStart w:id="13" w:name="_Toc46680714"/>
      <w:r>
        <w:rPr>
          <w:rFonts w:hint="eastAsia"/>
          <w:color w:val="F85025"/>
          <w:sz w:val="42"/>
        </w:rPr>
        <w:t>第四章 高纯锗行业财务状况</w:t>
      </w:r>
      <w:bookmarkEnd w:id="13"/>
    </w:p>
    <w:p w14:paraId="6688B3B5">
      <w:pPr>
        <w:pStyle w:val="3"/>
        <w:spacing w:line="288" w:lineRule="auto"/>
      </w:pPr>
      <w:bookmarkStart w:id="14" w:name="_Toc46680715"/>
      <w:r>
        <w:rPr>
          <w:rFonts w:hint="eastAsia"/>
          <w:sz w:val="39"/>
        </w:rPr>
        <w:t>一、 行业盈利能力分析</w:t>
      </w:r>
      <w:bookmarkEnd w:id="14"/>
    </w:p>
    <w:p w14:paraId="4E31B935">
      <w:pPr>
        <w:spacing w:line="360" w:lineRule="auto"/>
        <w:ind w:firstLine="480" w:firstLineChars="200"/>
      </w:pPr>
      <w:r>
        <w:rPr>
          <w:rFonts w:hint="eastAsia"/>
          <w:b/>
          <w:sz w:val="24"/>
        </w:rPr>
        <w:t>毛利率分析</w:t>
      </w:r>
    </w:p>
    <w:p w14:paraId="63D2DFCC">
      <w:pPr>
        <w:spacing w:line="360" w:lineRule="auto"/>
        <w:ind w:firstLine="480" w:firstLineChars="200"/>
      </w:pPr>
      <w:r>
        <w:rPr>
          <w:rFonts w:hint="eastAsia"/>
          <w:sz w:val="24"/>
        </w:rPr>
        <w:t>高纯锗行业拥有相对较高的毛利率，这得益于其在产业链中的特殊地位。高纯锗作为半导体材料的重要组成部分，其纯度要求极高，生产工艺复杂，进入门槛较高。这些因素共同决定了高纯锗产品的市场稀缺性和技术壁垒，从而为其带来了较高的附加值。然而，高纯锗行业的毛利率并非一成不变，而是随着市场需求、价格波动、技术进步等因素的变化而波动。在市场需求旺盛、产品价格高企的时期，高纯锗行业的毛利率会相应提高；反之，在市场需求低迷、产品价格下跌的时期，高纯锗行业的毛利率则会受到压缩。</w:t>
      </w:r>
    </w:p>
    <w:p w14:paraId="7B6D23A6">
      <w:pPr>
        <w:spacing w:line="360" w:lineRule="auto"/>
        <w:ind w:firstLine="480" w:firstLineChars="200"/>
      </w:pPr>
      <w:r>
        <w:rPr>
          <w:rFonts w:hint="eastAsia"/>
          <w:b/>
          <w:sz w:val="24"/>
        </w:rPr>
        <w:t>净利率分析</w:t>
      </w:r>
    </w:p>
    <w:p w14:paraId="5E0D4F7B">
      <w:pPr>
        <w:spacing w:line="360" w:lineRule="auto"/>
        <w:ind w:firstLine="480" w:firstLineChars="200"/>
      </w:pPr>
      <w:r>
        <w:rPr>
          <w:rFonts w:hint="eastAsia"/>
          <w:sz w:val="24"/>
        </w:rPr>
        <w:t>高纯锗行业的净利率也呈现出相对较高的特点。这主要得益于行业的高毛利率以及较好的成本控制能力。然而，净利率的变动同样受到多种因素的影响。例如，市场竞争的加剧可能导致产品价格下降，从而压缩净利率；而成本控制不力则可能导致成本上升，进而降低净利率。因此，高纯锗行业的企业需要不断优化生产工艺、提高生产效率、降低成本，以保持较高的净利率。</w:t>
      </w:r>
    </w:p>
    <w:p w14:paraId="1EF301F4">
      <w:pPr>
        <w:spacing w:line="360" w:lineRule="auto"/>
        <w:ind w:firstLine="480" w:firstLineChars="200"/>
      </w:pPr>
      <w:r>
        <w:rPr>
          <w:rFonts w:hint="eastAsia"/>
          <w:b/>
          <w:sz w:val="24"/>
        </w:rPr>
        <w:t>盈利能力稳定性分析</w:t>
      </w:r>
    </w:p>
    <w:p w14:paraId="69FC5C96">
      <w:pPr>
        <w:spacing w:line="360" w:lineRule="auto"/>
        <w:ind w:firstLine="480" w:firstLineChars="200"/>
      </w:pPr>
      <w:r>
        <w:rPr>
          <w:rFonts w:hint="eastAsia"/>
          <w:sz w:val="24"/>
        </w:rPr>
        <w:t>尽管高纯锗行业具有较高的毛利率和净利率，但其盈利能力稳定性却有待提高。这主要源于市场需求和价格波动的不确定性。高纯锗作为半导体材料的重要组成部分，其需求受到半导体行业的影响较大。而半导体行业又具有周期性、波动性等特点，因此高纯锗行业的需求和价格也呈现出波动性。技术更新换代也是影响高纯锗行业盈利能力稳定性的重要因素。随着技术的不断进步，新的替代材料可能不断涌现，从而对高纯锗的需求和价格造成冲击。因此，高纯锗行业的企业需要密切关注市场动态和技术趋势，不断调整产品结构和市场策略，以应对市场的变化和挑战。</w:t>
      </w:r>
    </w:p>
    <w:p w14:paraId="0282CFF5">
      <w:pPr>
        <w:pStyle w:val="3"/>
        <w:spacing w:line="288" w:lineRule="auto"/>
      </w:pPr>
      <w:bookmarkStart w:id="15" w:name="_Toc46680716"/>
      <w:r>
        <w:rPr>
          <w:rFonts w:hint="eastAsia"/>
          <w:sz w:val="39"/>
        </w:rPr>
        <w:t>二、 行业偿债能力分析</w:t>
      </w:r>
      <w:bookmarkEnd w:id="15"/>
    </w:p>
    <w:p w14:paraId="50B266A4">
      <w:pPr>
        <w:spacing w:line="360" w:lineRule="auto"/>
        <w:ind w:firstLine="480" w:firstLineChars="200"/>
      </w:pPr>
      <w:r>
        <w:rPr>
          <w:rFonts w:hint="eastAsia"/>
          <w:sz w:val="24"/>
        </w:rPr>
        <w:t>偿债能力是企业财务健康的重要指标，对于高纯锗行业来说也不例外。本章节将对高纯锗行业的偿债能力进行深入分析，从资产负债率、流动比率以及偿债能力风险三个方面进行阐述。</w:t>
      </w:r>
    </w:p>
    <w:p w14:paraId="626C7BD1">
      <w:pPr>
        <w:spacing w:line="360" w:lineRule="auto"/>
        <w:ind w:firstLine="480" w:firstLineChars="200"/>
      </w:pPr>
      <w:r>
        <w:rPr>
          <w:rFonts w:hint="eastAsia"/>
          <w:b/>
          <w:sz w:val="24"/>
        </w:rPr>
        <w:t>资产负债率分析</w:t>
      </w:r>
    </w:p>
    <w:p w14:paraId="1B3F6CEC">
      <w:pPr>
        <w:spacing w:line="360" w:lineRule="auto"/>
        <w:ind w:firstLine="480" w:firstLineChars="200"/>
      </w:pPr>
      <w:r>
        <w:rPr>
          <w:rFonts w:hint="eastAsia"/>
          <w:sz w:val="24"/>
        </w:rPr>
        <w:t>资产负债率是企业总负债与总资产的比率，反映了企业的债务压力以及资产结构。在高纯锗行业中，资产负债率整体呈现适中的态势，说明行业在保持稳健经营的同时，也积极利用财务杠杆进行发展。然而，不同企业之间资产负债率存在差异，这主要受到企业规模、经营策略、市场环境等多种因素的影响。规模较大的企业通常具有较低的资产负债率，因为其资产规模较大，能够承担更多的债务。而规模较小的企业则可能面临较高的资产负债率，需要更加谨慎地管理债务。</w:t>
      </w:r>
    </w:p>
    <w:p w14:paraId="1D313562">
      <w:pPr>
        <w:spacing w:line="360" w:lineRule="auto"/>
        <w:ind w:firstLine="480" w:firstLineChars="200"/>
      </w:pPr>
      <w:r>
        <w:rPr>
          <w:rFonts w:hint="eastAsia"/>
          <w:b/>
          <w:sz w:val="24"/>
        </w:rPr>
        <w:t>流动比率分析</w:t>
      </w:r>
    </w:p>
    <w:p w14:paraId="0615E50A">
      <w:pPr>
        <w:spacing w:line="360" w:lineRule="auto"/>
        <w:ind w:firstLine="480" w:firstLineChars="200"/>
      </w:pPr>
      <w:r>
        <w:rPr>
          <w:rFonts w:hint="eastAsia"/>
          <w:sz w:val="24"/>
        </w:rPr>
        <w:t>流动比率是企业流动资产与流动负债的比率，反映了企业的短期偿债能力。在高纯锗行业中，流动比率普遍较高，说明行业内的企业具备较强的短期偿债能力。这主要得益于行业特性以及企业良好的资产运营能力。高纯锗行业属于资金密集型行业，企业通常拥有大量的存货和应收账款等流动资产，这使得企业在面对短期债务时能够迅速变现资产以偿还债务。</w:t>
      </w:r>
    </w:p>
    <w:p w14:paraId="3D9D035C">
      <w:pPr>
        <w:spacing w:line="360" w:lineRule="auto"/>
        <w:ind w:firstLine="480" w:firstLineChars="200"/>
      </w:pPr>
      <w:r>
        <w:rPr>
          <w:rFonts w:hint="eastAsia"/>
          <w:b/>
          <w:sz w:val="24"/>
        </w:rPr>
        <w:t>偿债能力风险分析</w:t>
      </w:r>
    </w:p>
    <w:p w14:paraId="71D8D8DA">
      <w:pPr>
        <w:spacing w:line="360" w:lineRule="auto"/>
        <w:ind w:firstLine="480" w:firstLineChars="200"/>
      </w:pPr>
      <w:r>
        <w:rPr>
          <w:rFonts w:hint="eastAsia"/>
          <w:sz w:val="24"/>
        </w:rPr>
        <w:t>尽管高纯锗行业的偿债能力整体较好，但仍需关注个别企业的债务风险。一些企业可能由于过度扩张、经营不善等原因导致资产负债率过高，面临偿债压力。市场波动、政策变化等外部因素也可能对企业的偿债能力造成影响。因此，投资者在进行投资决策时，应全面了解企业的财务状况，谨慎评估其偿债能力风险。</w:t>
      </w:r>
    </w:p>
    <w:p w14:paraId="79CEC007">
      <w:pPr>
        <w:pStyle w:val="3"/>
        <w:spacing w:line="288" w:lineRule="auto"/>
      </w:pPr>
      <w:bookmarkStart w:id="16" w:name="_Toc46680717"/>
      <w:r>
        <w:rPr>
          <w:rFonts w:hint="eastAsia"/>
          <w:sz w:val="39"/>
        </w:rPr>
        <w:t>三、 行业营运能力分析</w:t>
      </w:r>
      <w:bookmarkEnd w:id="16"/>
    </w:p>
    <w:p w14:paraId="3AF1B3DF">
      <w:pPr>
        <w:spacing w:line="360" w:lineRule="auto"/>
        <w:ind w:firstLine="480" w:firstLineChars="200"/>
      </w:pPr>
      <w:r>
        <w:rPr>
          <w:rFonts w:hint="eastAsia"/>
          <w:sz w:val="24"/>
        </w:rPr>
        <w:t>营运能力是衡量企业资产运用效率和效果的重要指标，反映了企业的管理水平和盈利能力。在高纯锗行业中，企业的营运能力对于企业的竞争力和市场份额具有重要影响。以下将从存货周转率、应收账款周转率以及营运能力风险三个方面，对高纯锗行业的营运能力进行分析。</w:t>
      </w:r>
    </w:p>
    <w:p w14:paraId="567F88DE">
      <w:pPr>
        <w:spacing w:line="360" w:lineRule="auto"/>
        <w:ind w:firstLine="480" w:firstLineChars="200"/>
      </w:pPr>
      <w:r>
        <w:rPr>
          <w:rFonts w:hint="eastAsia"/>
          <w:b/>
          <w:sz w:val="24"/>
        </w:rPr>
        <w:t>存货周转率</w:t>
      </w:r>
    </w:p>
    <w:p w14:paraId="03759AB5">
      <w:pPr>
        <w:spacing w:line="360" w:lineRule="auto"/>
        <w:ind w:firstLine="480" w:firstLineChars="200"/>
      </w:pPr>
      <w:r>
        <w:rPr>
          <w:rFonts w:hint="eastAsia"/>
          <w:sz w:val="24"/>
        </w:rPr>
        <w:t>在高纯锗行业中，存货周转率的高低直接反映了企业的存货管理效率和销售能力。高存货周转率意味着企业的存货流动性强，能够快速转化为销售收入，从而降低存货积压和跌价风险。高纯锗行业的存货周转率普遍较高，这得益于行业内企业对市场需求的精准把握和高效的采购、生产和销售管理。然而，也有一些企业因为库存管理不当或销售策略不当，导致存货周转率较低，影响了企业的盈利能力和市场竞争力。</w:t>
      </w:r>
    </w:p>
    <w:p w14:paraId="68ECCB8B">
      <w:pPr>
        <w:spacing w:line="360" w:lineRule="auto"/>
        <w:ind w:firstLine="480" w:firstLineChars="200"/>
      </w:pPr>
      <w:r>
        <w:rPr>
          <w:rFonts w:hint="eastAsia"/>
          <w:b/>
          <w:sz w:val="24"/>
        </w:rPr>
        <w:t>应收账款周转率</w:t>
      </w:r>
    </w:p>
    <w:p w14:paraId="4D49ED86">
      <w:pPr>
        <w:spacing w:line="360" w:lineRule="auto"/>
        <w:ind w:firstLine="480" w:firstLineChars="200"/>
      </w:pPr>
      <w:r>
        <w:rPr>
          <w:rFonts w:hint="eastAsia"/>
          <w:sz w:val="24"/>
        </w:rPr>
        <w:t>应收账款周转率反映了企业应收账款的回收速度和运营效率。在高纯锗行业中，应收账款周转率的高低也直接影响着企业的现金流和财务状况。高纯锗行业的应收账款周转率普遍较高，这表明行业内的企业能够有效地管理应收账款，降低坏账风险，并及时回收资金。这种高效的应收账款管理有助于企业保持稳定的现金流，支持企业的运营和发展。</w:t>
      </w:r>
    </w:p>
    <w:p w14:paraId="4C875C8F">
      <w:pPr>
        <w:spacing w:line="360" w:lineRule="auto"/>
        <w:ind w:firstLine="480" w:firstLineChars="200"/>
      </w:pPr>
      <w:r>
        <w:rPr>
          <w:rFonts w:hint="eastAsia"/>
          <w:b/>
          <w:sz w:val="24"/>
        </w:rPr>
        <w:t>营运能力风险</w:t>
      </w:r>
    </w:p>
    <w:p w14:paraId="0AA46D0A">
      <w:pPr>
        <w:spacing w:line="360" w:lineRule="auto"/>
        <w:ind w:firstLine="480" w:firstLineChars="200"/>
      </w:pPr>
      <w:r>
        <w:rPr>
          <w:rFonts w:hint="eastAsia"/>
          <w:sz w:val="24"/>
        </w:rPr>
        <w:t>在高纯锗行业中，虽然存货周转率和应收账款周转率普遍较高，但仍然存在一些营运能力风险。例如，市场需求波动、原材料价格变动、客户信用风险等都可能对企业的营运能力产生影响。个别企业可能因为管理不善或策略失误，导致存货积压、应收账款无法回收等问题，进而影响企业的盈利能力和市场竞争力。因此，在高纯锗行业中，企业需要加强市场研究，优化库存管理，提高应收账款的回收效率，以降低营运能力风险。</w:t>
      </w:r>
    </w:p>
    <w:p w14:paraId="02327CF0">
      <w:pPr>
        <w:pStyle w:val="3"/>
        <w:spacing w:line="288" w:lineRule="auto"/>
      </w:pPr>
      <w:bookmarkStart w:id="17" w:name="_Toc46680718"/>
      <w:r>
        <w:rPr>
          <w:rFonts w:hint="eastAsia"/>
          <w:sz w:val="39"/>
        </w:rPr>
        <w:t>四、 行业发展能力分析</w:t>
      </w:r>
      <w:bookmarkEnd w:id="17"/>
    </w:p>
    <w:p w14:paraId="054192E2">
      <w:pPr>
        <w:spacing w:line="360" w:lineRule="auto"/>
        <w:ind w:firstLine="480" w:firstLineChars="200"/>
      </w:pPr>
      <w:r>
        <w:rPr>
          <w:rFonts w:hint="eastAsia"/>
          <w:sz w:val="24"/>
        </w:rPr>
        <w:t>在评估高纯锗行业的发展能力时，我们需从市场规模增长、技术进步及竞争格局三个方面进行深入分析。</w:t>
      </w:r>
    </w:p>
    <w:p w14:paraId="47678CEE">
      <w:pPr>
        <w:spacing w:line="360" w:lineRule="auto"/>
        <w:ind w:firstLine="480" w:firstLineChars="200"/>
      </w:pPr>
      <w:r>
        <w:rPr>
          <w:rFonts w:hint="eastAsia"/>
          <w:sz w:val="24"/>
        </w:rPr>
        <w:t>高纯锗行业近年来持续保持稳定的增长态势。这一趋势得益于诸多因素的推动，包括半导体行业对高性能材料的需求增加、光纤通信技术的快速发展以及新能源产业的兴起等。然而，随着市场逐渐趋于饱和，增长速度已出现放缓。这主要是由于市场需求增长放缓，以及行业竞争加剧导致的价格战等因素共同作用。为了保持市场份额，企业需积极拓展新的应用领域，并加大技术研发投入，以满足不断升级的市场需求。</w:t>
      </w:r>
    </w:p>
    <w:p w14:paraId="0DDE6362">
      <w:pPr>
        <w:spacing w:line="360" w:lineRule="auto"/>
        <w:ind w:firstLine="480" w:firstLineChars="200"/>
      </w:pPr>
      <w:r>
        <w:rPr>
          <w:rFonts w:hint="eastAsia"/>
          <w:sz w:val="24"/>
        </w:rPr>
        <w:t>高纯锗行业的技术进步是推动其发展的关键因素。随着科学技术的不断突破，高纯锗的制备工艺和性能得到了显著提升。新技术的应用使得高纯锗在半导体、光纤通信、核能等领域的应用更加广泛。然而，技术更新换代也带来了一定的挑战和风险。企业需要不断投入研发资金，保持技术领先地位，以应对激烈的市场竞争。</w:t>
      </w:r>
    </w:p>
    <w:p w14:paraId="38DC302E">
      <w:pPr>
        <w:spacing w:line="360" w:lineRule="auto"/>
        <w:ind w:firstLine="480" w:firstLineChars="200"/>
      </w:pPr>
      <w:r>
        <w:rPr>
          <w:rFonts w:hint="eastAsia"/>
          <w:sz w:val="24"/>
        </w:rPr>
        <w:t>高纯锗行业的竞争格局日益激烈。随着技术门槛的降低和市场需求的增加，越来越多的企业开始进入这个领域。为了在竞争中脱颖而出，企业需要具备强大的技术实力、优质的产品和服务以及高效的运营管理能力。企业还需要加强与国际知名企业的合作，共同推动行业的发展和进步。</w:t>
      </w:r>
      <w:r>
        <w:br w:type="page"/>
      </w:r>
    </w:p>
    <w:p w14:paraId="696D988C">
      <w:pPr>
        <w:pStyle w:val="2"/>
        <w:spacing w:before="0" w:line="288" w:lineRule="auto"/>
      </w:pPr>
      <w:bookmarkStart w:id="18" w:name="_Toc46680719"/>
      <w:r>
        <w:rPr>
          <w:rFonts w:hint="eastAsia"/>
          <w:color w:val="F85025"/>
          <w:sz w:val="42"/>
        </w:rPr>
        <w:t>第五章 高纯锗行业技术应用与创新</w:t>
      </w:r>
      <w:bookmarkEnd w:id="18"/>
    </w:p>
    <w:p w14:paraId="68656BE8">
      <w:pPr>
        <w:pStyle w:val="3"/>
        <w:spacing w:line="288" w:lineRule="auto"/>
      </w:pPr>
      <w:bookmarkStart w:id="19" w:name="_Toc46680720"/>
      <w:r>
        <w:rPr>
          <w:rFonts w:hint="eastAsia"/>
          <w:sz w:val="39"/>
        </w:rPr>
        <w:t>一、 主要技术及应用领域</w:t>
      </w:r>
      <w:bookmarkEnd w:id="19"/>
    </w:p>
    <w:p w14:paraId="55E7FC9E">
      <w:pPr>
        <w:spacing w:line="360" w:lineRule="auto"/>
        <w:ind w:firstLine="480" w:firstLineChars="200"/>
      </w:pPr>
      <w:r>
        <w:rPr>
          <w:rFonts w:hint="eastAsia"/>
          <w:sz w:val="24"/>
        </w:rPr>
        <w:t>在高纯锗行业的技术应用与创新领域，关键技术的发展深刻影响着行业的进步与革新。主要涵盖了半导体技术、红外技术以及辐射探测技术三大方面，这些技术的应用不仅拓宽了高纯锗的市场应用范围，也显著提升了相关产品的性能与品质。</w:t>
      </w:r>
    </w:p>
    <w:p w14:paraId="4DA5B444">
      <w:pPr>
        <w:spacing w:line="360" w:lineRule="auto"/>
        <w:ind w:firstLine="480" w:firstLineChars="200"/>
      </w:pPr>
      <w:r>
        <w:rPr>
          <w:rFonts w:hint="eastAsia"/>
          <w:sz w:val="24"/>
        </w:rPr>
        <w:t>半导体技术方面，高纯锗作为重要的半导体材料，其在集成电路与功率器件中的应用日益广泛。随着电子产品向高性能、低功耗、高集成度方向发展，高纯锗的半导体技术成为关键支撑。企业通过不断优化材料提纯工艺与器件设计，成功提升了集成电路的运算速度与能效比，降低了功率损耗，为智能手机、数据中心等高能耗领域的电子设备提供了强大的性能保障。同时，高纯锗在功率器件中的应用也推动了新能源汽车、智能电网等新兴产业的快速发展。</w:t>
      </w:r>
    </w:p>
    <w:p w14:paraId="53B9E078">
      <w:pPr>
        <w:spacing w:line="360" w:lineRule="auto"/>
        <w:ind w:firstLine="480" w:firstLineChars="200"/>
      </w:pPr>
      <w:r>
        <w:rPr>
          <w:rFonts w:hint="eastAsia"/>
          <w:sz w:val="24"/>
        </w:rPr>
        <w:t>红外技术则是高纯锗应用的另一大亮点。在红外探测器与红外成像设备的制造中，高纯锗凭借其优异的红外透过性与光电转换效率，成为不可或缺的核心材料。这些设备在军事侦察、夜间导航、安防监控以及医疗诊断等领域发挥着重要作用。企业通过持续的技术创新，不断提升红外探测器的灵敏度与分辨率，增强了设备的成像效果与环境适应性，满足了不同应用场景下的高精度红外探测需求。</w:t>
      </w:r>
    </w:p>
    <w:p w14:paraId="6DFAA6A3">
      <w:pPr>
        <w:spacing w:line="360" w:lineRule="auto"/>
        <w:ind w:firstLine="480" w:firstLineChars="200"/>
      </w:pPr>
      <w:r>
        <w:rPr>
          <w:rFonts w:hint="eastAsia"/>
          <w:sz w:val="24"/>
        </w:rPr>
        <w:t>辐射探测技术则是高纯锗在特殊领域应用的重要体现。在核医学、放射性同位素分析等高精尖领域，高纯锗因其高纯度和高灵敏度特性，成为辐射探测设备的理想选择。企业聚焦于提升探测设备的测量精度与稳定性，通过优化探测器结构与信号处理技术，实现了对微弱辐射信号的精确捕捉与分析，为科学研究与医疗诊断提供了可靠的数据支持。同时，企业还注重与科研机构及医疗机构的深度合作，共同推动辐射探测技术的创新与发展。</w:t>
      </w:r>
    </w:p>
    <w:p w14:paraId="708BAFCE">
      <w:pPr>
        <w:spacing w:line="360" w:lineRule="auto"/>
        <w:jc w:val="center"/>
      </w:pPr>
      <w:r>
        <w:rPr>
          <w:rFonts w:hint="eastAsia"/>
          <w:b/>
        </w:rPr>
        <w:t>表3 高纯锗行业主要技术及应用领域案例</w:t>
      </w:r>
    </w:p>
    <w:tbl>
      <w:tblPr>
        <w:tblStyle w:val="21"/>
        <w:tblW w:w="5000" w:type="pct"/>
        <w:jc w:val="center"/>
        <w:tblLayout w:type="autofit"/>
        <w:tblCellMar>
          <w:top w:w="0" w:type="dxa"/>
          <w:left w:w="108" w:type="dxa"/>
          <w:bottom w:w="0" w:type="dxa"/>
          <w:right w:w="108" w:type="dxa"/>
        </w:tblCellMar>
      </w:tblPr>
      <w:tblGrid>
        <w:gridCol w:w="2808"/>
        <w:gridCol w:w="2808"/>
        <w:gridCol w:w="2895"/>
      </w:tblGrid>
      <w:tr w14:paraId="6E60051F">
        <w:tblPrEx>
          <w:tblCellMar>
            <w:top w:w="0" w:type="dxa"/>
            <w:left w:w="108" w:type="dxa"/>
            <w:bottom w:w="0" w:type="dxa"/>
            <w:right w:w="108" w:type="dxa"/>
          </w:tblCellMar>
        </w:tblPrEx>
        <w:trPr>
          <w:tblHeader/>
          <w:jc w:val="center"/>
        </w:trPr>
        <w:tc>
          <w:tcPr>
            <w:tcW w:w="3450" w:type="dxa"/>
            <w:tcBorders>
              <w:top w:val="single" w:color="222222" w:sz="6" w:space="0"/>
              <w:left w:val="single" w:color="222222" w:sz="6" w:space="0"/>
              <w:bottom w:val="single" w:color="222222" w:sz="6" w:space="0"/>
              <w:right w:val="single" w:color="222222" w:sz="6" w:space="0"/>
            </w:tcBorders>
          </w:tcPr>
          <w:p w14:paraId="714F872B">
            <w:pPr>
              <w:spacing w:line="360" w:lineRule="auto"/>
              <w:ind w:firstLine="480" w:firstLineChars="200"/>
            </w:pPr>
            <w:r>
              <w:rPr>
                <w:rFonts w:hint="eastAsia"/>
                <w:sz w:val="24"/>
              </w:rPr>
              <w:t>技术/产品</w:t>
            </w:r>
          </w:p>
        </w:tc>
        <w:tc>
          <w:tcPr>
            <w:tcW w:w="3450" w:type="dxa"/>
            <w:tcBorders>
              <w:top w:val="single" w:color="222222" w:sz="6" w:space="0"/>
              <w:left w:val="single" w:color="222222" w:sz="6" w:space="0"/>
              <w:bottom w:val="single" w:color="222222" w:sz="6" w:space="0"/>
              <w:right w:val="single" w:color="222222" w:sz="6" w:space="0"/>
            </w:tcBorders>
          </w:tcPr>
          <w:p w14:paraId="7D1BF29B">
            <w:pPr>
              <w:spacing w:line="360" w:lineRule="auto"/>
              <w:ind w:firstLine="480" w:firstLineChars="200"/>
            </w:pPr>
            <w:r>
              <w:rPr>
                <w:rFonts w:hint="eastAsia"/>
                <w:sz w:val="24"/>
              </w:rPr>
              <w:t>应用领域</w:t>
            </w:r>
          </w:p>
        </w:tc>
        <w:tc>
          <w:tcPr>
            <w:tcW w:w="3450" w:type="dxa"/>
            <w:tcBorders>
              <w:top w:val="single" w:color="222222" w:sz="6" w:space="0"/>
              <w:left w:val="single" w:color="222222" w:sz="6" w:space="0"/>
              <w:bottom w:val="single" w:color="222222" w:sz="6" w:space="0"/>
              <w:right w:val="single" w:color="222222" w:sz="6" w:space="0"/>
            </w:tcBorders>
          </w:tcPr>
          <w:p w14:paraId="7E44D2A5">
            <w:pPr>
              <w:spacing w:line="360" w:lineRule="auto"/>
              <w:ind w:firstLine="480" w:firstLineChars="200"/>
            </w:pPr>
            <w:r>
              <w:rPr>
                <w:rFonts w:hint="eastAsia"/>
                <w:sz w:val="24"/>
              </w:rPr>
              <w:t>具体应用或效果</w:t>
            </w:r>
          </w:p>
        </w:tc>
      </w:tr>
      <w:tr w14:paraId="346DB605">
        <w:tblPrEx>
          <w:tblCellMar>
            <w:top w:w="0" w:type="dxa"/>
            <w:left w:w="108" w:type="dxa"/>
            <w:bottom w:w="0" w:type="dxa"/>
            <w:right w:w="108" w:type="dxa"/>
          </w:tblCellMar>
        </w:tblPrEx>
        <w:trPr>
          <w:jc w:val="center"/>
        </w:trPr>
        <w:tc>
          <w:tcPr>
            <w:tcW w:w="3450" w:type="dxa"/>
            <w:tcBorders>
              <w:top w:val="single" w:color="222222" w:sz="6" w:space="0"/>
              <w:left w:val="single" w:color="222222" w:sz="6" w:space="0"/>
              <w:bottom w:val="single" w:color="222222" w:sz="6" w:space="0"/>
              <w:right w:val="single" w:color="222222" w:sz="6" w:space="0"/>
            </w:tcBorders>
          </w:tcPr>
          <w:p w14:paraId="1551F274">
            <w:pPr>
              <w:spacing w:line="360" w:lineRule="auto"/>
              <w:ind w:firstLine="480" w:firstLineChars="200"/>
            </w:pPr>
            <w:r>
              <w:rPr>
                <w:rFonts w:hint="eastAsia"/>
                <w:sz w:val="24"/>
              </w:rPr>
              <w:t>高纯锗探测器</w:t>
            </w:r>
          </w:p>
        </w:tc>
        <w:tc>
          <w:tcPr>
            <w:tcW w:w="3450" w:type="dxa"/>
            <w:tcBorders>
              <w:top w:val="single" w:color="222222" w:sz="6" w:space="0"/>
              <w:left w:val="single" w:color="222222" w:sz="6" w:space="0"/>
              <w:bottom w:val="single" w:color="222222" w:sz="6" w:space="0"/>
              <w:right w:val="single" w:color="222222" w:sz="6" w:space="0"/>
            </w:tcBorders>
          </w:tcPr>
          <w:p w14:paraId="7BED29CF">
            <w:pPr>
              <w:spacing w:line="360" w:lineRule="auto"/>
              <w:ind w:firstLine="480" w:firstLineChars="200"/>
            </w:pPr>
            <w:r>
              <w:rPr>
                <w:rFonts w:hint="eastAsia"/>
                <w:sz w:val="24"/>
              </w:rPr>
              <w:t>重大基础科研</w:t>
            </w:r>
          </w:p>
        </w:tc>
        <w:tc>
          <w:tcPr>
            <w:tcW w:w="3450" w:type="dxa"/>
            <w:tcBorders>
              <w:top w:val="single" w:color="222222" w:sz="6" w:space="0"/>
              <w:left w:val="single" w:color="222222" w:sz="6" w:space="0"/>
              <w:bottom w:val="single" w:color="222222" w:sz="6" w:space="0"/>
              <w:right w:val="single" w:color="222222" w:sz="6" w:space="0"/>
            </w:tcBorders>
          </w:tcPr>
          <w:p w14:paraId="2B517181">
            <w:pPr>
              <w:spacing w:line="360" w:lineRule="auto"/>
              <w:ind w:firstLine="480" w:firstLineChars="200"/>
            </w:pPr>
            <w:r>
              <w:rPr>
                <w:rFonts w:hint="eastAsia"/>
                <w:sz w:val="24"/>
              </w:rPr>
              <w:t>中国锦屏地下实验室开展暗物质直接探测，锗-76同位素无中微子双贝塔衰变实验研究</w:t>
            </w:r>
          </w:p>
        </w:tc>
      </w:tr>
      <w:tr w14:paraId="6284ACF1">
        <w:tblPrEx>
          <w:tblCellMar>
            <w:top w:w="0" w:type="dxa"/>
            <w:left w:w="108" w:type="dxa"/>
            <w:bottom w:w="0" w:type="dxa"/>
            <w:right w:w="108" w:type="dxa"/>
          </w:tblCellMar>
        </w:tblPrEx>
        <w:trPr>
          <w:jc w:val="center"/>
        </w:trPr>
        <w:tc>
          <w:tcPr>
            <w:tcW w:w="3450" w:type="dxa"/>
            <w:tcBorders>
              <w:top w:val="single" w:color="222222" w:sz="6" w:space="0"/>
              <w:left w:val="single" w:color="222222" w:sz="6" w:space="0"/>
              <w:bottom w:val="single" w:color="222222" w:sz="6" w:space="0"/>
              <w:right w:val="single" w:color="222222" w:sz="6" w:space="0"/>
            </w:tcBorders>
          </w:tcPr>
          <w:p w14:paraId="0E90BC00">
            <w:pPr>
              <w:spacing w:line="360" w:lineRule="auto"/>
              <w:ind w:firstLine="480" w:firstLineChars="200"/>
            </w:pPr>
            <w:r>
              <w:rPr>
                <w:rFonts w:hint="eastAsia"/>
                <w:sz w:val="24"/>
              </w:rPr>
              <w:t>硼-11和锗-72</w:t>
            </w:r>
          </w:p>
        </w:tc>
        <w:tc>
          <w:tcPr>
            <w:tcW w:w="3450" w:type="dxa"/>
            <w:tcBorders>
              <w:top w:val="single" w:color="222222" w:sz="6" w:space="0"/>
              <w:left w:val="single" w:color="222222" w:sz="6" w:space="0"/>
              <w:bottom w:val="single" w:color="222222" w:sz="6" w:space="0"/>
              <w:right w:val="single" w:color="222222" w:sz="6" w:space="0"/>
            </w:tcBorders>
          </w:tcPr>
          <w:p w14:paraId="2E7382A9">
            <w:pPr>
              <w:spacing w:line="360" w:lineRule="auto"/>
              <w:ind w:firstLine="480" w:firstLineChars="200"/>
            </w:pPr>
            <w:r>
              <w:rPr>
                <w:rFonts w:hint="eastAsia"/>
                <w:sz w:val="24"/>
              </w:rPr>
              <w:t>半导体产业</w:t>
            </w:r>
          </w:p>
        </w:tc>
        <w:tc>
          <w:tcPr>
            <w:tcW w:w="3450" w:type="dxa"/>
            <w:tcBorders>
              <w:top w:val="single" w:color="222222" w:sz="6" w:space="0"/>
              <w:left w:val="single" w:color="222222" w:sz="6" w:space="0"/>
              <w:bottom w:val="single" w:color="222222" w:sz="6" w:space="0"/>
              <w:right w:val="single" w:color="222222" w:sz="6" w:space="0"/>
            </w:tcBorders>
          </w:tcPr>
          <w:p w14:paraId="14F340CD">
            <w:pPr>
              <w:spacing w:line="360" w:lineRule="auto"/>
              <w:ind w:firstLine="480" w:firstLineChars="200"/>
            </w:pPr>
            <w:r>
              <w:rPr>
                <w:rFonts w:hint="eastAsia"/>
                <w:sz w:val="24"/>
              </w:rPr>
              <w:t>14nm及更先进制程工艺中大规模使用，提高芯片生产效率或稳定性</w:t>
            </w:r>
          </w:p>
        </w:tc>
      </w:tr>
      <w:tr w14:paraId="46ECB51E">
        <w:tblPrEx>
          <w:tblCellMar>
            <w:top w:w="0" w:type="dxa"/>
            <w:left w:w="108" w:type="dxa"/>
            <w:bottom w:w="0" w:type="dxa"/>
            <w:right w:w="108" w:type="dxa"/>
          </w:tblCellMar>
        </w:tblPrEx>
        <w:trPr>
          <w:jc w:val="center"/>
        </w:trPr>
        <w:tc>
          <w:tcPr>
            <w:tcW w:w="3450" w:type="dxa"/>
            <w:tcBorders>
              <w:top w:val="single" w:color="222222" w:sz="6" w:space="0"/>
              <w:left w:val="single" w:color="222222" w:sz="6" w:space="0"/>
              <w:bottom w:val="single" w:color="222222" w:sz="6" w:space="0"/>
              <w:right w:val="single" w:color="222222" w:sz="6" w:space="0"/>
            </w:tcBorders>
          </w:tcPr>
          <w:p w14:paraId="68B27EDF">
            <w:pPr>
              <w:spacing w:line="360" w:lineRule="auto"/>
              <w:ind w:firstLine="480" w:firstLineChars="200"/>
            </w:pPr>
            <w:r>
              <w:rPr>
                <w:rFonts w:hint="eastAsia"/>
                <w:sz w:val="24"/>
              </w:rPr>
              <w:t>硅-28同位素</w:t>
            </w:r>
          </w:p>
        </w:tc>
        <w:tc>
          <w:tcPr>
            <w:tcW w:w="3450" w:type="dxa"/>
            <w:tcBorders>
              <w:top w:val="single" w:color="222222" w:sz="6" w:space="0"/>
              <w:left w:val="single" w:color="222222" w:sz="6" w:space="0"/>
              <w:bottom w:val="single" w:color="222222" w:sz="6" w:space="0"/>
              <w:right w:val="single" w:color="222222" w:sz="6" w:space="0"/>
            </w:tcBorders>
          </w:tcPr>
          <w:p w14:paraId="2956FE8E">
            <w:pPr>
              <w:spacing w:line="360" w:lineRule="auto"/>
              <w:ind w:firstLine="480" w:firstLineChars="200"/>
            </w:pPr>
            <w:r>
              <w:rPr>
                <w:rFonts w:hint="eastAsia"/>
                <w:sz w:val="24"/>
              </w:rPr>
              <w:t>量子计算</w:t>
            </w:r>
          </w:p>
        </w:tc>
        <w:tc>
          <w:tcPr>
            <w:tcW w:w="3450" w:type="dxa"/>
            <w:tcBorders>
              <w:top w:val="single" w:color="222222" w:sz="6" w:space="0"/>
              <w:left w:val="single" w:color="222222" w:sz="6" w:space="0"/>
              <w:bottom w:val="single" w:color="222222" w:sz="6" w:space="0"/>
              <w:right w:val="single" w:color="222222" w:sz="6" w:space="0"/>
            </w:tcBorders>
          </w:tcPr>
          <w:p w14:paraId="7CE6EBCA">
            <w:pPr>
              <w:spacing w:line="360" w:lineRule="auto"/>
              <w:ind w:firstLine="480" w:firstLineChars="200"/>
            </w:pPr>
            <w:r>
              <w:rPr>
                <w:rFonts w:hint="eastAsia"/>
                <w:sz w:val="24"/>
              </w:rPr>
              <w:t>获得相对时间更长的退相干时间，对半导体量子芯片存储和计算有根本性影响</w:t>
            </w:r>
          </w:p>
        </w:tc>
      </w:tr>
      <w:tr w14:paraId="4ADB23FE">
        <w:tblPrEx>
          <w:tblCellMar>
            <w:top w:w="0" w:type="dxa"/>
            <w:left w:w="108" w:type="dxa"/>
            <w:bottom w:w="0" w:type="dxa"/>
            <w:right w:w="108" w:type="dxa"/>
          </w:tblCellMar>
        </w:tblPrEx>
        <w:trPr>
          <w:jc w:val="center"/>
        </w:trPr>
        <w:tc>
          <w:tcPr>
            <w:tcW w:w="3450" w:type="dxa"/>
            <w:tcBorders>
              <w:top w:val="single" w:color="222222" w:sz="6" w:space="0"/>
              <w:left w:val="single" w:color="222222" w:sz="6" w:space="0"/>
              <w:bottom w:val="single" w:color="222222" w:sz="6" w:space="0"/>
              <w:right w:val="single" w:color="222222" w:sz="6" w:space="0"/>
            </w:tcBorders>
          </w:tcPr>
          <w:p w14:paraId="3216A4DC">
            <w:pPr>
              <w:spacing w:line="360" w:lineRule="auto"/>
              <w:ind w:firstLine="480" w:firstLineChars="200"/>
            </w:pPr>
            <w:r>
              <w:rPr>
                <w:rFonts w:hint="eastAsia"/>
                <w:sz w:val="24"/>
              </w:rPr>
              <w:t>氙-129</w:t>
            </w:r>
          </w:p>
        </w:tc>
        <w:tc>
          <w:tcPr>
            <w:tcW w:w="3450" w:type="dxa"/>
            <w:tcBorders>
              <w:top w:val="single" w:color="222222" w:sz="6" w:space="0"/>
              <w:left w:val="single" w:color="222222" w:sz="6" w:space="0"/>
              <w:bottom w:val="single" w:color="222222" w:sz="6" w:space="0"/>
              <w:right w:val="single" w:color="222222" w:sz="6" w:space="0"/>
            </w:tcBorders>
          </w:tcPr>
          <w:p w14:paraId="31EAA150">
            <w:pPr>
              <w:spacing w:line="360" w:lineRule="auto"/>
              <w:ind w:firstLine="480" w:firstLineChars="200"/>
            </w:pPr>
            <w:r>
              <w:rPr>
                <w:rFonts w:hint="eastAsia"/>
                <w:sz w:val="24"/>
              </w:rPr>
              <w:t>医用领域</w:t>
            </w:r>
          </w:p>
        </w:tc>
        <w:tc>
          <w:tcPr>
            <w:tcW w:w="3450" w:type="dxa"/>
            <w:tcBorders>
              <w:top w:val="single" w:color="222222" w:sz="6" w:space="0"/>
              <w:left w:val="single" w:color="222222" w:sz="6" w:space="0"/>
              <w:bottom w:val="single" w:color="222222" w:sz="6" w:space="0"/>
              <w:right w:val="single" w:color="222222" w:sz="6" w:space="0"/>
            </w:tcBorders>
          </w:tcPr>
          <w:p w14:paraId="6145D9D3">
            <w:pPr>
              <w:spacing w:line="360" w:lineRule="auto"/>
              <w:ind w:firstLine="480" w:firstLineChars="200"/>
            </w:pPr>
            <w:r>
              <w:rPr>
                <w:rFonts w:hint="eastAsia"/>
                <w:sz w:val="24"/>
              </w:rPr>
              <w:t>用于肺部超极化检测，大幅提高肺部成像分辨率</w:t>
            </w:r>
          </w:p>
        </w:tc>
      </w:tr>
    </w:tbl>
    <w:p w14:paraId="5FCFF2FD">
      <w:pPr>
        <w:spacing w:before="120" w:beforeLines="50" w:line="360" w:lineRule="auto"/>
        <w:jc w:val="left"/>
      </w:pPr>
      <w:r>
        <w:rPr>
          <w:rFonts w:hint="eastAsia"/>
          <w:b/>
        </w:rPr>
        <w:t>数据来源:</w:t>
      </w:r>
      <w:r>
        <w:rPr>
          <w:rFonts w:hint="eastAsia"/>
          <w:b/>
          <w:lang w:eastAsia="zh-CN"/>
        </w:rPr>
        <w:t>网络</w:t>
      </w:r>
      <w:r>
        <w:rPr>
          <w:rFonts w:hint="eastAsia"/>
          <w:b/>
        </w:rPr>
        <w:t>搜索</w:t>
      </w:r>
    </w:p>
    <w:p w14:paraId="698B075C">
      <w:pPr>
        <w:pStyle w:val="3"/>
        <w:spacing w:line="288" w:lineRule="auto"/>
      </w:pPr>
      <w:bookmarkStart w:id="20" w:name="_Toc46680721"/>
      <w:r>
        <w:rPr>
          <w:rFonts w:hint="eastAsia"/>
          <w:sz w:val="39"/>
        </w:rPr>
        <w:t>二、 技术研发动态及趋势</w:t>
      </w:r>
      <w:bookmarkEnd w:id="20"/>
    </w:p>
    <w:p w14:paraId="7E60A3A1">
      <w:pPr>
        <w:spacing w:line="360" w:lineRule="auto"/>
        <w:ind w:firstLine="480" w:firstLineChars="200"/>
      </w:pPr>
      <w:r>
        <w:rPr>
          <w:rFonts w:hint="eastAsia"/>
          <w:sz w:val="24"/>
        </w:rPr>
        <w:t>在信息安全行业，技术研发的动态与趋势正日益显现其重要性和影响力。近年来，该行业在研发方面的投入持续增长，从2020年的1750430万元增长至2022年的2260730万元，凸显了行业对技术创新的高度重视。</w:t>
      </w:r>
    </w:p>
    <w:p w14:paraId="03B4E67D">
      <w:pPr>
        <w:spacing w:line="360" w:lineRule="auto"/>
        <w:ind w:firstLine="480" w:firstLineChars="200"/>
      </w:pPr>
      <w:r>
        <w:rPr>
          <w:rFonts w:hint="eastAsia"/>
          <w:sz w:val="24"/>
        </w:rPr>
        <w:t>精细化控制技术的运用在信息安全领域正变得愈发关键。随着半导体工艺的演进，对高纯材料的纯度与均匀性要求愈发严苛。在这一背景下，精细化控制技术不仅提高了材料的性能，更为信息安全行业的进一步发展奠定了坚实基础。</w:t>
      </w:r>
    </w:p>
    <w:p w14:paraId="48DEBF3E">
      <w:pPr>
        <w:spacing w:line="360" w:lineRule="auto"/>
        <w:ind w:firstLine="480" w:firstLineChars="200"/>
      </w:pPr>
      <w:r>
        <w:rPr>
          <w:rFonts w:hint="eastAsia"/>
          <w:sz w:val="24"/>
        </w:rPr>
        <w:t>与此同时，智能化生产技术的广泛应用正为信息安全行业带来新的变革。通过引入机器人与自动化设备，生产流程得到优化，生产效率和产品质量得到显著提升。这种智能化的生产方式不仅降低了人力成本，还提高了生产过程的可控性和一致性。</w:t>
      </w:r>
    </w:p>
    <w:p w14:paraId="76AAEFDA">
      <w:pPr>
        <w:spacing w:line="360" w:lineRule="auto"/>
        <w:ind w:firstLine="480" w:firstLineChars="200"/>
      </w:pPr>
      <w:r>
        <w:rPr>
          <w:rFonts w:hint="eastAsia"/>
          <w:sz w:val="24"/>
        </w:rPr>
        <w:t>在技术创新方面，信息安全行业同样展现出活跃的态势。新的提纯方法、新的应用领域等不断涌现，为行业注入了新的活力。这些技术创新不仅拓展了信息安全行业的应用范围，还为行业的持续增长提供了有力支撑。</w:t>
      </w:r>
    </w:p>
    <w:p w14:paraId="503376D9">
      <w:pPr>
        <w:spacing w:line="360" w:lineRule="auto"/>
        <w:ind w:firstLine="480" w:firstLineChars="200"/>
      </w:pPr>
      <w:r>
        <w:rPr>
          <w:rFonts w:hint="eastAsia"/>
          <w:sz w:val="24"/>
        </w:rPr>
        <w:t>信息安全行业在技术研发方面正呈现出精细化控制、智能化生产和技术创新三大趋势。这些趋势不仅将推动行业的持续发展，还将为整个社会的信息安全保障提供更加坚实的基础。</w:t>
      </w:r>
    </w:p>
    <w:p w14:paraId="7E60AA13">
      <w:pPr>
        <w:spacing w:line="360" w:lineRule="auto"/>
        <w:jc w:val="center"/>
      </w:pPr>
      <w:r>
        <w:rPr>
          <w:rFonts w:hint="eastAsia"/>
          <w:b/>
        </w:rPr>
        <w:t>表4 全国研发费用_信息安全行业</w:t>
      </w:r>
    </w:p>
    <w:tbl>
      <w:tblPr>
        <w:tblStyle w:val="21"/>
        <w:tblW w:w="5000" w:type="pct"/>
        <w:jc w:val="center"/>
        <w:tblLayout w:type="autofit"/>
        <w:tblCellMar>
          <w:top w:w="0" w:type="dxa"/>
          <w:left w:w="108" w:type="dxa"/>
          <w:bottom w:w="0" w:type="dxa"/>
          <w:right w:w="108" w:type="dxa"/>
        </w:tblCellMar>
      </w:tblPr>
      <w:tblGrid>
        <w:gridCol w:w="4210"/>
        <w:gridCol w:w="4301"/>
      </w:tblGrid>
      <w:tr w14:paraId="79EBA21D">
        <w:trPr>
          <w:tblHeader/>
          <w:jc w:val="center"/>
        </w:trPr>
        <w:tc>
          <w:tcPr>
            <w:tcW w:w="5175" w:type="dxa"/>
            <w:tcBorders>
              <w:top w:val="single" w:color="222222" w:sz="6" w:space="0"/>
              <w:left w:val="single" w:color="222222" w:sz="6" w:space="0"/>
              <w:bottom w:val="single" w:color="222222" w:sz="6" w:space="0"/>
              <w:right w:val="single" w:color="222222" w:sz="6" w:space="0"/>
            </w:tcBorders>
          </w:tcPr>
          <w:p w14:paraId="46D1A9D2">
            <w:pPr>
              <w:spacing w:line="360" w:lineRule="auto"/>
              <w:ind w:firstLine="480" w:firstLineChars="200"/>
            </w:pPr>
            <w:r>
              <w:rPr>
                <w:rFonts w:hint="eastAsia"/>
                <w:sz w:val="24"/>
              </w:rPr>
              <w:t>年</w:t>
            </w:r>
          </w:p>
        </w:tc>
        <w:tc>
          <w:tcPr>
            <w:tcW w:w="5175" w:type="dxa"/>
            <w:tcBorders>
              <w:top w:val="single" w:color="222222" w:sz="6" w:space="0"/>
              <w:left w:val="single" w:color="222222" w:sz="6" w:space="0"/>
              <w:bottom w:val="single" w:color="222222" w:sz="6" w:space="0"/>
              <w:right w:val="single" w:color="222222" w:sz="6" w:space="0"/>
            </w:tcBorders>
          </w:tcPr>
          <w:p w14:paraId="2B93B567">
            <w:pPr>
              <w:spacing w:line="360" w:lineRule="auto"/>
              <w:ind w:firstLine="480" w:firstLineChars="200"/>
            </w:pPr>
            <w:r>
              <w:rPr>
                <w:rFonts w:hint="eastAsia"/>
                <w:sz w:val="24"/>
              </w:rPr>
              <w:t>研发费用_信息安全行业 (万元)</w:t>
            </w:r>
          </w:p>
        </w:tc>
      </w:tr>
      <w:tr w14:paraId="74ACE3D2">
        <w:tblPrEx>
          <w:tblCellMar>
            <w:top w:w="0" w:type="dxa"/>
            <w:left w:w="108" w:type="dxa"/>
            <w:bottom w:w="0" w:type="dxa"/>
            <w:right w:w="108" w:type="dxa"/>
          </w:tblCellMar>
        </w:tblPrEx>
        <w:trPr>
          <w:jc w:val="center"/>
        </w:trPr>
        <w:tc>
          <w:tcPr>
            <w:tcW w:w="5175" w:type="dxa"/>
            <w:tcBorders>
              <w:top w:val="single" w:color="222222" w:sz="6" w:space="0"/>
              <w:left w:val="single" w:color="222222" w:sz="6" w:space="0"/>
              <w:bottom w:val="single" w:color="222222" w:sz="6" w:space="0"/>
              <w:right w:val="single" w:color="222222" w:sz="6" w:space="0"/>
            </w:tcBorders>
          </w:tcPr>
          <w:p w14:paraId="7D115DE3">
            <w:pPr>
              <w:spacing w:line="360" w:lineRule="auto"/>
              <w:ind w:firstLine="480" w:firstLineChars="200"/>
            </w:pPr>
            <w:r>
              <w:rPr>
                <w:rFonts w:hint="eastAsia"/>
                <w:sz w:val="24"/>
              </w:rPr>
              <w:t>2020</w:t>
            </w:r>
          </w:p>
        </w:tc>
        <w:tc>
          <w:tcPr>
            <w:tcW w:w="5175" w:type="dxa"/>
            <w:tcBorders>
              <w:top w:val="single" w:color="222222" w:sz="6" w:space="0"/>
              <w:left w:val="single" w:color="222222" w:sz="6" w:space="0"/>
              <w:bottom w:val="single" w:color="222222" w:sz="6" w:space="0"/>
              <w:right w:val="single" w:color="222222" w:sz="6" w:space="0"/>
            </w:tcBorders>
          </w:tcPr>
          <w:p w14:paraId="44A67124">
            <w:pPr>
              <w:spacing w:line="360" w:lineRule="auto"/>
              <w:ind w:firstLine="480" w:firstLineChars="200"/>
            </w:pPr>
            <w:r>
              <w:rPr>
                <w:rFonts w:hint="eastAsia"/>
                <w:sz w:val="24"/>
              </w:rPr>
              <w:t>1750430</w:t>
            </w:r>
          </w:p>
        </w:tc>
      </w:tr>
      <w:tr w14:paraId="43F0D68E">
        <w:tblPrEx>
          <w:tblCellMar>
            <w:top w:w="0" w:type="dxa"/>
            <w:left w:w="108" w:type="dxa"/>
            <w:bottom w:w="0" w:type="dxa"/>
            <w:right w:w="108" w:type="dxa"/>
          </w:tblCellMar>
        </w:tblPrEx>
        <w:trPr>
          <w:jc w:val="center"/>
        </w:trPr>
        <w:tc>
          <w:tcPr>
            <w:tcW w:w="5175" w:type="dxa"/>
            <w:tcBorders>
              <w:top w:val="single" w:color="222222" w:sz="6" w:space="0"/>
              <w:left w:val="single" w:color="222222" w:sz="6" w:space="0"/>
              <w:bottom w:val="single" w:color="222222" w:sz="6" w:space="0"/>
              <w:right w:val="single" w:color="222222" w:sz="6" w:space="0"/>
            </w:tcBorders>
          </w:tcPr>
          <w:p w14:paraId="118A282D">
            <w:pPr>
              <w:spacing w:line="360" w:lineRule="auto"/>
              <w:ind w:firstLine="480" w:firstLineChars="200"/>
            </w:pPr>
            <w:r>
              <w:rPr>
                <w:rFonts w:hint="eastAsia"/>
                <w:sz w:val="24"/>
              </w:rPr>
              <w:t>2021</w:t>
            </w:r>
          </w:p>
        </w:tc>
        <w:tc>
          <w:tcPr>
            <w:tcW w:w="5175" w:type="dxa"/>
            <w:tcBorders>
              <w:top w:val="single" w:color="222222" w:sz="6" w:space="0"/>
              <w:left w:val="single" w:color="222222" w:sz="6" w:space="0"/>
              <w:bottom w:val="single" w:color="222222" w:sz="6" w:space="0"/>
              <w:right w:val="single" w:color="222222" w:sz="6" w:space="0"/>
            </w:tcBorders>
          </w:tcPr>
          <w:p w14:paraId="489AA2A7">
            <w:pPr>
              <w:spacing w:line="360" w:lineRule="auto"/>
              <w:ind w:firstLine="480" w:firstLineChars="200"/>
            </w:pPr>
            <w:r>
              <w:rPr>
                <w:rFonts w:hint="eastAsia"/>
                <w:sz w:val="24"/>
              </w:rPr>
              <w:t>2104130</w:t>
            </w:r>
          </w:p>
        </w:tc>
      </w:tr>
      <w:tr w14:paraId="13DFC04B">
        <w:tblPrEx>
          <w:tblCellMar>
            <w:top w:w="0" w:type="dxa"/>
            <w:left w:w="108" w:type="dxa"/>
            <w:bottom w:w="0" w:type="dxa"/>
            <w:right w:w="108" w:type="dxa"/>
          </w:tblCellMar>
        </w:tblPrEx>
        <w:trPr>
          <w:jc w:val="center"/>
        </w:trPr>
        <w:tc>
          <w:tcPr>
            <w:tcW w:w="5175" w:type="dxa"/>
            <w:tcBorders>
              <w:top w:val="single" w:color="222222" w:sz="6" w:space="0"/>
              <w:left w:val="single" w:color="222222" w:sz="6" w:space="0"/>
              <w:bottom w:val="single" w:color="222222" w:sz="6" w:space="0"/>
              <w:right w:val="single" w:color="222222" w:sz="6" w:space="0"/>
            </w:tcBorders>
          </w:tcPr>
          <w:p w14:paraId="74841572">
            <w:pPr>
              <w:spacing w:line="360" w:lineRule="auto"/>
              <w:ind w:firstLine="480" w:firstLineChars="200"/>
            </w:pPr>
            <w:r>
              <w:rPr>
                <w:rFonts w:hint="eastAsia"/>
                <w:sz w:val="24"/>
              </w:rPr>
              <w:t>2022</w:t>
            </w:r>
          </w:p>
        </w:tc>
        <w:tc>
          <w:tcPr>
            <w:tcW w:w="5175" w:type="dxa"/>
            <w:tcBorders>
              <w:top w:val="single" w:color="222222" w:sz="6" w:space="0"/>
              <w:left w:val="single" w:color="222222" w:sz="6" w:space="0"/>
              <w:bottom w:val="single" w:color="222222" w:sz="6" w:space="0"/>
              <w:right w:val="single" w:color="222222" w:sz="6" w:space="0"/>
            </w:tcBorders>
          </w:tcPr>
          <w:p w14:paraId="4CEDE760">
            <w:pPr>
              <w:spacing w:line="360" w:lineRule="auto"/>
              <w:ind w:firstLine="480" w:firstLineChars="200"/>
            </w:pPr>
            <w:r>
              <w:rPr>
                <w:rFonts w:hint="eastAsia"/>
                <w:sz w:val="24"/>
              </w:rPr>
              <w:t>2260730</w:t>
            </w:r>
          </w:p>
        </w:tc>
      </w:tr>
    </w:tbl>
    <w:p w14:paraId="1B5A6D67">
      <w:pPr>
        <w:spacing w:before="120" w:beforeLines="50" w:line="360" w:lineRule="auto"/>
        <w:jc w:val="left"/>
      </w:pPr>
      <w:r>
        <w:rPr>
          <w:rFonts w:hint="eastAsia"/>
          <w:b/>
        </w:rPr>
        <w:t>数据来源：中经数据CEIdata</w:t>
      </w:r>
    </w:p>
    <w:p w14:paraId="7CE8AED0">
      <w:pPr>
        <w:spacing w:before="360" w:line="360" w:lineRule="auto"/>
        <w:jc w:val="center"/>
      </w:pPr>
      <w:r>
        <w:drawing>
          <wp:inline distT="0" distB="0" distL="0" distR="0">
            <wp:extent cx="6572250" cy="26670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0"/>
                    <a:stretch>
                      <a:fillRect/>
                    </a:stretch>
                  </pic:blipFill>
                  <pic:spPr>
                    <a:xfrm>
                      <a:off x="0" y="0"/>
                      <a:ext cx="5732145" cy="2326088"/>
                    </a:xfrm>
                    <a:prstGeom prst="rect">
                      <a:avLst/>
                    </a:prstGeom>
                  </pic:spPr>
                </pic:pic>
              </a:graphicData>
            </a:graphic>
          </wp:inline>
        </w:drawing>
      </w:r>
    </w:p>
    <w:p w14:paraId="15F5325D">
      <w:pPr>
        <w:pStyle w:val="3"/>
        <w:spacing w:line="288" w:lineRule="auto"/>
      </w:pPr>
      <w:bookmarkStart w:id="21" w:name="_Toc46680722"/>
      <w:r>
        <w:rPr>
          <w:rFonts w:hint="eastAsia"/>
          <w:sz w:val="39"/>
        </w:rPr>
        <w:t>三、 创新能力对行业发展的影响</w:t>
      </w:r>
      <w:bookmarkEnd w:id="21"/>
    </w:p>
    <w:p w14:paraId="5DBFFAE6">
      <w:pPr>
        <w:spacing w:line="360" w:lineRule="auto"/>
        <w:ind w:firstLine="480" w:firstLineChars="200"/>
      </w:pPr>
      <w:r>
        <w:rPr>
          <w:rFonts w:hint="eastAsia"/>
          <w:sz w:val="24"/>
        </w:rPr>
        <w:t>在科技日新月异的今天，创新能力已成为各行业发展的核心竞争力。对于高纯锗行业而言，创新能力的提升对其发展具有深远的影响。</w:t>
      </w:r>
    </w:p>
    <w:p w14:paraId="7D92609D">
      <w:pPr>
        <w:spacing w:line="360" w:lineRule="auto"/>
        <w:ind w:firstLine="480" w:firstLineChars="200"/>
      </w:pPr>
      <w:r>
        <w:rPr>
          <w:rFonts w:hint="eastAsia"/>
          <w:b/>
          <w:sz w:val="24"/>
        </w:rPr>
        <w:t>创新能力提升竞争力</w:t>
      </w:r>
    </w:p>
    <w:p w14:paraId="65D36530">
      <w:pPr>
        <w:spacing w:line="360" w:lineRule="auto"/>
        <w:ind w:firstLine="480" w:firstLineChars="200"/>
      </w:pPr>
      <w:r>
        <w:rPr>
          <w:rFonts w:hint="eastAsia"/>
          <w:sz w:val="24"/>
        </w:rPr>
        <w:t>在高纯锗行业中，企业间的竞争异常激烈。为了在市场上占据一席之地，企业需要不断提升自身的竞争力。而创新能力的提升，正是增强企业竞争力的关键。通过创新，企业可以开发出更具竞争力的产品，提高生产效率，降低成本，从而在激烈的市场竞争中脱颖而出。创新还能帮助企业形成独特的品牌形象和竞争优势，进一步巩固市场地位。</w:t>
      </w:r>
    </w:p>
    <w:p w14:paraId="62ACDCDF">
      <w:pPr>
        <w:spacing w:line="360" w:lineRule="auto"/>
        <w:ind w:firstLine="480" w:firstLineChars="200"/>
      </w:pPr>
      <w:r>
        <w:rPr>
          <w:rFonts w:hint="eastAsia"/>
          <w:b/>
          <w:sz w:val="24"/>
        </w:rPr>
        <w:t>创新能力拓展应用领域</w:t>
      </w:r>
    </w:p>
    <w:p w14:paraId="684B69F8">
      <w:pPr>
        <w:spacing w:line="360" w:lineRule="auto"/>
        <w:ind w:firstLine="480" w:firstLineChars="200"/>
      </w:pPr>
      <w:r>
        <w:rPr>
          <w:rFonts w:hint="eastAsia"/>
          <w:sz w:val="24"/>
        </w:rPr>
        <w:t>随着科技的不断进步，高纯锗的应用领域也在不断扩展。而创新能力的增强，正是推动这一进程的关键因素。通过创新，企业可以开发出更多具有新功能和高性能的高纯锗产品，满足不同领域的需求。例如，在医疗领域，高纯锗可以用于制造医疗器械和探测器，提高医疗设备的性能和精度；在航空航天领域，高纯锗可以用于制造高精度的导航仪器和传感器，提高航空航天技术的水平。这些新应用领域的开拓，为高纯锗行业带来了更广阔的市场空间和发展潜力。</w:t>
      </w:r>
    </w:p>
    <w:p w14:paraId="751ACDD1">
      <w:pPr>
        <w:spacing w:line="360" w:lineRule="auto"/>
        <w:ind w:firstLine="480" w:firstLineChars="200"/>
      </w:pPr>
      <w:r>
        <w:rPr>
          <w:rFonts w:hint="eastAsia"/>
          <w:b/>
          <w:sz w:val="24"/>
        </w:rPr>
        <w:t>创新能力推动行业发展</w:t>
      </w:r>
    </w:p>
    <w:p w14:paraId="1467F7F2">
      <w:pPr>
        <w:spacing w:line="360" w:lineRule="auto"/>
        <w:ind w:firstLine="480" w:firstLineChars="200"/>
      </w:pPr>
      <w:r>
        <w:rPr>
          <w:rFonts w:hint="eastAsia"/>
          <w:sz w:val="24"/>
        </w:rPr>
        <w:t>创新能力是推动高纯锗行业发展的关键因素。通过不断创新和技术升级，企业可以不断提高产品的质量和性能，满足市场的不断变化和需求。同时，创新还能激发行业的活力，推动行业的技术进步和产业升级。在这个过程中，企业需要不断加强研发投入，培养创新人才，提高自身的创新能力。只有这样，才能在高纯锗行业中保持领先地位，实现持续发展。</w:t>
      </w:r>
      <w:r>
        <w:br w:type="page"/>
      </w:r>
    </w:p>
    <w:p w14:paraId="134D6CC6">
      <w:pPr>
        <w:pStyle w:val="2"/>
        <w:spacing w:before="0" w:line="288" w:lineRule="auto"/>
      </w:pPr>
      <w:bookmarkStart w:id="22" w:name="_Toc46680723"/>
      <w:r>
        <w:rPr>
          <w:rFonts w:hint="eastAsia"/>
          <w:color w:val="F85025"/>
          <w:sz w:val="42"/>
        </w:rPr>
        <w:t>第六章 高纯锗行业市场预测</w:t>
      </w:r>
      <w:bookmarkEnd w:id="22"/>
    </w:p>
    <w:p w14:paraId="1973FD87">
      <w:pPr>
        <w:pStyle w:val="3"/>
        <w:spacing w:line="288" w:lineRule="auto"/>
      </w:pPr>
      <w:bookmarkStart w:id="23" w:name="_Toc46680724"/>
      <w:r>
        <w:rPr>
          <w:rFonts w:hint="eastAsia"/>
          <w:sz w:val="39"/>
        </w:rPr>
        <w:t>一、 国内外市场现状及趋势</w:t>
      </w:r>
      <w:bookmarkEnd w:id="23"/>
    </w:p>
    <w:p w14:paraId="72B0A525">
      <w:pPr>
        <w:spacing w:line="360" w:lineRule="auto"/>
        <w:ind w:firstLine="480" w:firstLineChars="200"/>
      </w:pPr>
      <w:r>
        <w:rPr>
          <w:rFonts w:hint="eastAsia"/>
          <w:sz w:val="24"/>
        </w:rPr>
        <w:t>当前，高纯锗在全球市场上的地位日益显著，其在半导体、光电、核医学等领域的广泛应用，使其成为不可或缺的重要材料。针对国内外高纯锗市场的现状及未来趋势，以下进行详细分析。</w:t>
      </w:r>
    </w:p>
    <w:p w14:paraId="52E310F7">
      <w:pPr>
        <w:spacing w:line="360" w:lineRule="auto"/>
        <w:ind w:firstLine="480" w:firstLineChars="200"/>
      </w:pPr>
      <w:r>
        <w:rPr>
          <w:rFonts w:hint="eastAsia"/>
          <w:sz w:val="24"/>
        </w:rPr>
        <w:t>在国内市场方面，高纯锗的应用领域广泛，其中半导体领域是其主要消费市场。随着国内半导体产业的快速发展，对高纯锗的需求量不断增加，推动了高纯锗市场的稳步增长。光电、核医学等新兴领域的快速发展，也为高纯锗提供了新的增长点。在技术进步和产业升级的推动下，高纯锗的品质和性能不断提升，满足了不同领域的需求。因此，国内市场对高纯锗的需求呈现出持续增长的态势。</w:t>
      </w:r>
    </w:p>
    <w:p w14:paraId="64EBB267">
      <w:pPr>
        <w:spacing w:line="360" w:lineRule="auto"/>
        <w:ind w:firstLine="480" w:firstLineChars="200"/>
      </w:pPr>
      <w:r>
        <w:rPr>
          <w:rFonts w:hint="eastAsia"/>
          <w:sz w:val="24"/>
        </w:rPr>
        <w:t>在国际市场方面，高纯锗的应用同样广泛，且市场更加成熟和普遍。国际间的贸易与合作日益密切，推动了高纯锗市场的全球化发展。一些国际知名的高纯锗生产企业和研究机构在技术创新、产品升级等方面保持领先地位，推动了高纯锗市场的快速发展。同时，国际市场上的竞争也日益激烈，企业需要不断提高产品质量和降低成本，以保持竞争力。</w:t>
      </w:r>
    </w:p>
    <w:p w14:paraId="39E88040">
      <w:pPr>
        <w:spacing w:line="360" w:lineRule="auto"/>
        <w:ind w:firstLine="480" w:firstLineChars="200"/>
      </w:pPr>
      <w:r>
        <w:rPr>
          <w:rFonts w:hint="eastAsia"/>
          <w:sz w:val="24"/>
        </w:rPr>
        <w:t>在国内外市场趋势方面，未来高纯锗市场的需求将持续增长。随着5G、物联网、人工智能等技术的快速发展，对高纯锗的需求将进一步增加。这些技术需要更加先进、可靠的材料支持，而高纯锗正是其中的重要材料之一。同时，环保意识的提升和环保法规的加强，也将推动高纯锗市场的可持续发展。</w:t>
      </w:r>
    </w:p>
    <w:p w14:paraId="37EE1600">
      <w:pPr>
        <w:pStyle w:val="3"/>
        <w:spacing w:line="288" w:lineRule="auto"/>
      </w:pPr>
      <w:bookmarkStart w:id="24" w:name="_Toc46680725"/>
      <w:r>
        <w:rPr>
          <w:rFonts w:hint="eastAsia"/>
          <w:sz w:val="39"/>
        </w:rPr>
        <w:t>二、 市场需求预测及影响因素</w:t>
      </w:r>
      <w:bookmarkEnd w:id="24"/>
    </w:p>
    <w:p w14:paraId="1614E8B9">
      <w:pPr>
        <w:spacing w:line="360" w:lineRule="auto"/>
        <w:ind w:firstLine="480" w:firstLineChars="200"/>
      </w:pPr>
      <w:r>
        <w:rPr>
          <w:rFonts w:hint="eastAsia"/>
          <w:sz w:val="24"/>
        </w:rPr>
        <w:t>市场需求预测对于高纯锗行业的未来发展至关重要。基于对当前市场趋势、技术进步、政策环境以及竞争格局的综合分析，以下是对未来几年高纯锗市场需求的预测及影响因素分析。</w:t>
      </w:r>
    </w:p>
    <w:p w14:paraId="4865400F">
      <w:pPr>
        <w:spacing w:line="360" w:lineRule="auto"/>
        <w:ind w:firstLine="480" w:firstLineChars="200"/>
      </w:pPr>
      <w:r>
        <w:rPr>
          <w:rFonts w:hint="eastAsia"/>
          <w:sz w:val="24"/>
        </w:rPr>
        <w:t>市场需求预测方面，通过市场调研和数据分析，我们发现高纯锗在多个领域的应用呈现出持续增长的趋势。未来几年，随着科技的不断发展和新兴行业的崛起，高纯锗的需求量将进一步增加。同时，由于高纯锗的特殊性能，其在某些领域具有不可替代的作用，这也使得其市场需求保持稳定增长。具体来说，未来几年内，高纯锗市场需求的增长速度将逐渐加快，市场规模不断扩大。这种趋势将受到多种因素的推动，包括技术进步、政策扶持和市场需求等。</w:t>
      </w:r>
    </w:p>
    <w:p w14:paraId="509C00C2">
      <w:pPr>
        <w:spacing w:line="360" w:lineRule="auto"/>
        <w:ind w:firstLine="480" w:firstLineChars="200"/>
      </w:pPr>
      <w:r>
        <w:rPr>
          <w:rFonts w:hint="eastAsia"/>
          <w:sz w:val="24"/>
        </w:rPr>
        <w:t>影响因素分析方面，技术进步是推动高纯锗市场需求增长的重要因素之一。随着科技的不断发展，高纯锗在半导体、光纤通信、太阳能电池等领域的应用越来越广泛。技术的不断创新使得高纯锗的生产成本不断降低，性能不断提高，从而扩大了其应用范围。政策扶持也对高纯锗市场需求产生了积极的影响。各国政府纷纷出台相关政策，鼓励新能源和环保产业的发展，这为高纯锗的应用提供了广阔的市场空间。最后，市场需求也是影响高纯锗市场需求的重要因素之一。随着消费者对高性能、高品质产品的需求不断增加，对高纯锗的需求也将持续增长。</w:t>
      </w:r>
    </w:p>
    <w:p w14:paraId="32932B1F">
      <w:pPr>
        <w:spacing w:line="360" w:lineRule="auto"/>
        <w:ind w:firstLine="480" w:firstLineChars="200"/>
      </w:pPr>
      <w:r>
        <w:rPr>
          <w:rFonts w:hint="eastAsia"/>
          <w:sz w:val="24"/>
        </w:rPr>
        <w:t>竞争格局变化方面，随着市场竞争的加剧，高纯锗市场的竞争格局也将发生变化。一些传统的高纯锗生产企业将加大技术投入，提高产品质量和生产效率，以保持竞争优势；一些新兴企业也将进入市场，通过技术创新和市场营销等手段争夺市场份额。在这个过程中，企业间的兼并重组和合作共赢将成为主流，共同推动市场的发展。</w:t>
      </w:r>
    </w:p>
    <w:p w14:paraId="18918B3A">
      <w:pPr>
        <w:pStyle w:val="3"/>
        <w:spacing w:line="288" w:lineRule="auto"/>
      </w:pPr>
      <w:bookmarkStart w:id="25" w:name="_Toc46680726"/>
      <w:r>
        <w:rPr>
          <w:rFonts w:hint="eastAsia"/>
          <w:sz w:val="39"/>
        </w:rPr>
        <w:t>三、 市场价格走势预测</w:t>
      </w:r>
      <w:bookmarkEnd w:id="25"/>
    </w:p>
    <w:p w14:paraId="0F5411B3">
      <w:pPr>
        <w:spacing w:line="360" w:lineRule="auto"/>
        <w:ind w:firstLine="480" w:firstLineChars="200"/>
      </w:pPr>
      <w:r>
        <w:rPr>
          <w:rFonts w:hint="eastAsia"/>
          <w:b/>
          <w:sz w:val="24"/>
        </w:rPr>
        <w:t>价格波动趋势</w:t>
      </w:r>
    </w:p>
    <w:p w14:paraId="16F874A0">
      <w:pPr>
        <w:spacing w:line="360" w:lineRule="auto"/>
        <w:ind w:firstLine="480" w:firstLineChars="200"/>
      </w:pPr>
      <w:r>
        <w:rPr>
          <w:rFonts w:hint="eastAsia"/>
          <w:sz w:val="24"/>
        </w:rPr>
        <w:t>高纯锗作为一种重要的半导体材料，其市场价格呈现出波动趋势。在过去几年中，高纯锗的价格经历了几次显著的上涨和下跌。这种价格波动主要受到供需关系、国际市场价格、货币政策等多种因素的影响。从供需关系来看，高纯锗的生产受到原料来源、生产技术和生产效率等因素的制约，而市场需求则受到半导体行业、光纤通信行业、太阳能电池行业等领域的快速发展所驱动。因此，供需关系的变化是高纯锗价格波动的重要因素。</w:t>
      </w:r>
    </w:p>
    <w:p w14:paraId="42DAA6C9">
      <w:pPr>
        <w:spacing w:line="360" w:lineRule="auto"/>
        <w:ind w:firstLine="480" w:firstLineChars="200"/>
      </w:pPr>
      <w:r>
        <w:rPr>
          <w:rFonts w:hint="eastAsia"/>
          <w:b/>
          <w:sz w:val="24"/>
        </w:rPr>
        <w:t>影响因素分析</w:t>
      </w:r>
    </w:p>
    <w:p w14:paraId="6BF6B01B">
      <w:pPr>
        <w:spacing w:line="360" w:lineRule="auto"/>
        <w:ind w:firstLine="480" w:firstLineChars="200"/>
      </w:pPr>
      <w:r>
        <w:rPr>
          <w:rFonts w:hint="eastAsia"/>
          <w:sz w:val="24"/>
        </w:rPr>
        <w:t>在高纯锗市场中，供需关系和国际市场价格是两个关键因素。未来，这两个因素将继续对高纯锗的价格走势产生影响。货币政策也是影响价格的重要因素。例如，如果主要经济体的货币政策趋紧，货币供应减少，将导致市场整体物价水平下降，从而可能对高纯锗价格构成压力。政策环境、技术进步、新兴应用等因素也将对高纯锗市场产生影响。</w:t>
      </w:r>
    </w:p>
    <w:p w14:paraId="4DA5028C">
      <w:pPr>
        <w:spacing w:line="360" w:lineRule="auto"/>
        <w:ind w:firstLine="480" w:firstLineChars="200"/>
      </w:pPr>
      <w:r>
        <w:rPr>
          <w:rFonts w:hint="eastAsia"/>
          <w:b/>
          <w:sz w:val="24"/>
        </w:rPr>
        <w:t>价格预测</w:t>
      </w:r>
    </w:p>
    <w:p w14:paraId="03B73D59">
      <w:pPr>
        <w:spacing w:line="360" w:lineRule="auto"/>
        <w:ind w:firstLine="480" w:firstLineChars="200"/>
      </w:pPr>
      <w:r>
        <w:rPr>
          <w:rFonts w:hint="eastAsia"/>
          <w:sz w:val="24"/>
        </w:rPr>
        <w:t>根据当前市场趋势和预测数据，我们认为未来一段时间内，高纯锗市场价格将继续保持稳步增长的趋势。随着半导体行业的快速发展，高纯锗的需求量将不断增加。高纯锗的生产成本较高，且生产周期较长，这将对价格形成支撑。然而，我们也需要关注国际市场价格和货币政策等因素的变化，以及新兴技术和新兴应用对市场的影响，以便及时调整我们的预测。</w:t>
      </w:r>
      <w:r>
        <w:br w:type="page"/>
      </w:r>
    </w:p>
    <w:p w14:paraId="6931EEC7">
      <w:pPr>
        <w:pStyle w:val="2"/>
        <w:spacing w:before="0" w:line="288" w:lineRule="auto"/>
      </w:pPr>
      <w:bookmarkStart w:id="26" w:name="_Toc46680727"/>
      <w:r>
        <w:rPr>
          <w:rFonts w:hint="eastAsia"/>
          <w:color w:val="F85025"/>
          <w:sz w:val="42"/>
        </w:rPr>
        <w:t>第七章 高纯锗行业发展策略与建议</w:t>
      </w:r>
      <w:bookmarkEnd w:id="26"/>
    </w:p>
    <w:p w14:paraId="4435903E">
      <w:pPr>
        <w:pStyle w:val="3"/>
        <w:spacing w:line="288" w:lineRule="auto"/>
      </w:pPr>
      <w:bookmarkStart w:id="27" w:name="_Toc46680728"/>
      <w:r>
        <w:rPr>
          <w:rFonts w:hint="eastAsia"/>
          <w:sz w:val="39"/>
        </w:rPr>
        <w:t>一、 行业发展瓶颈与突破</w:t>
      </w:r>
      <w:bookmarkEnd w:id="27"/>
    </w:p>
    <w:p w14:paraId="2FB1E2FE">
      <w:pPr>
        <w:spacing w:line="360" w:lineRule="auto"/>
        <w:ind w:firstLine="480" w:firstLineChars="200"/>
      </w:pPr>
      <w:r>
        <w:rPr>
          <w:rFonts w:hint="eastAsia"/>
          <w:sz w:val="24"/>
        </w:rPr>
        <w:t>在探讨高纯锗行业的发展瓶颈与突破时，我们需从资源限制、技术瓶颈以及市场竞争三个方面进行深入剖析。</w:t>
      </w:r>
    </w:p>
    <w:p w14:paraId="06CDBD1C">
      <w:pPr>
        <w:spacing w:line="360" w:lineRule="auto"/>
        <w:ind w:firstLine="480" w:firstLineChars="200"/>
      </w:pPr>
      <w:r>
        <w:rPr>
          <w:rFonts w:hint="eastAsia"/>
          <w:sz w:val="24"/>
        </w:rPr>
        <w:t>资源限制：高纯锗资源的稀缺性对其行业发展构成了直接的制约。尽管全球锗资源总量较为丰富，但高纯锗的开采和提炼难度却相对较高。高纯锗主要来源于锌矿和铅锌矿的副产品，其含量较低，且分布不均。这导致高纯锗的原料供应不稳定，价格波动较大。为解决这一问题，我们可以采取以下措施：积极寻找新的矿源，通过地质勘探和矿产资源调查，发现潜在的锗矿资源；提高资源利用效率，通过改进采矿技术和冶炼工艺，提高锗的回收率；最后，加强资源管理，合理规划开采计划，确保资源的可持续利用。</w:t>
      </w:r>
    </w:p>
    <w:p w14:paraId="5D9821EA">
      <w:pPr>
        <w:spacing w:line="360" w:lineRule="auto"/>
        <w:ind w:firstLine="480" w:firstLineChars="200"/>
      </w:pPr>
      <w:r>
        <w:rPr>
          <w:rFonts w:hint="eastAsia"/>
          <w:sz w:val="24"/>
        </w:rPr>
        <w:t>技术瓶颈：高纯锗的提取和纯化技术难度较高，这是制约其行业发展的关键因素。目前，一些发达国家在锗的提取和纯化技术方面处于领先地位，而国内的技术水平相对较低。这导致国内企业在生产过程中难以达到国际标准，产品质量和性能受到限制。为突破技术瓶颈，我们需要加大研发投入，引进和培养高素质人才，推动技术创新和进步。通过与国际先进企业的合作和交流，引进先进的技术和设备，提高国内企业的技术水平。同时，鼓励企业自主研发，探索新的提取和纯化方法，提高产品的质量和性能。</w:t>
      </w:r>
    </w:p>
    <w:p w14:paraId="42996941">
      <w:pPr>
        <w:spacing w:line="360" w:lineRule="auto"/>
        <w:ind w:firstLine="480" w:firstLineChars="200"/>
      </w:pPr>
      <w:r>
        <w:rPr>
          <w:rFonts w:hint="eastAsia"/>
          <w:sz w:val="24"/>
        </w:rPr>
        <w:t>市场竞争：高纯锗市场的竞争非常激烈，国内企业需要与国际企业展开竞争。在国际市场上，一些知名企业凭借其品牌、技术和质量优势占据了主导地位，而国内企业则处于劣势地位。为增强竞争力，国内企业需要加强品牌建设和市场推广，提高产品的知名度和美誉度。同时，注重产品质量和性能的提升，满足客户的需求和期望。通过不断改进和创新，提高产品的附加值和竞争力，以赢得更多的市场份额。</w:t>
      </w:r>
    </w:p>
    <w:p w14:paraId="64130555">
      <w:pPr>
        <w:pStyle w:val="3"/>
        <w:spacing w:line="288" w:lineRule="auto"/>
      </w:pPr>
      <w:bookmarkStart w:id="28" w:name="_Toc46680729"/>
      <w:r>
        <w:rPr>
          <w:rFonts w:hint="eastAsia"/>
          <w:sz w:val="39"/>
        </w:rPr>
        <w:t>二、 行业发展策略及建议</w:t>
      </w:r>
      <w:bookmarkEnd w:id="28"/>
    </w:p>
    <w:p w14:paraId="013F8792">
      <w:pPr>
        <w:spacing w:line="360" w:lineRule="auto"/>
        <w:ind w:firstLine="480" w:firstLineChars="200"/>
      </w:pPr>
      <w:r>
        <w:rPr>
          <w:rFonts w:hint="eastAsia"/>
          <w:sz w:val="24"/>
        </w:rPr>
        <w:t>在探讨高纯锗行业的未来发展策略与建议时，资源优化、技术创新与市场化策略成为三大核心驱动力，对于推动行业健康、可持续发展具有至关重要的意义。</w:t>
      </w:r>
    </w:p>
    <w:p w14:paraId="5F99AD10">
      <w:pPr>
        <w:spacing w:line="360" w:lineRule="auto"/>
        <w:ind w:firstLine="480" w:firstLineChars="200"/>
      </w:pPr>
      <w:r>
        <w:rPr>
          <w:rFonts w:hint="eastAsia"/>
          <w:sz w:val="24"/>
        </w:rPr>
        <w:t>资源优化策略方面，面对全球范围内高纯锗资源日益紧张的现状，企业需采取前瞻性的资源布局策略。强化矿源勘探与评估，利用先进的勘探技术精准定位潜在矿藏，确保资源供给的可持续性。实施精细化开采与管理，通过优化开采方案、提高开采效率与资源回收率，减少资源浪费。同时，建立多元化原料供应体系，包括国内外合作开发、废旧物料回收再利用等，以增强供应链的韧性和稳定性。在此过程中，企业应秉持绿色发展理念，推行清洁生产，实现经济效益与环境保护的双赢。</w:t>
      </w:r>
    </w:p>
    <w:p w14:paraId="7658A491">
      <w:pPr>
        <w:spacing w:line="360" w:lineRule="auto"/>
        <w:ind w:firstLine="480" w:firstLineChars="200"/>
      </w:pPr>
      <w:r>
        <w:rPr>
          <w:rFonts w:hint="eastAsia"/>
          <w:sz w:val="24"/>
        </w:rPr>
        <w:t>技术创新策略是高纯锗行业持续发展的关键所在。 加大研发投入，推动提取与纯化技术的突破，是提升产品质量、降低成本、增强竞争力的关键。企业应积极引进和培养具备跨学科背景的复合型人才，构建高水平研发团队，同时加强产学研合作，促进科技成果的快速转化与应用。关注国际前沿技术动态，加大引进消化吸收再创新力度，加速技术迭代升级，形成自主知识产权和技术优势。技术创新不仅有助于提升产品性能，还能开辟新的应用领域，为高纯锗行业带来新的增长点。</w:t>
      </w:r>
    </w:p>
    <w:p w14:paraId="31395E4A">
      <w:pPr>
        <w:spacing w:line="360" w:lineRule="auto"/>
        <w:ind w:firstLine="480" w:firstLineChars="200"/>
      </w:pPr>
      <w:r>
        <w:rPr>
          <w:rFonts w:hint="eastAsia"/>
          <w:sz w:val="24"/>
        </w:rPr>
        <w:t>市场化策略则要求企业深入洞察市场需求与变化，灵活调整营销策略。 加强品牌建设与市场推广，通过提升品牌形象、扩大品牌影响力，增强客户对企业的认知度和信任度。精准定位目标市场与客户群体，根据市场需求定制化开发产品，提升产品附加值和市场竞争力。同时，优化销售渠道布局，拓展线上线下相结合的多元化销售模式，提高市场覆盖率和市场占有率。加强客户服务与售后支持，建立健全客户反馈机制，及时了解客户需求与意见，不断优化产品与服务，以赢得客户的长期信任与支持。在市场化策略的实施过程中，企业还需注重风险防控，加强市场监测与预警机制建设，以应对市场波动带来的不确定性与挑战。</w:t>
      </w:r>
    </w:p>
    <w:p w14:paraId="444B0BB3">
      <w:pPr>
        <w:spacing w:line="360" w:lineRule="auto"/>
        <w:jc w:val="center"/>
      </w:pPr>
      <w:r>
        <w:rPr>
          <w:rFonts w:hint="eastAsia"/>
          <w:b/>
        </w:rPr>
        <w:t>表5 高纯锗行业相关信息</w:t>
      </w:r>
    </w:p>
    <w:tbl>
      <w:tblPr>
        <w:tblStyle w:val="21"/>
        <w:tblW w:w="5000" w:type="pct"/>
        <w:jc w:val="center"/>
        <w:tblLayout w:type="autofit"/>
        <w:tblCellMar>
          <w:top w:w="0" w:type="dxa"/>
          <w:left w:w="108" w:type="dxa"/>
          <w:bottom w:w="0" w:type="dxa"/>
          <w:right w:w="108" w:type="dxa"/>
        </w:tblCellMar>
      </w:tblPr>
      <w:tblGrid>
        <w:gridCol w:w="4240"/>
        <w:gridCol w:w="4271"/>
      </w:tblGrid>
      <w:tr w14:paraId="544CB268">
        <w:tblPrEx>
          <w:tblCellMar>
            <w:top w:w="0" w:type="dxa"/>
            <w:left w:w="108" w:type="dxa"/>
            <w:bottom w:w="0" w:type="dxa"/>
            <w:right w:w="108" w:type="dxa"/>
          </w:tblCellMar>
        </w:tblPrEx>
        <w:trPr>
          <w:tblHeader/>
          <w:jc w:val="center"/>
        </w:trPr>
        <w:tc>
          <w:tcPr>
            <w:tcW w:w="5175" w:type="dxa"/>
            <w:tcBorders>
              <w:top w:val="single" w:color="222222" w:sz="6" w:space="0"/>
              <w:left w:val="single" w:color="222222" w:sz="6" w:space="0"/>
              <w:bottom w:val="single" w:color="222222" w:sz="6" w:space="0"/>
              <w:right w:val="single" w:color="222222" w:sz="6" w:space="0"/>
            </w:tcBorders>
          </w:tcPr>
          <w:p w14:paraId="3E5C466C">
            <w:pPr>
              <w:spacing w:line="360" w:lineRule="auto"/>
              <w:ind w:firstLine="480" w:firstLineChars="200"/>
            </w:pPr>
            <w:r>
              <w:rPr>
                <w:rFonts w:hint="eastAsia"/>
                <w:sz w:val="24"/>
              </w:rPr>
              <w:t>项目</w:t>
            </w:r>
          </w:p>
        </w:tc>
        <w:tc>
          <w:tcPr>
            <w:tcW w:w="5175" w:type="dxa"/>
            <w:tcBorders>
              <w:top w:val="single" w:color="222222" w:sz="6" w:space="0"/>
              <w:left w:val="single" w:color="222222" w:sz="6" w:space="0"/>
              <w:bottom w:val="single" w:color="222222" w:sz="6" w:space="0"/>
              <w:right w:val="single" w:color="222222" w:sz="6" w:space="0"/>
            </w:tcBorders>
          </w:tcPr>
          <w:p w14:paraId="73358E1D">
            <w:pPr>
              <w:spacing w:line="360" w:lineRule="auto"/>
              <w:ind w:firstLine="480" w:firstLineChars="200"/>
            </w:pPr>
            <w:r>
              <w:rPr>
                <w:rFonts w:hint="eastAsia"/>
                <w:sz w:val="24"/>
              </w:rPr>
              <w:t>情况</w:t>
            </w:r>
          </w:p>
        </w:tc>
      </w:tr>
      <w:tr w14:paraId="2992B244">
        <w:tblPrEx>
          <w:tblCellMar>
            <w:top w:w="0" w:type="dxa"/>
            <w:left w:w="108" w:type="dxa"/>
            <w:bottom w:w="0" w:type="dxa"/>
            <w:right w:w="108" w:type="dxa"/>
          </w:tblCellMar>
        </w:tblPrEx>
        <w:trPr>
          <w:jc w:val="center"/>
        </w:trPr>
        <w:tc>
          <w:tcPr>
            <w:tcW w:w="5175" w:type="dxa"/>
            <w:tcBorders>
              <w:top w:val="single" w:color="222222" w:sz="6" w:space="0"/>
              <w:left w:val="single" w:color="222222" w:sz="6" w:space="0"/>
              <w:bottom w:val="single" w:color="222222" w:sz="6" w:space="0"/>
              <w:right w:val="single" w:color="222222" w:sz="6" w:space="0"/>
            </w:tcBorders>
          </w:tcPr>
          <w:p w14:paraId="7F66CDB5">
            <w:pPr>
              <w:spacing w:line="360" w:lineRule="auto"/>
              <w:ind w:firstLine="480" w:firstLineChars="200"/>
            </w:pPr>
            <w:r>
              <w:rPr>
                <w:rFonts w:hint="eastAsia"/>
                <w:sz w:val="24"/>
              </w:rPr>
              <w:t>锗全球需求</w:t>
            </w:r>
          </w:p>
        </w:tc>
        <w:tc>
          <w:tcPr>
            <w:tcW w:w="5175" w:type="dxa"/>
            <w:tcBorders>
              <w:top w:val="single" w:color="222222" w:sz="6" w:space="0"/>
              <w:left w:val="single" w:color="222222" w:sz="6" w:space="0"/>
              <w:bottom w:val="single" w:color="222222" w:sz="6" w:space="0"/>
              <w:right w:val="single" w:color="222222" w:sz="6" w:space="0"/>
            </w:tcBorders>
          </w:tcPr>
          <w:p w14:paraId="6515A4DE">
            <w:pPr>
              <w:spacing w:line="360" w:lineRule="auto"/>
              <w:ind w:firstLine="480" w:firstLineChars="200"/>
            </w:pPr>
            <w:r>
              <w:rPr>
                <w:rFonts w:hint="eastAsia"/>
                <w:sz w:val="24"/>
              </w:rPr>
              <w:t>259吨</w:t>
            </w:r>
          </w:p>
        </w:tc>
      </w:tr>
      <w:tr w14:paraId="1BC6B1D5">
        <w:tblPrEx>
          <w:tblCellMar>
            <w:top w:w="0" w:type="dxa"/>
            <w:left w:w="108" w:type="dxa"/>
            <w:bottom w:w="0" w:type="dxa"/>
            <w:right w:w="108" w:type="dxa"/>
          </w:tblCellMar>
        </w:tblPrEx>
        <w:trPr>
          <w:jc w:val="center"/>
        </w:trPr>
        <w:tc>
          <w:tcPr>
            <w:tcW w:w="5175" w:type="dxa"/>
            <w:tcBorders>
              <w:top w:val="single" w:color="222222" w:sz="6" w:space="0"/>
              <w:left w:val="single" w:color="222222" w:sz="6" w:space="0"/>
              <w:bottom w:val="single" w:color="222222" w:sz="6" w:space="0"/>
              <w:right w:val="single" w:color="222222" w:sz="6" w:space="0"/>
            </w:tcBorders>
          </w:tcPr>
          <w:p w14:paraId="48808ABC">
            <w:pPr>
              <w:spacing w:line="360" w:lineRule="auto"/>
              <w:ind w:firstLine="480" w:firstLineChars="200"/>
            </w:pPr>
            <w:r>
              <w:rPr>
                <w:rFonts w:hint="eastAsia"/>
                <w:sz w:val="24"/>
              </w:rPr>
              <w:t>锗需求缺口</w:t>
            </w:r>
          </w:p>
        </w:tc>
        <w:tc>
          <w:tcPr>
            <w:tcW w:w="5175" w:type="dxa"/>
            <w:tcBorders>
              <w:top w:val="single" w:color="222222" w:sz="6" w:space="0"/>
              <w:left w:val="single" w:color="222222" w:sz="6" w:space="0"/>
              <w:bottom w:val="single" w:color="222222" w:sz="6" w:space="0"/>
              <w:right w:val="single" w:color="222222" w:sz="6" w:space="0"/>
            </w:tcBorders>
          </w:tcPr>
          <w:p w14:paraId="2DEB91D8">
            <w:pPr>
              <w:spacing w:line="360" w:lineRule="auto"/>
              <w:ind w:firstLine="480" w:firstLineChars="200"/>
            </w:pPr>
            <w:r>
              <w:rPr>
                <w:rFonts w:hint="eastAsia"/>
                <w:sz w:val="24"/>
              </w:rPr>
              <w:t>48吨</w:t>
            </w:r>
          </w:p>
        </w:tc>
      </w:tr>
      <w:tr w14:paraId="289AE3AD">
        <w:tblPrEx>
          <w:tblCellMar>
            <w:top w:w="0" w:type="dxa"/>
            <w:left w:w="108" w:type="dxa"/>
            <w:bottom w:w="0" w:type="dxa"/>
            <w:right w:w="108" w:type="dxa"/>
          </w:tblCellMar>
        </w:tblPrEx>
        <w:trPr>
          <w:jc w:val="center"/>
        </w:trPr>
        <w:tc>
          <w:tcPr>
            <w:tcW w:w="5175" w:type="dxa"/>
            <w:tcBorders>
              <w:top w:val="single" w:color="222222" w:sz="6" w:space="0"/>
              <w:left w:val="single" w:color="222222" w:sz="6" w:space="0"/>
              <w:bottom w:val="single" w:color="222222" w:sz="6" w:space="0"/>
              <w:right w:val="single" w:color="222222" w:sz="6" w:space="0"/>
            </w:tcBorders>
          </w:tcPr>
          <w:p w14:paraId="0BA24E83">
            <w:pPr>
              <w:spacing w:line="360" w:lineRule="auto"/>
              <w:ind w:firstLine="480" w:firstLineChars="200"/>
            </w:pPr>
            <w:r>
              <w:rPr>
                <w:rFonts w:hint="eastAsia"/>
                <w:sz w:val="24"/>
              </w:rPr>
              <w:t>高纯锗单晶国际市场主导者</w:t>
            </w:r>
          </w:p>
        </w:tc>
        <w:tc>
          <w:tcPr>
            <w:tcW w:w="5175" w:type="dxa"/>
            <w:tcBorders>
              <w:top w:val="single" w:color="222222" w:sz="6" w:space="0"/>
              <w:left w:val="single" w:color="222222" w:sz="6" w:space="0"/>
              <w:bottom w:val="single" w:color="222222" w:sz="6" w:space="0"/>
              <w:right w:val="single" w:color="222222" w:sz="6" w:space="0"/>
            </w:tcBorders>
          </w:tcPr>
          <w:p w14:paraId="04EB7338">
            <w:pPr>
              <w:spacing w:line="360" w:lineRule="auto"/>
              <w:ind w:firstLine="480" w:firstLineChars="200"/>
            </w:pPr>
            <w:r>
              <w:rPr>
                <w:rFonts w:hint="eastAsia"/>
                <w:sz w:val="24"/>
              </w:rPr>
              <w:t>欧美</w:t>
            </w:r>
          </w:p>
        </w:tc>
      </w:tr>
      <w:tr w14:paraId="68ABBD14">
        <w:tblPrEx>
          <w:tblCellMar>
            <w:top w:w="0" w:type="dxa"/>
            <w:left w:w="108" w:type="dxa"/>
            <w:bottom w:w="0" w:type="dxa"/>
            <w:right w:w="108" w:type="dxa"/>
          </w:tblCellMar>
        </w:tblPrEx>
        <w:trPr>
          <w:jc w:val="center"/>
        </w:trPr>
        <w:tc>
          <w:tcPr>
            <w:tcW w:w="5175" w:type="dxa"/>
            <w:tcBorders>
              <w:top w:val="single" w:color="222222" w:sz="6" w:space="0"/>
              <w:left w:val="single" w:color="222222" w:sz="6" w:space="0"/>
              <w:bottom w:val="single" w:color="222222" w:sz="6" w:space="0"/>
              <w:right w:val="single" w:color="222222" w:sz="6" w:space="0"/>
            </w:tcBorders>
          </w:tcPr>
          <w:p w14:paraId="1F399A64">
            <w:pPr>
              <w:spacing w:line="360" w:lineRule="auto"/>
              <w:ind w:firstLine="480" w:firstLineChars="200"/>
            </w:pPr>
            <w:r>
              <w:rPr>
                <w:rFonts w:hint="eastAsia"/>
                <w:sz w:val="24"/>
              </w:rPr>
              <w:t>区熔锗购买价格</w:t>
            </w:r>
          </w:p>
        </w:tc>
        <w:tc>
          <w:tcPr>
            <w:tcW w:w="5175" w:type="dxa"/>
            <w:tcBorders>
              <w:top w:val="single" w:color="222222" w:sz="6" w:space="0"/>
              <w:left w:val="single" w:color="222222" w:sz="6" w:space="0"/>
              <w:bottom w:val="single" w:color="222222" w:sz="6" w:space="0"/>
              <w:right w:val="single" w:color="222222" w:sz="6" w:space="0"/>
            </w:tcBorders>
          </w:tcPr>
          <w:p w14:paraId="156401D1">
            <w:pPr>
              <w:spacing w:line="360" w:lineRule="auto"/>
              <w:ind w:firstLine="480" w:firstLineChars="200"/>
            </w:pPr>
            <w:r>
              <w:rPr>
                <w:rFonts w:hint="eastAsia"/>
                <w:sz w:val="24"/>
              </w:rPr>
              <w:t>每公斤~10000元</w:t>
            </w:r>
          </w:p>
        </w:tc>
      </w:tr>
      <w:tr w14:paraId="365C1176">
        <w:tblPrEx>
          <w:tblCellMar>
            <w:top w:w="0" w:type="dxa"/>
            <w:left w:w="108" w:type="dxa"/>
            <w:bottom w:w="0" w:type="dxa"/>
            <w:right w:w="108" w:type="dxa"/>
          </w:tblCellMar>
        </w:tblPrEx>
        <w:trPr>
          <w:jc w:val="center"/>
        </w:trPr>
        <w:tc>
          <w:tcPr>
            <w:tcW w:w="5175" w:type="dxa"/>
            <w:tcBorders>
              <w:top w:val="single" w:color="222222" w:sz="6" w:space="0"/>
              <w:left w:val="single" w:color="222222" w:sz="6" w:space="0"/>
              <w:bottom w:val="single" w:color="222222" w:sz="6" w:space="0"/>
              <w:right w:val="single" w:color="222222" w:sz="6" w:space="0"/>
            </w:tcBorders>
          </w:tcPr>
          <w:p w14:paraId="76EAEC49">
            <w:pPr>
              <w:spacing w:line="360" w:lineRule="auto"/>
              <w:ind w:firstLine="480" w:firstLineChars="200"/>
            </w:pPr>
            <w:r>
              <w:rPr>
                <w:rFonts w:hint="eastAsia"/>
                <w:sz w:val="24"/>
              </w:rPr>
              <w:t>高纯锗单晶出售价格</w:t>
            </w:r>
          </w:p>
        </w:tc>
        <w:tc>
          <w:tcPr>
            <w:tcW w:w="5175" w:type="dxa"/>
            <w:tcBorders>
              <w:top w:val="single" w:color="222222" w:sz="6" w:space="0"/>
              <w:left w:val="single" w:color="222222" w:sz="6" w:space="0"/>
              <w:bottom w:val="single" w:color="222222" w:sz="6" w:space="0"/>
              <w:right w:val="single" w:color="222222" w:sz="6" w:space="0"/>
            </w:tcBorders>
          </w:tcPr>
          <w:p w14:paraId="3003CE7E">
            <w:pPr>
              <w:spacing w:line="360" w:lineRule="auto"/>
              <w:ind w:firstLine="480" w:firstLineChars="200"/>
            </w:pPr>
            <w:r>
              <w:rPr>
                <w:rFonts w:hint="eastAsia"/>
                <w:sz w:val="24"/>
              </w:rPr>
              <w:t>每公斤最高~30万元</w:t>
            </w:r>
          </w:p>
        </w:tc>
      </w:tr>
    </w:tbl>
    <w:p w14:paraId="77A502F2">
      <w:pPr>
        <w:spacing w:before="120" w:beforeLines="50" w:line="360" w:lineRule="auto"/>
        <w:jc w:val="left"/>
      </w:pPr>
      <w:r>
        <w:rPr>
          <w:rFonts w:hint="eastAsia"/>
          <w:b/>
        </w:rPr>
        <w:t>数据来源:</w:t>
      </w:r>
      <w:r>
        <w:rPr>
          <w:rFonts w:hint="eastAsia"/>
          <w:b/>
          <w:lang w:eastAsia="zh-CN"/>
        </w:rPr>
        <w:t>网络</w:t>
      </w:r>
      <w:r>
        <w:rPr>
          <w:rFonts w:hint="eastAsia"/>
          <w:b/>
        </w:rPr>
        <w:t>搜索</w:t>
      </w:r>
    </w:p>
    <w:p w14:paraId="013D555D">
      <w:pPr>
        <w:pStyle w:val="3"/>
        <w:spacing w:line="288" w:lineRule="auto"/>
      </w:pPr>
      <w:bookmarkStart w:id="29" w:name="_Toc46680730"/>
      <w:r>
        <w:rPr>
          <w:rFonts w:hint="eastAsia"/>
          <w:sz w:val="39"/>
        </w:rPr>
        <w:t>三、 行业投资机会与风险</w:t>
      </w:r>
      <w:bookmarkEnd w:id="29"/>
    </w:p>
    <w:p w14:paraId="5912FFB5">
      <w:pPr>
        <w:spacing w:line="360" w:lineRule="auto"/>
        <w:ind w:firstLine="480" w:firstLineChars="200"/>
      </w:pPr>
      <w:r>
        <w:rPr>
          <w:rFonts w:hint="eastAsia"/>
          <w:sz w:val="24"/>
        </w:rPr>
        <w:t>在高纯锗行业中，投资者需深入分析市场趋势，识别投资机会与潜在风险，以制定科学合理的投资策略。以下将对投资机会、风险挑战及风险提示进行详细阐述。</w:t>
      </w:r>
    </w:p>
    <w:p w14:paraId="7FB8E835">
      <w:pPr>
        <w:spacing w:line="360" w:lineRule="auto"/>
        <w:ind w:firstLine="480" w:firstLineChars="200"/>
      </w:pPr>
      <w:r>
        <w:rPr>
          <w:rFonts w:hint="eastAsia"/>
          <w:sz w:val="24"/>
        </w:rPr>
        <w:t>在高纯锗行业中，投资机会主要集中于矿源勘探与开发以及技术创新两大领域。高纯锗矿源的勘探和开发是行业的基石，拥有丰富的矿源资源将有助于企业在市场竞争中占据优势地位。随着全球对高纯锗的需求不断增长，矿源勘探的潜力巨大。同时，高纯锗提取和纯化技术的研发与创新也是行业发展的关键。通过技术创新，企业可以提高生产效率，降低成本，从而提升市场竞争力。</w:t>
      </w:r>
    </w:p>
    <w:p w14:paraId="48211880">
      <w:pPr>
        <w:spacing w:line="360" w:lineRule="auto"/>
        <w:ind w:firstLine="480" w:firstLineChars="200"/>
      </w:pPr>
      <w:r>
        <w:rPr>
          <w:rFonts w:hint="eastAsia"/>
          <w:sz w:val="24"/>
        </w:rPr>
        <w:t>然而，高纯锗行业也面临着一些风险挑战。市场需求波动是行业面临的主要风险之一。随着科技的不断进步和新兴领域的涌现，高纯锗的应用领域不断扩大，但市场需求的不稳定性也给行业发展带来了一定的不确定性。政策调整和国际贸易摩擦也是影响行业发展的重要因素。政策的变化可能导致企业运营成本上升，而国际贸易摩擦则可能限制产品的出口，从而影响企业的盈利能力。</w:t>
      </w:r>
    </w:p>
    <w:p w14:paraId="29427910">
      <w:pPr>
        <w:spacing w:line="360" w:lineRule="auto"/>
        <w:ind w:firstLine="480" w:firstLineChars="200"/>
      </w:pPr>
      <w:r>
        <w:rPr>
          <w:rFonts w:hint="eastAsia"/>
          <w:sz w:val="24"/>
        </w:rPr>
        <w:t>鉴于上述风险，投资者在投资高纯锗行业时需谨慎行事。在投资前，应充分了解行业特点和风险情况，进行风险评估和预测。同时，要加强风险监测和预警，及时发现和处理潜在风险问题。在投资过程中，要保持冷静头脑，不被市场波动所左右，坚持长期投资的理念。只有这样，才能在激烈的市场竞争中立于不败之地，实现稳健的投资回报。</w:t>
      </w:r>
      <w:r>
        <w:br w:type="page"/>
      </w:r>
    </w:p>
    <w:p w14:paraId="639235BC">
      <w:pPr>
        <w:pStyle w:val="2"/>
        <w:spacing w:before="0" w:line="288" w:lineRule="auto"/>
      </w:pPr>
      <w:bookmarkStart w:id="30" w:name="_Toc46680731"/>
      <w:r>
        <w:rPr>
          <w:rFonts w:hint="eastAsia"/>
          <w:color w:val="F85025"/>
          <w:sz w:val="42"/>
        </w:rPr>
        <w:t>第八章 高纯锗行业可持续发展分析</w:t>
      </w:r>
      <w:bookmarkEnd w:id="30"/>
    </w:p>
    <w:p w14:paraId="684D1E61">
      <w:pPr>
        <w:pStyle w:val="3"/>
        <w:spacing w:line="288" w:lineRule="auto"/>
      </w:pPr>
      <w:bookmarkStart w:id="31" w:name="_Toc46680732"/>
      <w:r>
        <w:rPr>
          <w:rFonts w:hint="eastAsia"/>
          <w:sz w:val="39"/>
        </w:rPr>
        <w:t>一、 环境保护与节能减排现状</w:t>
      </w:r>
      <w:bookmarkEnd w:id="31"/>
    </w:p>
    <w:p w14:paraId="72FE558C">
      <w:pPr>
        <w:spacing w:line="360" w:lineRule="auto"/>
        <w:ind w:firstLine="480" w:firstLineChars="200"/>
      </w:pPr>
      <w:r>
        <w:rPr>
          <w:rFonts w:hint="eastAsia"/>
          <w:sz w:val="24"/>
        </w:rPr>
        <w:t>随着全球环境保护意识的增强，以及节能减排政策的不断推进，高纯锗行业也面临着严峻的环境保护挑战。在这一背景下，高纯锗行业逐渐意识到了环保的重要性，并开始采取一系列措施来应对这一挑战。</w:t>
      </w:r>
    </w:p>
    <w:p w14:paraId="74DB0D50">
      <w:pPr>
        <w:spacing w:line="360" w:lineRule="auto"/>
        <w:ind w:firstLine="480" w:firstLineChars="200"/>
      </w:pPr>
      <w:r>
        <w:rPr>
          <w:rFonts w:hint="eastAsia"/>
          <w:sz w:val="24"/>
        </w:rPr>
        <w:t>在高纯锗行业的生产过程中，环保意识逐渐得到了提升。行业内的企业开始注重环保合规性，严格遵守各项环保法规和标准，确保生产过程的环保和安全。同时，这些企业也积极采取环保措施，如建设废水处理设施、减少废气排放等，以降低生产对环境的污染。</w:t>
      </w:r>
    </w:p>
    <w:p w14:paraId="1A32D5B1">
      <w:pPr>
        <w:spacing w:line="360" w:lineRule="auto"/>
        <w:ind w:firstLine="480" w:firstLineChars="200"/>
      </w:pPr>
      <w:r>
        <w:rPr>
          <w:rFonts w:hint="eastAsia"/>
          <w:sz w:val="24"/>
        </w:rPr>
        <w:t>为了降低能耗和排放，高纯锗行业也积极应用先进的节能减排技术。通过改进生产工艺和设备，提高资源利用效率，减少能源消耗和废弃物排放。一些企业还采用了循环经济模式，将废弃物进行回收再利用，进一步降低了对环境的影响。</w:t>
      </w:r>
    </w:p>
    <w:p w14:paraId="72E8EA48">
      <w:pPr>
        <w:spacing w:line="360" w:lineRule="auto"/>
        <w:ind w:firstLine="480" w:firstLineChars="200"/>
      </w:pPr>
      <w:r>
        <w:rPr>
          <w:rFonts w:hint="eastAsia"/>
          <w:sz w:val="24"/>
        </w:rPr>
        <w:t>环保政策的加强和监管力度的提升也推动了高纯锗行业的环保进程。政府加大了对环保违法行为的处罚力度，促使企业更加注重环保投入和合规性管理。同时，政府还出台了一系列鼓励政策，支持企业采用先进的环保技术和设备，推动行业的环保升级。</w:t>
      </w:r>
    </w:p>
    <w:p w14:paraId="6040B0E8">
      <w:pPr>
        <w:spacing w:line="360" w:lineRule="auto"/>
        <w:ind w:firstLine="480" w:firstLineChars="200"/>
      </w:pPr>
      <w:r>
        <w:rPr>
          <w:rFonts w:hint="eastAsia"/>
          <w:sz w:val="24"/>
        </w:rPr>
        <w:t>高纯锗行业在环保和节能减排方面取得了显著的进展。然而，随着环保要求的不断提高和技术的不断进步，行业仍需要继续努力，不断提高环保水平，为可持续发展做出贡献。</w:t>
      </w:r>
    </w:p>
    <w:p w14:paraId="50A34BC6">
      <w:pPr>
        <w:pStyle w:val="3"/>
        <w:spacing w:line="288" w:lineRule="auto"/>
      </w:pPr>
      <w:bookmarkStart w:id="32" w:name="_Toc46680733"/>
      <w:r>
        <w:rPr>
          <w:rFonts w:hint="eastAsia"/>
          <w:sz w:val="39"/>
        </w:rPr>
        <w:t>二、 可持续发展策略与实践</w:t>
      </w:r>
      <w:bookmarkEnd w:id="32"/>
    </w:p>
    <w:p w14:paraId="38093456">
      <w:pPr>
        <w:spacing w:line="360" w:lineRule="auto"/>
        <w:ind w:firstLine="480" w:firstLineChars="200"/>
      </w:pPr>
      <w:r>
        <w:rPr>
          <w:rFonts w:hint="eastAsia"/>
          <w:sz w:val="24"/>
        </w:rPr>
        <w:t>在可持续发展战略的指引下，高纯锗行业致力于实现绿色、低碳、高效的生产模式，推动行业的可持续发展。以下是对绿色生产理念、循环经济模式以及科技创新驱动这三个方面的详细阐述。</w:t>
      </w:r>
    </w:p>
    <w:p w14:paraId="44891AB5">
      <w:pPr>
        <w:spacing w:line="360" w:lineRule="auto"/>
        <w:ind w:firstLine="480" w:firstLineChars="200"/>
      </w:pPr>
      <w:r>
        <w:rPr>
          <w:rFonts w:hint="eastAsia"/>
          <w:b/>
          <w:sz w:val="24"/>
        </w:rPr>
        <w:t>绿色生产理念</w:t>
      </w:r>
    </w:p>
    <w:p w14:paraId="6BA62BC2">
      <w:pPr>
        <w:spacing w:line="360" w:lineRule="auto"/>
        <w:ind w:firstLine="480" w:firstLineChars="200"/>
      </w:pPr>
      <w:r>
        <w:rPr>
          <w:rFonts w:hint="eastAsia"/>
          <w:sz w:val="24"/>
        </w:rPr>
        <w:t>绿色生产理念是高纯锗行业实现可持续发展的重要基础。为了实现这一目标，行业内企业积极优化生产流程，采用先进的生产技术和设备，以降低能耗和排放。例如，一些企业通过改进生产工艺，实现了生产过程中的废水、废气、废渣的零排放，大大降低了对环境的污染。同时，企业还注重节能降耗，通过合理的能源利用和管理，降低了生产成本，提高了经济效益。绿色生产理念的践行还有助于提升企业的社会形象，增强消费者的信任度。</w:t>
      </w:r>
    </w:p>
    <w:p w14:paraId="1CCC805F">
      <w:pPr>
        <w:spacing w:line="360" w:lineRule="auto"/>
        <w:ind w:firstLine="480" w:firstLineChars="200"/>
      </w:pPr>
      <w:r>
        <w:rPr>
          <w:rFonts w:hint="eastAsia"/>
          <w:b/>
          <w:sz w:val="24"/>
        </w:rPr>
        <w:t>循环经济模式</w:t>
      </w:r>
    </w:p>
    <w:p w14:paraId="0A07C24B">
      <w:pPr>
        <w:spacing w:line="360" w:lineRule="auto"/>
        <w:ind w:firstLine="480" w:firstLineChars="200"/>
      </w:pPr>
      <w:r>
        <w:rPr>
          <w:rFonts w:hint="eastAsia"/>
          <w:sz w:val="24"/>
        </w:rPr>
        <w:t>循环经济模式是高纯锗行业实现资源循环利用和高效利用的重要途径。在循环经济模式下，企业将生产过程中产生的废弃物进行回收再利用，实现资源的循环利用。这不仅可以减少资源的浪费，还可以降低生产成本，提高经济效益。同时，循环经济模式还有助于降低企业的环境风险，提高企业的环境适应能力和可持续发展能力。</w:t>
      </w:r>
    </w:p>
    <w:p w14:paraId="766C92DD">
      <w:pPr>
        <w:spacing w:line="360" w:lineRule="auto"/>
        <w:ind w:firstLine="480" w:firstLineChars="200"/>
      </w:pPr>
      <w:r>
        <w:rPr>
          <w:rFonts w:hint="eastAsia"/>
          <w:b/>
          <w:sz w:val="24"/>
        </w:rPr>
        <w:t>科技创新驱动</w:t>
      </w:r>
    </w:p>
    <w:p w14:paraId="30E6CDF6">
      <w:pPr>
        <w:spacing w:line="360" w:lineRule="auto"/>
        <w:ind w:firstLine="480" w:firstLineChars="200"/>
      </w:pPr>
      <w:r>
        <w:rPr>
          <w:rFonts w:hint="eastAsia"/>
          <w:sz w:val="24"/>
        </w:rPr>
        <w:t>科技创新是高纯锗行业实现可持续发展的关键动力。随着科技的不断进步，高纯锗行业不断涌现出新的生产技术和产品，为行业的可持续发展提供了有力支撑。例如，一些企业通过研发新的提取技术，提高了锗的提取率和纯度，降低了生产成本。同时，科技创新还有助于企业开发新的应用领域，扩大市场需求，提高经济效益。科技创新还可以促进企业与高校、科研机构等机构的合作，共同推动行业的技术进步和产业升级。</w:t>
      </w:r>
    </w:p>
    <w:p w14:paraId="192E2EF9">
      <w:pPr>
        <w:pStyle w:val="3"/>
        <w:spacing w:line="288" w:lineRule="auto"/>
      </w:pPr>
      <w:bookmarkStart w:id="33" w:name="_Toc46680734"/>
      <w:r>
        <w:rPr>
          <w:rFonts w:hint="eastAsia"/>
          <w:sz w:val="39"/>
        </w:rPr>
        <w:t>三、 行业绿色转型的前景与挑战</w:t>
      </w:r>
      <w:bookmarkEnd w:id="33"/>
    </w:p>
    <w:p w14:paraId="3E9476CE">
      <w:pPr>
        <w:spacing w:line="360" w:lineRule="auto"/>
        <w:ind w:firstLine="480" w:firstLineChars="200"/>
      </w:pPr>
      <w:r>
        <w:rPr>
          <w:rFonts w:hint="eastAsia"/>
          <w:sz w:val="24"/>
        </w:rPr>
        <w:t>当前，环保意识的不断提升和全球环保政策的持续推进，为行业绿色转型提供了重要机遇。特别是在高纯锗行业，绿色转型已成为行业未来发展的必然趋势。</w:t>
      </w:r>
    </w:p>
    <w:p w14:paraId="7296B615">
      <w:pPr>
        <w:spacing w:line="360" w:lineRule="auto"/>
        <w:ind w:firstLine="480" w:firstLineChars="200"/>
      </w:pPr>
      <w:r>
        <w:rPr>
          <w:rFonts w:hint="eastAsia"/>
          <w:sz w:val="24"/>
        </w:rPr>
        <w:t>环保意识的提升为高纯锗行业绿色转型提供了强大的动力。随着公众环保意识的不断提高，消费者越来越倾向于选择绿色、环保的产品。高纯锗作为一种绿色材料，其应用领域不断扩大，市场需求持续增长。这将促使高纯锗企业加大研发力度，推动技术创新，提高产品质量和环保性能，以满足市场的需求。</w:t>
      </w:r>
    </w:p>
    <w:p w14:paraId="67219FC7">
      <w:pPr>
        <w:spacing w:line="360" w:lineRule="auto"/>
        <w:ind w:firstLine="480" w:firstLineChars="200"/>
      </w:pPr>
      <w:r>
        <w:rPr>
          <w:rFonts w:hint="eastAsia"/>
          <w:sz w:val="24"/>
        </w:rPr>
        <w:t>然而，高纯锗行业在绿色转型过程中也面临着诸多挑战。其中，技术瓶颈是制约行业发展的重要因素。目前，高纯锗的生产过程中还存在一些技术难题，如杂质去除、能耗降低等。这些问题的解决需要企业加大研发投入，引进先进技术，进行技术创新和改造。同时，政策落实不到位也是制约行业发展的重要因素。政府需要加强对高纯锗行业的政策支持和引导，推动行业绿色转型和可持续发展。</w:t>
      </w:r>
    </w:p>
    <w:p w14:paraId="53BCBE8B">
      <w:pPr>
        <w:spacing w:line="360" w:lineRule="auto"/>
        <w:ind w:firstLine="480" w:firstLineChars="200"/>
      </w:pPr>
      <w:r>
        <w:rPr>
          <w:rFonts w:hint="eastAsia"/>
          <w:sz w:val="24"/>
        </w:rPr>
        <w:t>高纯锗行业将继续朝着绿色、环保、可持续的方向发展。随着技术的不断进步和政策的不断完善，行业绿色转型的障碍将逐渐消除，行业将迎来更加广阔的发展空间和机遇。</w:t>
      </w:r>
      <w:r>
        <w:br w:type="page"/>
      </w:r>
    </w:p>
    <w:p w14:paraId="54D7D4E8">
      <w:pPr>
        <w:spacing w:line="360" w:lineRule="auto"/>
        <w:ind w:firstLine="400" w:firstLineChars="200"/>
      </w:pPr>
      <w:r>
        <w:rPr>
          <w:rFonts w:hint="eastAsia" w:ascii="微软雅黑" w:hAnsi="微软雅黑" w:eastAsia="微软雅黑" w:cs="微软雅黑"/>
          <w:b/>
          <w:bCs/>
          <w:color w:val="A6A6A6" w:themeColor="background1" w:themeShade="A6"/>
          <w:sz w:val="20"/>
          <w:szCs w:val="20"/>
          <w:lang w:eastAsia="zh-CN"/>
        </w:rPr>
        <w:drawing>
          <wp:anchor distT="0" distB="0" distL="114300" distR="114300" simplePos="0" relativeHeight="251661312" behindDoc="1" locked="0" layoutInCell="1" allowOverlap="1">
            <wp:simplePos x="0" y="0"/>
            <wp:positionH relativeFrom="column">
              <wp:posOffset>-1143000</wp:posOffset>
            </wp:positionH>
            <wp:positionV relativeFrom="paragraph">
              <wp:posOffset>2849880</wp:posOffset>
            </wp:positionV>
            <wp:extent cx="7557770" cy="3208655"/>
            <wp:effectExtent l="0" t="0" r="5080" b="10795"/>
            <wp:wrapThrough wrapText="bothSides">
              <wp:wrapPolygon>
                <wp:start x="0" y="0"/>
                <wp:lineTo x="0" y="15774"/>
                <wp:lineTo x="3593" y="16415"/>
                <wp:lineTo x="3593" y="21416"/>
                <wp:lineTo x="17967" y="21416"/>
                <wp:lineTo x="17967" y="16415"/>
                <wp:lineTo x="21560" y="15774"/>
                <wp:lineTo x="21560" y="0"/>
                <wp:lineTo x="0" y="0"/>
              </wp:wrapPolygon>
            </wp:wrapThrough>
            <wp:docPr id="18" name="图片 18" descr="C:/Users/1/Downloads/91材料-行情月报结尾图-活码.png91材料-行情月报结尾图-活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C:/Users/1/Downloads/91材料-行情月报结尾图-活码.png91材料-行情月报结尾图-活码"/>
                    <pic:cNvPicPr>
                      <a:picLocks noChangeAspect="1"/>
                    </pic:cNvPicPr>
                  </pic:nvPicPr>
                  <pic:blipFill>
                    <a:blip r:embed="rId11"/>
                    <a:srcRect t="4" b="4"/>
                    <a:stretch>
                      <a:fillRect/>
                    </a:stretch>
                  </pic:blipFill>
                  <pic:spPr>
                    <a:xfrm>
                      <a:off x="0" y="0"/>
                      <a:ext cx="7557770" cy="3208655"/>
                    </a:xfrm>
                    <a:prstGeom prst="rect">
                      <a:avLst/>
                    </a:prstGeom>
                  </pic:spPr>
                </pic:pic>
              </a:graphicData>
            </a:graphic>
          </wp:anchor>
        </w:drawing>
      </w:r>
      <w:r>
        <w:br w:type="page"/>
      </w:r>
    </w:p>
    <w:p w14:paraId="053588A4">
      <w:pPr>
        <w:pStyle w:val="2"/>
        <w:spacing w:before="0" w:line="288" w:lineRule="auto"/>
      </w:pPr>
      <w:bookmarkStart w:id="34" w:name="_Toc46680736"/>
      <w:r>
        <w:rPr>
          <w:rFonts w:hint="eastAsia"/>
          <w:color w:val="F85025"/>
          <w:sz w:val="42"/>
        </w:rPr>
        <w:t>附录</w:t>
      </w:r>
      <w:bookmarkEnd w:id="34"/>
    </w:p>
    <w:p w14:paraId="19AB644A">
      <w:pPr>
        <w:spacing w:line="360" w:lineRule="auto"/>
      </w:pPr>
      <w:r>
        <w:rPr>
          <w:rFonts w:hint="eastAsia"/>
          <w:sz w:val="24"/>
        </w:rPr>
        <w:t>表1 二极管及类似半导体器件出口量（全国） 数据来源：中经数据CEIdata</w:t>
      </w:r>
    </w:p>
    <w:p w14:paraId="35E5E394">
      <w:pPr>
        <w:spacing w:line="360" w:lineRule="auto"/>
      </w:pPr>
      <w:r>
        <w:rPr>
          <w:rFonts w:hint="eastAsia"/>
          <w:sz w:val="24"/>
        </w:rPr>
        <w:t>图1 二极管及类似半导体器件出口量（全国） 数据来源：中经数据CEIdata</w:t>
      </w:r>
    </w:p>
    <w:p w14:paraId="7B361566">
      <w:pPr>
        <w:spacing w:line="360" w:lineRule="auto"/>
      </w:pPr>
      <w:r>
        <w:rPr>
          <w:rFonts w:hint="eastAsia"/>
          <w:sz w:val="24"/>
        </w:rPr>
        <w:t>表2 高纯锗行业进入壁垒分析 数据来源:</w:t>
      </w:r>
      <w:r>
        <w:rPr>
          <w:rFonts w:hint="eastAsia"/>
          <w:sz w:val="24"/>
          <w:lang w:eastAsia="zh-CN"/>
        </w:rPr>
        <w:t>网络</w:t>
      </w:r>
      <w:r>
        <w:rPr>
          <w:rFonts w:hint="eastAsia"/>
          <w:sz w:val="24"/>
        </w:rPr>
        <w:t>搜索</w:t>
      </w:r>
    </w:p>
    <w:p w14:paraId="334BE407">
      <w:pPr>
        <w:spacing w:line="360" w:lineRule="auto"/>
      </w:pPr>
      <w:r>
        <w:rPr>
          <w:rFonts w:hint="eastAsia"/>
          <w:sz w:val="24"/>
        </w:rPr>
        <w:t>表3 高纯锗行业主要技术及应用领域案例 数据来源:</w:t>
      </w:r>
      <w:r>
        <w:rPr>
          <w:rFonts w:hint="eastAsia"/>
          <w:sz w:val="24"/>
          <w:lang w:eastAsia="zh-CN"/>
        </w:rPr>
        <w:t>网络</w:t>
      </w:r>
      <w:r>
        <w:rPr>
          <w:rFonts w:hint="eastAsia"/>
          <w:sz w:val="24"/>
        </w:rPr>
        <w:t>搜索</w:t>
      </w:r>
    </w:p>
    <w:p w14:paraId="0C365464">
      <w:pPr>
        <w:spacing w:line="360" w:lineRule="auto"/>
      </w:pPr>
      <w:r>
        <w:rPr>
          <w:rFonts w:hint="eastAsia"/>
          <w:sz w:val="24"/>
        </w:rPr>
        <w:t>表4 全国研发费用_信息安全行业 数据来源：中经数据CEIdata</w:t>
      </w:r>
    </w:p>
    <w:p w14:paraId="22489D46">
      <w:pPr>
        <w:spacing w:line="360" w:lineRule="auto"/>
      </w:pPr>
      <w:r>
        <w:rPr>
          <w:rFonts w:hint="eastAsia"/>
          <w:sz w:val="24"/>
        </w:rPr>
        <w:t>图2 全国研发费用_信息安全行业 数据来源：中经数据CEIdata</w:t>
      </w:r>
    </w:p>
    <w:p w14:paraId="11853E9F">
      <w:pPr>
        <w:spacing w:line="360" w:lineRule="auto"/>
      </w:pPr>
      <w:r>
        <w:rPr>
          <w:rFonts w:hint="eastAsia"/>
          <w:sz w:val="24"/>
        </w:rPr>
        <w:t>表5 高纯锗行业相关信息 数据来源:</w:t>
      </w:r>
      <w:r>
        <w:rPr>
          <w:rFonts w:hint="eastAsia"/>
          <w:sz w:val="24"/>
          <w:lang w:eastAsia="zh-CN"/>
        </w:rPr>
        <w:t>网络</w:t>
      </w:r>
      <w:r>
        <w:rPr>
          <w:rFonts w:hint="eastAsia"/>
          <w:sz w:val="24"/>
        </w:rPr>
        <w:t>搜索</w:t>
      </w:r>
    </w:p>
    <w:sectPr>
      <w:pgSz w:w="11895" w:h="16830"/>
      <w:pgMar w:top="1440" w:right="1800" w:bottom="1440" w:left="1800" w:header="855" w:footer="99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5000" w:type="pct"/>
      <w:tblInd w:w="0" w:type="dxa"/>
      <w:tblLayout w:type="autofit"/>
      <w:tblCellMar>
        <w:top w:w="0" w:type="dxa"/>
        <w:left w:w="108" w:type="dxa"/>
        <w:bottom w:w="0" w:type="dxa"/>
        <w:right w:w="108" w:type="dxa"/>
      </w:tblCellMar>
    </w:tblPr>
    <w:tblGrid>
      <w:gridCol w:w="10068"/>
      <w:gridCol w:w="618"/>
    </w:tblGrid>
    <w:tr w14:paraId="1A2FB063">
      <w:tblPrEx>
        <w:tblCellMar>
          <w:top w:w="0" w:type="dxa"/>
          <w:left w:w="108" w:type="dxa"/>
          <w:bottom w:w="0" w:type="dxa"/>
          <w:right w:w="108" w:type="dxa"/>
        </w:tblCellMar>
      </w:tblPrEx>
      <w:tc>
        <w:tcPr>
          <w:tcW w:w="10068" w:type="dxa"/>
        </w:tcPr>
        <w:p w14:paraId="16BF5E7A">
          <w:pPr>
            <w:spacing w:before="400"/>
            <w:rPr>
              <w:rFonts w:hint="default" w:eastAsiaTheme="minorEastAsia"/>
              <w:lang w:val="en-US" w:eastAsia="zh-CN"/>
            </w:rPr>
          </w:pPr>
          <w:r>
            <w:rPr>
              <w:rFonts w:hint="eastAsia"/>
              <w:sz w:val="20"/>
              <w:lang w:val="en-US" w:eastAsia="zh-CN"/>
            </w:rPr>
            <w:t xml:space="preserve">** </w:t>
          </w:r>
          <w:r>
            <w:rPr>
              <w:sz w:val="20"/>
            </w:rPr>
            <w:t>全球</w:t>
          </w:r>
          <w:r>
            <w:rPr>
              <w:rFonts w:hint="eastAsia"/>
              <w:sz w:val="20"/>
              <w:lang w:eastAsia="zh-CN"/>
            </w:rPr>
            <w:t>及国产</w:t>
          </w:r>
          <w:r>
            <w:rPr>
              <w:sz w:val="20"/>
            </w:rPr>
            <w:t>高纯</w:t>
          </w:r>
          <w:r>
            <w:rPr>
              <w:rFonts w:hint="eastAsia"/>
              <w:sz w:val="20"/>
              <w:lang w:val="en-US" w:eastAsia="zh-CN"/>
            </w:rPr>
            <w:t>锗</w:t>
          </w:r>
          <w:r>
            <w:rPr>
              <w:rFonts w:hint="eastAsia"/>
              <w:sz w:val="20"/>
            </w:rPr>
            <w:t>行业前景应用规模与发展趋势预测报告</w:t>
          </w:r>
          <w:r>
            <w:rPr>
              <w:rFonts w:hint="eastAsia"/>
              <w:sz w:val="20"/>
              <w:lang w:val="en-US" w:eastAsia="zh-CN"/>
            </w:rPr>
            <w:t xml:space="preserve"> </w:t>
          </w:r>
          <w:bookmarkStart w:id="35" w:name="OLE_LINK1"/>
          <w:r>
            <w:rPr>
              <w:rFonts w:hint="eastAsia"/>
              <w:sz w:val="20"/>
              <w:lang w:val="en-US" w:eastAsia="zh-CN"/>
            </w:rPr>
            <w:t>**</w:t>
          </w:r>
          <w:bookmarkEnd w:id="35"/>
        </w:p>
      </w:tc>
      <w:tc>
        <w:tcPr>
          <w:tcW w:w="618" w:type="dxa"/>
        </w:tcPr>
        <w:p w14:paraId="4A8A86DF">
          <w:pPr>
            <w:spacing w:before="400"/>
            <w:jc w:val="right"/>
          </w:pPr>
          <w:r>
            <w:fldChar w:fldCharType="begin"/>
          </w:r>
          <w:r>
            <w:instrText xml:space="preserve">PAGE \* MERGEFORMAT</w:instrText>
          </w:r>
          <w:r>
            <w:fldChar w:fldCharType="separate"/>
          </w:r>
          <w:r>
            <w:t>1</w:t>
          </w:r>
          <w:r>
            <w:fldChar w:fldCharType="end"/>
          </w:r>
        </w:p>
      </w:tc>
    </w:tr>
  </w:tbl>
  <w:p w14:paraId="28A49E6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F3B54E">
    <w:pPr>
      <w:spacing w:line="400" w:lineRule="auto"/>
      <w:textAlignment w:val="center"/>
    </w:pPr>
    <w:r>
      <w:drawing>
        <wp:anchor distT="0" distB="0" distL="114300" distR="114300" simplePos="0" relativeHeight="251660288" behindDoc="1" locked="0" layoutInCell="1" allowOverlap="1">
          <wp:simplePos x="0" y="0"/>
          <wp:positionH relativeFrom="column">
            <wp:posOffset>-459105</wp:posOffset>
          </wp:positionH>
          <wp:positionV relativeFrom="paragraph">
            <wp:posOffset>-532765</wp:posOffset>
          </wp:positionV>
          <wp:extent cx="7545705" cy="10673080"/>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
                  <a:stretch>
                    <a:fillRect/>
                  </a:stretch>
                </pic:blipFill>
                <pic:spPr>
                  <a:xfrm>
                    <a:off x="0" y="0"/>
                    <a:ext cx="7545499" cy="10673255"/>
                  </a:xfrm>
                  <a:prstGeom prst="rect">
                    <a:avLst/>
                  </a:prstGeom>
                </pic:spPr>
              </pic:pic>
            </a:graphicData>
          </a:graphic>
        </wp:anchor>
      </w:drawing>
    </w:r>
    <w:r>
      <w:drawing>
        <wp:inline distT="0" distB="0" distL="0" distR="0">
          <wp:extent cx="206375" cy="20637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2"/>
                  <a:stretch>
                    <a:fillRect/>
                  </a:stretch>
                </pic:blipFill>
                <pic:spPr>
                  <a:xfrm>
                    <a:off x="0" y="0"/>
                    <a:ext cx="206673" cy="206673"/>
                  </a:xfrm>
                  <a:prstGeom prst="rect">
                    <a:avLst/>
                  </a:prstGeom>
                </pic:spPr>
              </pic:pic>
            </a:graphicData>
          </a:graphic>
        </wp:inline>
      </w:drawing>
    </w:r>
    <w:r>
      <w:rPr>
        <w:sz w:val="20"/>
      </w:rPr>
      <w:tab/>
    </w:r>
    <w:r>
      <w:rPr>
        <w:rFonts w:hint="eastAsia" w:eastAsiaTheme="minorEastAsia"/>
        <w:lang w:eastAsia="zh-CN"/>
      </w:rPr>
      <w:drawing>
        <wp:inline distT="0" distB="0" distL="114300" distR="114300">
          <wp:extent cx="916305" cy="247650"/>
          <wp:effectExtent l="0" t="0" r="17145" b="0"/>
          <wp:docPr id="4" name="图片 4" descr="91材料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91材料logo"/>
                  <pic:cNvPicPr>
                    <a:picLocks noChangeAspect="1"/>
                  </pic:cNvPicPr>
                </pic:nvPicPr>
                <pic:blipFill>
                  <a:blip r:embed="rId3"/>
                  <a:stretch>
                    <a:fillRect/>
                  </a:stretch>
                </pic:blipFill>
                <pic:spPr>
                  <a:xfrm>
                    <a:off x="0" y="0"/>
                    <a:ext cx="916305" cy="247650"/>
                  </a:xfrm>
                  <a:prstGeom prst="rect">
                    <a:avLst/>
                  </a:prstGeom>
                </pic:spPr>
              </pic:pic>
            </a:graphicData>
          </a:graphic>
        </wp:inline>
      </w:drawing>
    </w:r>
    <w:r>
      <w:rPr>
        <w:rFonts w:hint="eastAsia"/>
        <w:lang w:val="en-US" w:eastAsia="zh-CN"/>
      </w:rPr>
      <w:t>高纯材料</w:t>
    </w:r>
    <w:r>
      <w:rPr>
        <w:sz w:val="20"/>
      </w:rPr>
      <w:t>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balanceSingleByteDoubleByteWidth/>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RlMGNhYTBmMTAyMjQwZjI0ODc5YzljYWUwNzM5MWMifQ=="/>
  </w:docVars>
  <w:rsids>
    <w:rsidRoot w:val="006C231C"/>
    <w:rsid w:val="000C5F2B"/>
    <w:rsid w:val="001E01B5"/>
    <w:rsid w:val="006C231C"/>
    <w:rsid w:val="1E894334"/>
    <w:rsid w:val="1F64671D"/>
    <w:rsid w:val="4F446E7E"/>
    <w:rsid w:val="7F3C7B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0" w:line="240" w:lineRule="auto"/>
      <w:jc w:val="both"/>
    </w:pPr>
    <w:rPr>
      <w:rFonts w:asciiTheme="minorHAnsi" w:hAnsiTheme="minorHAnsi" w:eastAsiaTheme="minorEastAsia" w:cstheme="minorBidi"/>
      <w:sz w:val="22"/>
      <w:szCs w:val="22"/>
      <w:lang w:val="en-US" w:eastAsia="en-US" w:bidi="ar-SA"/>
    </w:rPr>
  </w:style>
  <w:style w:type="paragraph" w:styleId="2">
    <w:name w:val="heading 1"/>
    <w:basedOn w:val="1"/>
    <w:next w:val="1"/>
    <w:link w:val="27"/>
    <w:qFormat/>
    <w:uiPriority w:val="9"/>
    <w:pPr>
      <w:keepNext/>
      <w:keepLines/>
      <w:spacing w:before="480"/>
      <w:outlineLvl w:val="0"/>
    </w:pPr>
    <w:rPr>
      <w:rFonts w:asciiTheme="majorHAnsi" w:hAnsiTheme="majorHAnsi" w:eastAsiaTheme="majorEastAsia" w:cstheme="majorBidi"/>
      <w:b/>
      <w:bCs/>
      <w:color w:val="000000"/>
      <w:sz w:val="28"/>
      <w:szCs w:val="28"/>
    </w:rPr>
  </w:style>
  <w:style w:type="paragraph" w:styleId="3">
    <w:name w:val="heading 2"/>
    <w:basedOn w:val="1"/>
    <w:next w:val="1"/>
    <w:link w:val="28"/>
    <w:unhideWhenUsed/>
    <w:qFormat/>
    <w:uiPriority w:val="9"/>
    <w:pPr>
      <w:keepNext/>
      <w:keepLines/>
      <w:spacing w:before="200"/>
      <w:outlineLvl w:val="1"/>
    </w:pPr>
    <w:rPr>
      <w:rFonts w:asciiTheme="majorHAnsi" w:hAnsiTheme="majorHAnsi" w:eastAsiaTheme="majorEastAsia" w:cstheme="majorBidi"/>
      <w:b/>
      <w:bCs/>
      <w:color w:val="000000"/>
      <w:sz w:val="26"/>
      <w:szCs w:val="26"/>
    </w:rPr>
  </w:style>
  <w:style w:type="paragraph" w:styleId="4">
    <w:name w:val="heading 3"/>
    <w:basedOn w:val="1"/>
    <w:next w:val="1"/>
    <w:link w:val="29"/>
    <w:unhideWhenUsed/>
    <w:qFormat/>
    <w:uiPriority w:val="9"/>
    <w:pPr>
      <w:keepNext/>
      <w:keepLines/>
      <w:spacing w:before="200"/>
      <w:outlineLvl w:val="2"/>
    </w:pPr>
    <w:rPr>
      <w:rFonts w:asciiTheme="majorHAnsi" w:hAnsiTheme="majorHAnsi" w:eastAsiaTheme="majorEastAsia" w:cstheme="majorBidi"/>
      <w:b/>
      <w:bCs/>
      <w:color w:val="000000"/>
    </w:rPr>
  </w:style>
  <w:style w:type="paragraph" w:styleId="5">
    <w:name w:val="heading 4"/>
    <w:basedOn w:val="1"/>
    <w:next w:val="1"/>
    <w:link w:val="30"/>
    <w:unhideWhenUsed/>
    <w:qFormat/>
    <w:uiPriority w:val="9"/>
    <w:pPr>
      <w:keepNext/>
      <w:keepLines/>
      <w:spacing w:before="200"/>
      <w:outlineLvl w:val="3"/>
    </w:pPr>
    <w:rPr>
      <w:rFonts w:asciiTheme="majorHAnsi" w:hAnsiTheme="majorHAnsi" w:eastAsiaTheme="majorEastAsia" w:cstheme="majorBidi"/>
      <w:b/>
      <w:bCs/>
      <w:i/>
      <w:iCs/>
      <w:color w:val="000000"/>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autoRedefine/>
    <w:unhideWhenUsed/>
    <w:qFormat/>
    <w:uiPriority w:val="39"/>
    <w:pPr>
      <w:spacing w:after="100"/>
      <w:ind w:left="1320"/>
    </w:pPr>
  </w:style>
  <w:style w:type="paragraph" w:styleId="7">
    <w:name w:val="Normal Indent"/>
    <w:basedOn w:val="1"/>
    <w:unhideWhenUsed/>
    <w:qFormat/>
    <w:uiPriority w:val="99"/>
    <w:pPr>
      <w:ind w:left="720"/>
    </w:pPr>
  </w:style>
  <w:style w:type="paragraph" w:styleId="8">
    <w:name w:val="caption"/>
    <w:basedOn w:val="1"/>
    <w:next w:val="1"/>
    <w:semiHidden/>
    <w:unhideWhenUsed/>
    <w:qFormat/>
    <w:uiPriority w:val="35"/>
    <w:rPr>
      <w:b/>
      <w:bCs/>
      <w:color w:val="4472C4" w:themeColor="accent1"/>
      <w:sz w:val="18"/>
      <w:szCs w:val="18"/>
      <w14:textFill>
        <w14:solidFill>
          <w14:schemeClr w14:val="accent1"/>
        </w14:solidFill>
      </w14:textFill>
    </w:rPr>
  </w:style>
  <w:style w:type="paragraph" w:styleId="9">
    <w:name w:val="toc 5"/>
    <w:basedOn w:val="1"/>
    <w:next w:val="1"/>
    <w:autoRedefine/>
    <w:unhideWhenUsed/>
    <w:qFormat/>
    <w:uiPriority w:val="39"/>
    <w:pPr>
      <w:spacing w:after="100"/>
      <w:ind w:left="880"/>
    </w:pPr>
  </w:style>
  <w:style w:type="paragraph" w:styleId="10">
    <w:name w:val="toc 3"/>
    <w:basedOn w:val="1"/>
    <w:next w:val="1"/>
    <w:autoRedefine/>
    <w:unhideWhenUsed/>
    <w:qFormat/>
    <w:uiPriority w:val="39"/>
    <w:pPr>
      <w:spacing w:after="100"/>
      <w:ind w:left="440"/>
    </w:pPr>
  </w:style>
  <w:style w:type="paragraph" w:styleId="11">
    <w:name w:val="toc 8"/>
    <w:basedOn w:val="1"/>
    <w:next w:val="1"/>
    <w:autoRedefine/>
    <w:unhideWhenUsed/>
    <w:qFormat/>
    <w:uiPriority w:val="39"/>
    <w:pPr>
      <w:spacing w:after="100"/>
      <w:ind w:left="1540"/>
    </w:pPr>
  </w:style>
  <w:style w:type="paragraph" w:styleId="12">
    <w:name w:val="footer"/>
    <w:basedOn w:val="1"/>
    <w:link w:val="34"/>
    <w:unhideWhenUsed/>
    <w:qFormat/>
    <w:uiPriority w:val="99"/>
    <w:pPr>
      <w:tabs>
        <w:tab w:val="center" w:pos="4153"/>
        <w:tab w:val="right" w:pos="8306"/>
      </w:tabs>
      <w:snapToGrid w:val="0"/>
      <w:jc w:val="left"/>
    </w:pPr>
    <w:rPr>
      <w:sz w:val="18"/>
      <w:szCs w:val="18"/>
    </w:rPr>
  </w:style>
  <w:style w:type="paragraph" w:styleId="13">
    <w:name w:val="header"/>
    <w:basedOn w:val="1"/>
    <w:link w:val="26"/>
    <w:unhideWhenUsed/>
    <w:qFormat/>
    <w:uiPriority w:val="99"/>
    <w:pPr>
      <w:tabs>
        <w:tab w:val="center" w:pos="4680"/>
        <w:tab w:val="right" w:pos="9360"/>
      </w:tabs>
    </w:pPr>
  </w:style>
  <w:style w:type="paragraph" w:styleId="14">
    <w:name w:val="toc 1"/>
    <w:basedOn w:val="1"/>
    <w:next w:val="1"/>
    <w:autoRedefine/>
    <w:unhideWhenUsed/>
    <w:qFormat/>
    <w:uiPriority w:val="39"/>
    <w:pPr>
      <w:spacing w:after="100"/>
    </w:pPr>
  </w:style>
  <w:style w:type="paragraph" w:styleId="15">
    <w:name w:val="toc 4"/>
    <w:basedOn w:val="1"/>
    <w:next w:val="1"/>
    <w:autoRedefine/>
    <w:unhideWhenUsed/>
    <w:qFormat/>
    <w:uiPriority w:val="39"/>
    <w:pPr>
      <w:spacing w:after="100"/>
      <w:ind w:left="660"/>
    </w:pPr>
  </w:style>
  <w:style w:type="paragraph" w:styleId="16">
    <w:name w:val="Subtitle"/>
    <w:basedOn w:val="1"/>
    <w:next w:val="1"/>
    <w:link w:val="31"/>
    <w:qFormat/>
    <w:uiPriority w:val="11"/>
    <w:pPr>
      <w:ind w:left="86"/>
    </w:pPr>
    <w:rPr>
      <w:rFonts w:asciiTheme="majorHAnsi" w:hAnsiTheme="majorHAnsi" w:eastAsiaTheme="majorEastAsia" w:cstheme="majorBidi"/>
      <w:i/>
      <w:iCs/>
      <w:color w:val="4472C4" w:themeColor="accent1"/>
      <w:spacing w:val="15"/>
      <w:sz w:val="24"/>
      <w:szCs w:val="24"/>
      <w14:textFill>
        <w14:solidFill>
          <w14:schemeClr w14:val="accent1"/>
        </w14:solidFill>
      </w14:textFill>
    </w:rPr>
  </w:style>
  <w:style w:type="paragraph" w:styleId="17">
    <w:name w:val="toc 6"/>
    <w:basedOn w:val="1"/>
    <w:next w:val="1"/>
    <w:autoRedefine/>
    <w:unhideWhenUsed/>
    <w:qFormat/>
    <w:uiPriority w:val="39"/>
    <w:pPr>
      <w:spacing w:after="100"/>
      <w:ind w:left="1100"/>
    </w:pPr>
  </w:style>
  <w:style w:type="paragraph" w:styleId="18">
    <w:name w:val="toc 2"/>
    <w:basedOn w:val="1"/>
    <w:next w:val="1"/>
    <w:autoRedefine/>
    <w:unhideWhenUsed/>
    <w:qFormat/>
    <w:uiPriority w:val="39"/>
    <w:pPr>
      <w:spacing w:after="100"/>
      <w:ind w:left="220"/>
    </w:pPr>
  </w:style>
  <w:style w:type="paragraph" w:styleId="19">
    <w:name w:val="toc 9"/>
    <w:basedOn w:val="1"/>
    <w:next w:val="1"/>
    <w:autoRedefine/>
    <w:unhideWhenUsed/>
    <w:qFormat/>
    <w:uiPriority w:val="39"/>
    <w:pPr>
      <w:spacing w:after="100"/>
      <w:ind w:left="1760"/>
    </w:pPr>
  </w:style>
  <w:style w:type="paragraph" w:styleId="20">
    <w:name w:val="Title"/>
    <w:basedOn w:val="1"/>
    <w:next w:val="1"/>
    <w:link w:val="32"/>
    <w:qFormat/>
    <w:uiPriority w:val="10"/>
    <w:pPr>
      <w:pBdr>
        <w:bottom w:val="single" w:color="4472C4" w:themeColor="accent1" w:sz="8" w:space="4"/>
      </w:pBdr>
      <w:spacing w:after="300"/>
      <w:contextualSpacing/>
    </w:pPr>
    <w:rPr>
      <w:rFonts w:asciiTheme="majorHAnsi" w:hAnsiTheme="majorHAnsi" w:eastAsiaTheme="majorEastAsia" w:cstheme="majorBidi"/>
      <w:color w:val="333F50" w:themeColor="text2" w:themeShade="BF"/>
      <w:spacing w:val="5"/>
      <w:kern w:val="28"/>
      <w:sz w:val="52"/>
      <w:szCs w:val="52"/>
    </w:rPr>
  </w:style>
  <w:style w:type="table" w:styleId="22">
    <w:name w:val="Table Grid"/>
    <w:basedOn w:val="21"/>
    <w:qFormat/>
    <w:uiPriority w:val="5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24">
    <w:name w:val="Emphasis"/>
    <w:basedOn w:val="23"/>
    <w:qFormat/>
    <w:uiPriority w:val="20"/>
    <w:rPr>
      <w:i/>
      <w:iCs/>
    </w:rPr>
  </w:style>
  <w:style w:type="character" w:styleId="25">
    <w:name w:val="Hyperlink"/>
    <w:unhideWhenUsed/>
    <w:qFormat/>
    <w:uiPriority w:val="99"/>
    <w:rPr>
      <w:color w:val="0563C1" w:themeColor="hyperlink"/>
      <w:u w:val="single"/>
      <w14:textFill>
        <w14:solidFill>
          <w14:schemeClr w14:val="hlink"/>
        </w14:solidFill>
      </w14:textFill>
    </w:rPr>
  </w:style>
  <w:style w:type="character" w:customStyle="1" w:styleId="26">
    <w:name w:val="页眉 字符"/>
    <w:basedOn w:val="23"/>
    <w:link w:val="13"/>
    <w:qFormat/>
    <w:uiPriority w:val="99"/>
  </w:style>
  <w:style w:type="character" w:customStyle="1" w:styleId="27">
    <w:name w:val="标题 1 字符"/>
    <w:basedOn w:val="23"/>
    <w:link w:val="2"/>
    <w:qFormat/>
    <w:uiPriority w:val="9"/>
    <w:rPr>
      <w:rFonts w:asciiTheme="majorHAnsi" w:hAnsiTheme="majorHAnsi" w:eastAsiaTheme="majorEastAsia" w:cstheme="majorBidi"/>
      <w:b/>
      <w:bCs/>
      <w:color w:val="2F5597" w:themeColor="accent1" w:themeShade="BF"/>
      <w:sz w:val="28"/>
      <w:szCs w:val="28"/>
    </w:rPr>
  </w:style>
  <w:style w:type="character" w:customStyle="1" w:styleId="28">
    <w:name w:val="标题 2 字符"/>
    <w:basedOn w:val="23"/>
    <w:link w:val="3"/>
    <w:qFormat/>
    <w:uiPriority w:val="9"/>
    <w:rPr>
      <w:rFonts w:asciiTheme="majorHAnsi" w:hAnsiTheme="majorHAnsi" w:eastAsiaTheme="majorEastAsia" w:cstheme="majorBidi"/>
      <w:b/>
      <w:bCs/>
      <w:color w:val="4472C4" w:themeColor="accent1"/>
      <w:sz w:val="26"/>
      <w:szCs w:val="26"/>
      <w14:textFill>
        <w14:solidFill>
          <w14:schemeClr w14:val="accent1"/>
        </w14:solidFill>
      </w14:textFill>
    </w:rPr>
  </w:style>
  <w:style w:type="character" w:customStyle="1" w:styleId="29">
    <w:name w:val="标题 3 字符"/>
    <w:basedOn w:val="23"/>
    <w:link w:val="4"/>
    <w:qFormat/>
    <w:uiPriority w:val="9"/>
    <w:rPr>
      <w:rFonts w:asciiTheme="majorHAnsi" w:hAnsiTheme="majorHAnsi" w:eastAsiaTheme="majorEastAsia" w:cstheme="majorBidi"/>
      <w:b/>
      <w:bCs/>
      <w:color w:val="4472C4" w:themeColor="accent1"/>
      <w14:textFill>
        <w14:solidFill>
          <w14:schemeClr w14:val="accent1"/>
        </w14:solidFill>
      </w14:textFill>
    </w:rPr>
  </w:style>
  <w:style w:type="character" w:customStyle="1" w:styleId="30">
    <w:name w:val="标题 4 字符"/>
    <w:basedOn w:val="23"/>
    <w:link w:val="5"/>
    <w:qFormat/>
    <w:uiPriority w:val="9"/>
    <w:rPr>
      <w:rFonts w:asciiTheme="majorHAnsi" w:hAnsiTheme="majorHAnsi" w:eastAsiaTheme="majorEastAsia" w:cstheme="majorBidi"/>
      <w:b/>
      <w:bCs/>
      <w:i/>
      <w:iCs/>
      <w:color w:val="4472C4" w:themeColor="accent1"/>
      <w14:textFill>
        <w14:solidFill>
          <w14:schemeClr w14:val="accent1"/>
        </w14:solidFill>
      </w14:textFill>
    </w:rPr>
  </w:style>
  <w:style w:type="character" w:customStyle="1" w:styleId="31">
    <w:name w:val="副标题 字符"/>
    <w:basedOn w:val="23"/>
    <w:link w:val="16"/>
    <w:qFormat/>
    <w:uiPriority w:val="11"/>
    <w:rPr>
      <w:rFonts w:asciiTheme="majorHAnsi" w:hAnsiTheme="majorHAnsi" w:eastAsiaTheme="majorEastAsia" w:cstheme="majorBidi"/>
      <w:i/>
      <w:iCs/>
      <w:color w:val="4472C4" w:themeColor="accent1"/>
      <w:spacing w:val="15"/>
      <w:sz w:val="24"/>
      <w:szCs w:val="24"/>
      <w14:textFill>
        <w14:solidFill>
          <w14:schemeClr w14:val="accent1"/>
        </w14:solidFill>
      </w14:textFill>
    </w:rPr>
  </w:style>
  <w:style w:type="character" w:customStyle="1" w:styleId="32">
    <w:name w:val="标题 字符"/>
    <w:basedOn w:val="23"/>
    <w:link w:val="20"/>
    <w:qFormat/>
    <w:uiPriority w:val="10"/>
    <w:rPr>
      <w:rFonts w:asciiTheme="majorHAnsi" w:hAnsiTheme="majorHAnsi" w:eastAsiaTheme="majorEastAsia" w:cstheme="majorBidi"/>
      <w:color w:val="333F50" w:themeColor="text2" w:themeShade="BF"/>
      <w:spacing w:val="5"/>
      <w:kern w:val="28"/>
      <w:sz w:val="52"/>
      <w:szCs w:val="52"/>
    </w:rPr>
  </w:style>
  <w:style w:type="paragraph" w:customStyle="1" w:styleId="33">
    <w:name w:val="TOC Heading"/>
    <w:semiHidden/>
    <w:unhideWhenUsed/>
    <w:qFormat/>
    <w:uiPriority w:val="39"/>
    <w:pPr>
      <w:keepNext/>
      <w:keepLines/>
      <w:spacing w:before="480" w:after="0" w:line="276" w:lineRule="auto"/>
    </w:pPr>
    <w:rPr>
      <w:rFonts w:asciiTheme="majorHAnsi" w:hAnsiTheme="majorHAnsi" w:eastAsiaTheme="majorEastAsia" w:cstheme="majorBidi"/>
      <w:b/>
      <w:bCs/>
      <w:color w:val="2F5597" w:themeColor="accent1" w:themeShade="BF"/>
      <w:sz w:val="28"/>
      <w:szCs w:val="28"/>
      <w:lang w:val="en-US" w:eastAsia="en-US" w:bidi="ar-SA"/>
    </w:rPr>
  </w:style>
  <w:style w:type="character" w:customStyle="1" w:styleId="34">
    <w:name w:val="页脚 字符"/>
    <w:basedOn w:val="23"/>
    <w:link w:val="12"/>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16440</Words>
  <Characters>16657</Characters>
  <Lines>137</Lines>
  <Paragraphs>38</Paragraphs>
  <TotalTime>6</TotalTime>
  <ScaleCrop>false</ScaleCrop>
  <LinksUpToDate>false</LinksUpToDate>
  <CharactersWithSpaces>16781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2024-10-15T01:21:00Z</dcterms:created>
  <dc:creator>Windows 用户</dc:creator>
  <cp:lastModifiedBy>知豆</cp:lastModifiedBy>
  <dcterms:modified xsi:type="dcterms:W3CDTF">2024-10-15T07:26:46Z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1C73BC77A6374B7282919CEBE68DBE57_12</vt:lpwstr>
  </property>
</Properties>
</file>