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ectPr>
          <w:headerReference r:id="rId5" w:type="firs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  <w:bookmarkStart w:id="14" w:name="_GoBack"/>
      <w:bookmarkEnd w:id="14"/>
      <w:bookmarkStart w:id="0" w:name="_Toc481801204"/>
      <w:bookmarkStart w:id="1" w:name="OLE_LINK24"/>
      <w:bookmarkStart w:id="2" w:name="_Toc453597319"/>
      <w:bookmarkStart w:id="3" w:name="OLE_LINK39"/>
      <w:bookmarkStart w:id="4" w:name="_Toc415818939"/>
      <w:bookmarkStart w:id="5" w:name="_Toc418070112"/>
      <w:bookmarkStart w:id="6" w:name="_Hlk23501351"/>
      <w:bookmarkStart w:id="7" w:name="OLE_LINK15"/>
      <w:bookmarkStart w:id="8" w:name="_Toc438987549"/>
      <w:bookmarkStart w:id="9" w:name="OLE_LINK40"/>
      <w:bookmarkStart w:id="10" w:name="_Toc415142861"/>
      <w:bookmarkStart w:id="11" w:name="OLE_LINK13"/>
      <w:bookmarkStart w:id="12" w:name="_Toc415143481"/>
      <w:bookmarkStart w:id="13" w:name="_Toc517262917"/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-172720</wp:posOffset>
                </wp:positionH>
                <wp:positionV relativeFrom="paragraph">
                  <wp:posOffset>1339850</wp:posOffset>
                </wp:positionV>
                <wp:extent cx="6352540" cy="2647315"/>
                <wp:effectExtent l="0" t="0" r="10160" b="635"/>
                <wp:wrapNone/>
                <wp:docPr id="56" name="文本框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51635" y="2068195"/>
                          <a:ext cx="6352540" cy="26473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widowControl/>
                              <w:topLinePunct w:val="0"/>
                              <w:spacing w:after="0"/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市场趋势-预计2029年全球浮式储存和再气化装置市场规模将达到24.5亿美元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3.6pt;margin-top:105.5pt;height:208.45pt;width:500.2pt;z-index:251661312;mso-width-relative:page;mso-height-relative:page;" fillcolor="#FFFFFF [3201]" filled="t" stroked="f" coordsize="21600,21600" o:gfxdata="UEsDBAoAAAAAAIdO4kAAAAAAAAAAAAAAAAAEAAAAZHJzL1BLAwQUAAAACACHTuJAo0OZXNYAAAAL&#10;AQAADwAAAGRycy9kb3ducmV2LnhtbE2Py07DMBBF90j8gzVI7FrHBjU0xOkCiS0Sfa3d2MQR9jiy&#10;3efXM6xgOTNHd85tV5fg2cmmPEZUIOYVMIt9NCMOCrab99kLsFw0Gu0jWgVXm2HV3d+1ujHxjJ/2&#10;tC4DoxDMjVbgSpkaznPvbNB5HieLdPuKKehCYxq4SfpM4cFzWVULHvSI9MHpyb4523+vj0HBfgi3&#10;/U5MyZngn/Hjdt1s46jU44OoXoEVeyl/MPzqkzp05HSIRzSZeQUzWUtCFUghqBQRy/qJNgcFC1kv&#10;gXct/9+h+wFQSwMEFAAAAAgAh07iQBehDGBcAgAAngQAAA4AAABkcnMvZTJvRG9jLnhtbK1UwW7b&#10;MAy9D9g/CLovjtMkbYM6RZYgw4BiLdANOyuyHAuQRE1SYmcfsP1BT7vsvu/qd4ySnbbrduhhOTiU&#10;+EzyPZK+uGy1InvhvART0HwwpEQYDqU024J++rh+c0aJD8yUTIERBT0ITy/nr19dNHYmRlCDKoUj&#10;GMT4WWMLWodgZ1nmeS008wOwwqCzAqdZwKPbZqVjDUbXKhsNh9OsAVdaB1x4j7erzkn7iO4lAaGq&#10;JBcr4DstTOiiOqFYQEq+ltbTeaq2qgQP11XlRSCqoMg0pCcmQXsTn9n8gs22jtla8r4E9pISnnHS&#10;TBpM+hBqxQIjOyf/CqUld+ChCgMOOuuIJEWQRT58ps1tzaxIXFBqbx9E9/8vLP+wv3FElgWdTCkx&#10;TGPH7+++3//4df/zG8E7FKixfoa4W4vI0L6FFsfmeO/xMvJuK6fjPzIi0T+d5NOTCSWHgo6G07P8&#10;fNJJLdpAOALQOZqMsQs8Iqbj05M8IbLHUNb58E6AJtEoqMNeJonZ/soHLAuhR0jM7EHJci2VSge3&#10;3SyVI3uGfV+nX8yPr/wBU4Y0qZZhimwgvt/hlEF4ZN4xjFZoN20vxwbKA6rhoBsob/laYpVXzIcb&#10;5nCCkBnuWLjGR6UAk0BvUVKD+/qv+4jHxqKXkgYnsqD+y445QYl6b7Dl5/k4ChbSYTw5HeHBPfVs&#10;nnrMTi8Byee4zZYnM+KDOpqVA/0ZV3ERs6KLGY65CxqO5jJ0e4KrzMVikUA4tJaFK3NreQwdpTaw&#10;2AWoZGpJlKnTplcPxzbJ3q9Y3Iun54R6/KzMfwN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CjQ5lc&#10;1gAAAAsBAAAPAAAAAAAAAAEAIAAAACIAAABkcnMvZG93bnJldi54bWxQSwECFAAUAAAACACHTuJA&#10;F6EMYFwCAACeBAAADgAAAAAAAAABACAAAAAlAQAAZHJzL2Uyb0RvYy54bWxQSwUGAAAAAAYABgBZ&#10;AQAA8w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widowControl/>
                        <w:topLinePunct w:val="0"/>
                        <w:spacing w:after="0"/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市场趋势-预计2029年全球浮式储存和再气化装置市场规模将达到24.5亿美元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-718185</wp:posOffset>
            </wp:positionH>
            <wp:positionV relativeFrom="paragraph">
              <wp:posOffset>-881380</wp:posOffset>
            </wp:positionV>
            <wp:extent cx="7560310" cy="10690225"/>
            <wp:effectExtent l="0" t="0" r="2540" b="15875"/>
            <wp:wrapNone/>
            <wp:docPr id="3" name="图片 3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协议封面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67"/>
        <w:rPr>
          <w:lang w:eastAsia="zh-CN"/>
        </w:rPr>
      </w:pPr>
      <w:r>
        <w:rPr>
          <w:lang w:eastAsia="zh-CN"/>
        </w:rPr>
        <w:t>浮式储存和再气化装置</w:t>
      </w:r>
      <w:r>
        <w:rPr>
          <w:rFonts w:hint="eastAsia"/>
          <w:lang w:eastAsia="zh-CN"/>
        </w:rPr>
        <w:t>全球市场总体规模</w:t>
      </w:r>
    </w:p>
    <w:p>
      <w:pPr>
        <w:pStyle w:val="145"/>
        <w:rPr>
          <w:lang w:eastAsia="zh-CN"/>
        </w:rPr>
      </w:pPr>
      <w:r>
        <w:rPr>
          <w:lang w:val="en-US" w:eastAsia="zh-CN"/>
        </w:rPr>
        <w:drawing>
          <wp:inline distT="0" distB="0" distL="0" distR="0">
            <wp:extent cx="4876800" cy="1790700"/>
            <wp:effectExtent l="0" t="0" r="0" b="0"/>
            <wp:docPr id="134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6" name="图片 4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76800" cy="179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据调研团队最新报告“全球浮式储存和再气化装置市场报告2023-2029”显示，预计2029年全球浮式储存和再气化装置市场规模将达到24.5亿美元，未来几年年复合增长率CAGR为14.8%。</w:t>
      </w:r>
    </w:p>
    <w:p>
      <w:pPr>
        <w:pStyle w:val="148"/>
        <w:rPr>
          <w:lang w:eastAsia="zh-CN"/>
        </w:rPr>
      </w:pPr>
      <w:r>
        <w:rPr>
          <w:lang w:eastAsia="zh-CN"/>
        </w:rPr>
        <w:t>浮式储存和再气化装置</w:t>
      </w:r>
      <w:r>
        <w:rPr>
          <w:rFonts w:hint="eastAsia"/>
          <w:lang w:eastAsia="zh-CN"/>
        </w:rPr>
        <w:t>，全球市场总体规模，预计2</w:t>
      </w:r>
      <w:r>
        <w:rPr>
          <w:lang w:eastAsia="zh-CN"/>
        </w:rPr>
        <w:t>029</w:t>
      </w:r>
      <w:r>
        <w:rPr>
          <w:rFonts w:hint="eastAsia"/>
          <w:lang w:eastAsia="zh-CN"/>
        </w:rPr>
        <w:t>年达到</w:t>
      </w:r>
      <w:r>
        <w:rPr>
          <w:lang w:eastAsia="zh-CN"/>
        </w:rPr>
        <w:t>24.5</w:t>
      </w:r>
      <w:r>
        <w:rPr>
          <w:rFonts w:hint="eastAsia"/>
          <w:lang w:eastAsia="zh-CN"/>
        </w:rPr>
        <w:t>亿美元</w:t>
      </w:r>
    </w:p>
    <w:p>
      <w:pPr>
        <w:pStyle w:val="145"/>
      </w:pPr>
      <w:r>
        <w:drawing>
          <wp:inline distT="0" distB="0" distL="0" distR="0">
            <wp:extent cx="6188710" cy="2886710"/>
            <wp:effectExtent l="0" t="0" r="2540" b="46990"/>
            <wp:docPr id="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浮式储存和再气化装置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浮式储存和再气化装置</w:t>
      </w:r>
      <w:r>
        <w:rPr>
          <w:rFonts w:hint="eastAsia"/>
          <w:lang w:eastAsia="zh-CN"/>
        </w:rPr>
        <w:t>市场前</w:t>
      </w:r>
      <w:r>
        <w:rPr>
          <w:lang w:eastAsia="zh-CN"/>
        </w:rPr>
        <w:t>6</w:t>
      </w:r>
      <w:r>
        <w:rPr>
          <w:rFonts w:hint="eastAsia"/>
          <w:lang w:eastAsia="zh-CN"/>
        </w:rPr>
        <w:t>强生产商排名及市场占有率（2</w:t>
      </w:r>
      <w:r>
        <w:rPr>
          <w:lang w:eastAsia="zh-CN"/>
        </w:rPr>
        <w:t>021</w:t>
      </w:r>
      <w:r>
        <w:rPr>
          <w:rFonts w:hint="eastAsia"/>
          <w:lang w:eastAsia="zh-CN"/>
        </w:rPr>
        <w:t>数据，持续更新）</w:t>
      </w:r>
    </w:p>
    <w:p>
      <w:pPr>
        <w:pStyle w:val="145"/>
        <w:jc w:val="center"/>
      </w:pPr>
      <w:r>
        <w:drawing>
          <wp:inline distT="0" distB="0" distL="0" distR="0">
            <wp:extent cx="4572000" cy="4399915"/>
            <wp:effectExtent l="0" t="0" r="0" b="635"/>
            <wp:docPr id="2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浮式储存和再气化装置</w:t>
      </w:r>
      <w:r>
        <w:rPr>
          <w:rFonts w:hint="eastAsia"/>
          <w:lang w:eastAsia="zh-CN"/>
        </w:rPr>
        <w:t>市场研究报告2023-2029中的2</w:t>
      </w:r>
      <w:r>
        <w:rPr>
          <w:lang w:eastAsia="zh-CN"/>
        </w:rPr>
        <w:t>021</w:t>
      </w:r>
      <w:r>
        <w:rPr>
          <w:rFonts w:hint="eastAsia"/>
          <w:lang w:eastAsia="zh-CN"/>
        </w:rPr>
        <w:t>年数据</w:t>
      </w:r>
      <w:r>
        <w:rPr>
          <w:lang w:eastAsia="zh-CN"/>
        </w:rPr>
        <w:t>.</w:t>
      </w:r>
    </w:p>
    <w:p>
      <w:pPr>
        <w:pStyle w:val="145"/>
      </w:pPr>
      <w:r>
        <w:rPr>
          <w:rFonts w:hint="eastAsia"/>
          <w:lang w:eastAsia="zh-CN"/>
        </w:rPr>
        <w:t>全球范围内浮式储存和再气化装置生产商主要包括Hoegh LNG、Excelerate Energy LP、Golar LNG、Exmar、BW LPG等。2021年，全球前四大厂商占有大约52.0%的市场份额。</w:t>
      </w:r>
    </w:p>
    <w:p>
      <w:pPr>
        <w:pStyle w:val="145"/>
      </w:pPr>
    </w:p>
    <w:p>
      <w:pPr>
        <w:pStyle w:val="145"/>
        <w:rPr>
          <w:lang w:eastAsia="zh-CN"/>
        </w:rPr>
      </w:pPr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3F13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16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054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9EB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2AD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20C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21E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42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6E4D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4ED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244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17C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51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3BD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01CF1907"/>
    <w:rsid w:val="02A50666"/>
    <w:rsid w:val="02C31E14"/>
    <w:rsid w:val="02E3014B"/>
    <w:rsid w:val="02E76B51"/>
    <w:rsid w:val="03107D15"/>
    <w:rsid w:val="03447D4D"/>
    <w:rsid w:val="039F62FF"/>
    <w:rsid w:val="03EA7678"/>
    <w:rsid w:val="042F016D"/>
    <w:rsid w:val="05405A2B"/>
    <w:rsid w:val="05847419"/>
    <w:rsid w:val="070A2A99"/>
    <w:rsid w:val="07287ACA"/>
    <w:rsid w:val="07531178"/>
    <w:rsid w:val="07CE3ADB"/>
    <w:rsid w:val="07E72487"/>
    <w:rsid w:val="086D0162"/>
    <w:rsid w:val="09B40479"/>
    <w:rsid w:val="0A126294"/>
    <w:rsid w:val="0A413560"/>
    <w:rsid w:val="0A9D03F6"/>
    <w:rsid w:val="0AFE7196"/>
    <w:rsid w:val="0B676BC5"/>
    <w:rsid w:val="0BE3650F"/>
    <w:rsid w:val="0CE12BAF"/>
    <w:rsid w:val="0D126C01"/>
    <w:rsid w:val="0D223618"/>
    <w:rsid w:val="0F231E64"/>
    <w:rsid w:val="0F5116AE"/>
    <w:rsid w:val="0F601CC9"/>
    <w:rsid w:val="105A40DF"/>
    <w:rsid w:val="1087172B"/>
    <w:rsid w:val="10A04854"/>
    <w:rsid w:val="113605CA"/>
    <w:rsid w:val="118A2253"/>
    <w:rsid w:val="121421B7"/>
    <w:rsid w:val="12145A3A"/>
    <w:rsid w:val="12B442BF"/>
    <w:rsid w:val="130030B9"/>
    <w:rsid w:val="132135EE"/>
    <w:rsid w:val="140C22F2"/>
    <w:rsid w:val="14DF00CB"/>
    <w:rsid w:val="15391A5F"/>
    <w:rsid w:val="161C3356"/>
    <w:rsid w:val="161D5555"/>
    <w:rsid w:val="166C0B57"/>
    <w:rsid w:val="16722A60"/>
    <w:rsid w:val="170809D5"/>
    <w:rsid w:val="171325EA"/>
    <w:rsid w:val="17263809"/>
    <w:rsid w:val="175355D1"/>
    <w:rsid w:val="18147C0E"/>
    <w:rsid w:val="182A5635"/>
    <w:rsid w:val="184461DF"/>
    <w:rsid w:val="191861B7"/>
    <w:rsid w:val="19D133E7"/>
    <w:rsid w:val="19E67B09"/>
    <w:rsid w:val="1A3A7593"/>
    <w:rsid w:val="1A6900E2"/>
    <w:rsid w:val="1B073464"/>
    <w:rsid w:val="1B2C5C22"/>
    <w:rsid w:val="1B415BC7"/>
    <w:rsid w:val="1B6E410D"/>
    <w:rsid w:val="1C27133D"/>
    <w:rsid w:val="1C492B76"/>
    <w:rsid w:val="1C8D7DE8"/>
    <w:rsid w:val="1CEB48FE"/>
    <w:rsid w:val="1D517B25"/>
    <w:rsid w:val="1DB37BCA"/>
    <w:rsid w:val="1DD1717A"/>
    <w:rsid w:val="1DE17414"/>
    <w:rsid w:val="1E0C0259"/>
    <w:rsid w:val="1E264686"/>
    <w:rsid w:val="1E29560A"/>
    <w:rsid w:val="1EA374D2"/>
    <w:rsid w:val="1F466CDC"/>
    <w:rsid w:val="1F990CE4"/>
    <w:rsid w:val="1FD06C40"/>
    <w:rsid w:val="20404975"/>
    <w:rsid w:val="20664BB5"/>
    <w:rsid w:val="20D506EC"/>
    <w:rsid w:val="20ED3B94"/>
    <w:rsid w:val="214210A0"/>
    <w:rsid w:val="218E591C"/>
    <w:rsid w:val="21C42573"/>
    <w:rsid w:val="22257114"/>
    <w:rsid w:val="229F5759"/>
    <w:rsid w:val="22D20532"/>
    <w:rsid w:val="236D70AB"/>
    <w:rsid w:val="24187544"/>
    <w:rsid w:val="24356AF4"/>
    <w:rsid w:val="243B67FF"/>
    <w:rsid w:val="24816F73"/>
    <w:rsid w:val="248633FB"/>
    <w:rsid w:val="250F7ADC"/>
    <w:rsid w:val="25644FE8"/>
    <w:rsid w:val="256A6EF1"/>
    <w:rsid w:val="256E2074"/>
    <w:rsid w:val="2598673B"/>
    <w:rsid w:val="25B22B68"/>
    <w:rsid w:val="26126405"/>
    <w:rsid w:val="27054714"/>
    <w:rsid w:val="27372964"/>
    <w:rsid w:val="27CC2E58"/>
    <w:rsid w:val="28696559"/>
    <w:rsid w:val="28E41726"/>
    <w:rsid w:val="299E43D8"/>
    <w:rsid w:val="29DC643B"/>
    <w:rsid w:val="29FD43F1"/>
    <w:rsid w:val="2A113092"/>
    <w:rsid w:val="2A5218FD"/>
    <w:rsid w:val="2B5449A3"/>
    <w:rsid w:val="2C06004A"/>
    <w:rsid w:val="2C856399"/>
    <w:rsid w:val="2CE72BBB"/>
    <w:rsid w:val="2D090B71"/>
    <w:rsid w:val="2D9716DA"/>
    <w:rsid w:val="2D9A265E"/>
    <w:rsid w:val="2ED33660"/>
    <w:rsid w:val="2EF9001C"/>
    <w:rsid w:val="2F107C41"/>
    <w:rsid w:val="2F5603B6"/>
    <w:rsid w:val="2FBF4562"/>
    <w:rsid w:val="30711E07"/>
    <w:rsid w:val="30A844DF"/>
    <w:rsid w:val="314F5F72"/>
    <w:rsid w:val="31BC43A8"/>
    <w:rsid w:val="31C02DAE"/>
    <w:rsid w:val="31CE7B45"/>
    <w:rsid w:val="31EF007A"/>
    <w:rsid w:val="32915685"/>
    <w:rsid w:val="32925305"/>
    <w:rsid w:val="33301D0B"/>
    <w:rsid w:val="333A261A"/>
    <w:rsid w:val="33995EB7"/>
    <w:rsid w:val="33CF4D0C"/>
    <w:rsid w:val="33EE55C1"/>
    <w:rsid w:val="34196405"/>
    <w:rsid w:val="34945D4F"/>
    <w:rsid w:val="34ED1C61"/>
    <w:rsid w:val="354016EB"/>
    <w:rsid w:val="354E0A01"/>
    <w:rsid w:val="35650626"/>
    <w:rsid w:val="35684E2E"/>
    <w:rsid w:val="357A05CB"/>
    <w:rsid w:val="36840A7D"/>
    <w:rsid w:val="38232AA8"/>
    <w:rsid w:val="38356245"/>
    <w:rsid w:val="389030DC"/>
    <w:rsid w:val="38F85F83"/>
    <w:rsid w:val="38FB278B"/>
    <w:rsid w:val="398D7AFC"/>
    <w:rsid w:val="399248BD"/>
    <w:rsid w:val="39984266"/>
    <w:rsid w:val="39CE0565"/>
    <w:rsid w:val="39F13F9D"/>
    <w:rsid w:val="3A1B4DE1"/>
    <w:rsid w:val="3A522D3D"/>
    <w:rsid w:val="3A864490"/>
    <w:rsid w:val="3AC37B79"/>
    <w:rsid w:val="3BAF51F7"/>
    <w:rsid w:val="3CCE564F"/>
    <w:rsid w:val="3CF93F15"/>
    <w:rsid w:val="3D6F51D8"/>
    <w:rsid w:val="3D947997"/>
    <w:rsid w:val="3E2171FA"/>
    <w:rsid w:val="3E9704BE"/>
    <w:rsid w:val="3F2D1CB6"/>
    <w:rsid w:val="3F721126"/>
    <w:rsid w:val="3F9F0CF0"/>
    <w:rsid w:val="406F7D44"/>
    <w:rsid w:val="40F634A0"/>
    <w:rsid w:val="41E356A7"/>
    <w:rsid w:val="425311DE"/>
    <w:rsid w:val="42677E7F"/>
    <w:rsid w:val="43212B30"/>
    <w:rsid w:val="44757F5F"/>
    <w:rsid w:val="44E0180C"/>
    <w:rsid w:val="45433AAF"/>
    <w:rsid w:val="45921630"/>
    <w:rsid w:val="45AA4758"/>
    <w:rsid w:val="45D27E9B"/>
    <w:rsid w:val="46136706"/>
    <w:rsid w:val="4622569C"/>
    <w:rsid w:val="462369A1"/>
    <w:rsid w:val="46845740"/>
    <w:rsid w:val="46F91E7C"/>
    <w:rsid w:val="477F6C5D"/>
    <w:rsid w:val="4794337F"/>
    <w:rsid w:val="47F830A4"/>
    <w:rsid w:val="48847404"/>
    <w:rsid w:val="48DB3696"/>
    <w:rsid w:val="48F07DB8"/>
    <w:rsid w:val="494552C4"/>
    <w:rsid w:val="494574C2"/>
    <w:rsid w:val="499C3754"/>
    <w:rsid w:val="4A4A12EF"/>
    <w:rsid w:val="4A4D7CF5"/>
    <w:rsid w:val="4A826ECA"/>
    <w:rsid w:val="4AE56F6F"/>
    <w:rsid w:val="4B427308"/>
    <w:rsid w:val="4B621DBB"/>
    <w:rsid w:val="4B812670"/>
    <w:rsid w:val="4C537145"/>
    <w:rsid w:val="4CB074DF"/>
    <w:rsid w:val="4DA457ED"/>
    <w:rsid w:val="508942AC"/>
    <w:rsid w:val="508A77AF"/>
    <w:rsid w:val="508F1A38"/>
    <w:rsid w:val="50F25EDA"/>
    <w:rsid w:val="511C03A3"/>
    <w:rsid w:val="51656219"/>
    <w:rsid w:val="51804844"/>
    <w:rsid w:val="51ED73F6"/>
    <w:rsid w:val="522762D7"/>
    <w:rsid w:val="52817C6A"/>
    <w:rsid w:val="52D41C73"/>
    <w:rsid w:val="52E80913"/>
    <w:rsid w:val="53121757"/>
    <w:rsid w:val="53362C11"/>
    <w:rsid w:val="53832D10"/>
    <w:rsid w:val="53AB3ED4"/>
    <w:rsid w:val="546A778A"/>
    <w:rsid w:val="54E33BD1"/>
    <w:rsid w:val="5510379B"/>
    <w:rsid w:val="551769A9"/>
    <w:rsid w:val="55671C2C"/>
    <w:rsid w:val="56925E96"/>
    <w:rsid w:val="56B70654"/>
    <w:rsid w:val="56F10111"/>
    <w:rsid w:val="57391B27"/>
    <w:rsid w:val="57805B1E"/>
    <w:rsid w:val="57AD4064"/>
    <w:rsid w:val="585B2F03"/>
    <w:rsid w:val="585F1909"/>
    <w:rsid w:val="58C93537"/>
    <w:rsid w:val="591D6844"/>
    <w:rsid w:val="59227449"/>
    <w:rsid w:val="59C524D5"/>
    <w:rsid w:val="59EB2715"/>
    <w:rsid w:val="5AE738B1"/>
    <w:rsid w:val="5BEA43D9"/>
    <w:rsid w:val="5C140AA0"/>
    <w:rsid w:val="5C2A2C44"/>
    <w:rsid w:val="5CD530DD"/>
    <w:rsid w:val="5CF4010E"/>
    <w:rsid w:val="5CF94596"/>
    <w:rsid w:val="5D0C1038"/>
    <w:rsid w:val="5D514C25"/>
    <w:rsid w:val="5E074753"/>
    <w:rsid w:val="5E363F9E"/>
    <w:rsid w:val="5E72057F"/>
    <w:rsid w:val="5EE42E3D"/>
    <w:rsid w:val="5EEC0249"/>
    <w:rsid w:val="5F6B1E1C"/>
    <w:rsid w:val="5FDF73FB"/>
    <w:rsid w:val="608060E1"/>
    <w:rsid w:val="60B146B2"/>
    <w:rsid w:val="60C36BF4"/>
    <w:rsid w:val="615E224C"/>
    <w:rsid w:val="61965C29"/>
    <w:rsid w:val="62C01E93"/>
    <w:rsid w:val="62C06610"/>
    <w:rsid w:val="62CF6C2B"/>
    <w:rsid w:val="62E123C8"/>
    <w:rsid w:val="633F4960"/>
    <w:rsid w:val="63F97611"/>
    <w:rsid w:val="640843A9"/>
    <w:rsid w:val="648B4982"/>
    <w:rsid w:val="64AF38BD"/>
    <w:rsid w:val="64E46044"/>
    <w:rsid w:val="64F81987"/>
    <w:rsid w:val="650249CE"/>
    <w:rsid w:val="650D74DA"/>
    <w:rsid w:val="65811A17"/>
    <w:rsid w:val="66BC5F1C"/>
    <w:rsid w:val="66D222BD"/>
    <w:rsid w:val="6967137D"/>
    <w:rsid w:val="69880C71"/>
    <w:rsid w:val="69AB2D6B"/>
    <w:rsid w:val="69CF1CA6"/>
    <w:rsid w:val="69E32EC5"/>
    <w:rsid w:val="6B026BA0"/>
    <w:rsid w:val="6B046820"/>
    <w:rsid w:val="6C4E553D"/>
    <w:rsid w:val="6C974A38"/>
    <w:rsid w:val="6CAD6BDB"/>
    <w:rsid w:val="6CE1026C"/>
    <w:rsid w:val="6D0475EA"/>
    <w:rsid w:val="6D891A42"/>
    <w:rsid w:val="6EA0288E"/>
    <w:rsid w:val="6EB3022A"/>
    <w:rsid w:val="6F1624CD"/>
    <w:rsid w:val="6F21085E"/>
    <w:rsid w:val="6F32657A"/>
    <w:rsid w:val="6F9D14AD"/>
    <w:rsid w:val="6FF96343"/>
    <w:rsid w:val="700468D2"/>
    <w:rsid w:val="706C4FFD"/>
    <w:rsid w:val="70EA114F"/>
    <w:rsid w:val="71062FFD"/>
    <w:rsid w:val="715352FB"/>
    <w:rsid w:val="71614610"/>
    <w:rsid w:val="71791CB7"/>
    <w:rsid w:val="71CF04C8"/>
    <w:rsid w:val="72414F83"/>
    <w:rsid w:val="72492390"/>
    <w:rsid w:val="726A4AC3"/>
    <w:rsid w:val="7271444E"/>
    <w:rsid w:val="73357A0F"/>
    <w:rsid w:val="73376795"/>
    <w:rsid w:val="73651863"/>
    <w:rsid w:val="739E3BBB"/>
    <w:rsid w:val="73D44095"/>
    <w:rsid w:val="74B23A83"/>
    <w:rsid w:val="74BF2D99"/>
    <w:rsid w:val="74C64922"/>
    <w:rsid w:val="74FE287D"/>
    <w:rsid w:val="75286F45"/>
    <w:rsid w:val="761B77D2"/>
    <w:rsid w:val="77035551"/>
    <w:rsid w:val="77A43A56"/>
    <w:rsid w:val="78574EC9"/>
    <w:rsid w:val="787466AD"/>
    <w:rsid w:val="78967EE6"/>
    <w:rsid w:val="79952007"/>
    <w:rsid w:val="7A2463F3"/>
    <w:rsid w:val="7A4024A0"/>
    <w:rsid w:val="7B540CE3"/>
    <w:rsid w:val="7B7C4426"/>
    <w:rsid w:val="7BA41D67"/>
    <w:rsid w:val="7C1977A8"/>
    <w:rsid w:val="7C99137B"/>
    <w:rsid w:val="7D2953E6"/>
    <w:rsid w:val="7D817FF3"/>
    <w:rsid w:val="7DF30332"/>
    <w:rsid w:val="7DFC793D"/>
    <w:rsid w:val="7E261E06"/>
    <w:rsid w:val="7F0439F3"/>
    <w:rsid w:val="7F0B7AFA"/>
    <w:rsid w:val="7F1C1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qFormat/>
    <w:uiPriority w:val="1"/>
  </w:style>
  <w:style w:type="table" w:default="1" w:styleId="3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qFormat/>
    <w:uiPriority w:val="0"/>
    <w:pPr>
      <w:jc w:val="left"/>
    </w:pPr>
  </w:style>
  <w:style w:type="paragraph" w:styleId="13">
    <w:name w:val="Body Text"/>
    <w:basedOn w:val="1"/>
    <w:link w:val="112"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unhideWhenUsed/>
    <w:qFormat/>
    <w:uiPriority w:val="39"/>
  </w:style>
  <w:style w:type="paragraph" w:styleId="28">
    <w:name w:val="table of figures"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unhideWhenUsed/>
    <w:qFormat/>
    <w:uiPriority w:val="39"/>
    <w:pPr>
      <w:ind w:left="3360" w:leftChars="1600"/>
    </w:pPr>
  </w:style>
  <w:style w:type="paragraph" w:styleId="3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qFormat/>
    <w:uiPriority w:val="0"/>
    <w:pPr>
      <w:jc w:val="left"/>
    </w:pPr>
    <w:rPr>
      <w:b/>
      <w:bCs/>
    </w:rPr>
  </w:style>
  <w:style w:type="table" w:styleId="35">
    <w:name w:val="Table Grid"/>
    <w:basedOn w:val="34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qFormat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unhideWhenUsed/>
    <w:qFormat/>
    <w:uiPriority w:val="99"/>
    <w:rPr>
      <w:color w:val="0000FF"/>
      <w:u w:val="single"/>
    </w:rPr>
  </w:style>
  <w:style w:type="character" w:styleId="72">
    <w:name w:val="annotation reference"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qFormat/>
    <w:uiPriority w:val="99"/>
    <w:rPr>
      <w:sz w:val="18"/>
      <w:szCs w:val="18"/>
    </w:rPr>
  </w:style>
  <w:style w:type="character" w:customStyle="1" w:styleId="75">
    <w:name w:val="标题 1 字符"/>
    <w:basedOn w:val="67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qFormat/>
    <w:uiPriority w:val="0"/>
  </w:style>
  <w:style w:type="character" w:customStyle="1" w:styleId="108">
    <w:name w:val="纯文本 字符1"/>
    <w:link w:val="16"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qFormat/>
    <w:uiPriority w:val="99"/>
  </w:style>
  <w:style w:type="table" w:customStyle="1" w:styleId="201">
    <w:name w:val="List Table 2 Accent 5"/>
    <w:basedOn w:val="34"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hart" Target="charts/chart1.xml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chart" Target="charts/chart2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4" Type="http://schemas.microsoft.com/office/2011/relationships/chartColorStyle" Target="colors1.xml"/><Relationship Id="rId3" Type="http://schemas.microsoft.com/office/2011/relationships/chartStyle" Target="style1.xml"/><Relationship Id="rId2" Type="http://schemas.openxmlformats.org/officeDocument/2006/relationships/chartUserShapes" Target="../drawings/drawing1.xml"/><Relationship Id="rId1" Type="http://schemas.openxmlformats.org/officeDocument/2006/relationships/oleObject" Target="file:///C:\Users\admin\Desktop\Floating%20storage%20and%20regasification%20unit%20&#28014;&#24335;&#20648;&#23384;&#21644;&#20877;&#27668;&#21270;&#35013;&#32622;\&#35266;&#28857;&#25968;&#25454;&#22270;&#34920;&#27169;&#26495;-&#20840;&#29699;20231017%20&#23454;&#20064;&#21516;&#23398;1.xlsx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microsoft.com/office/2011/relationships/chartColorStyle" Target="colors2.xml"/><Relationship Id="rId2" Type="http://schemas.microsoft.com/office/2011/relationships/chartStyle" Target="style2.xml"/><Relationship Id="rId1" Type="http://schemas.openxmlformats.org/officeDocument/2006/relationships/oleObject" Target="file:///C:\Users\admin\Desktop\Floating%20storage%20and%20regasification%20unit%20&#28014;&#24335;&#20648;&#23384;&#21644;&#20877;&#27668;&#21270;&#35013;&#32622;\&#35266;&#28857;&#25968;&#25454;&#22270;&#34920;&#27169;&#26495;-&#20840;&#29699;20231017%20&#23454;&#20064;&#21516;&#23398;1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1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100">
                <a:latin typeface="Book Antiqua" panose="02040602050305030304" pitchFamily="1" charset="0"/>
              </a:rPr>
              <a:t>Global Market Size ($ Mn)</a:t>
            </a:r>
            <a:endParaRPr lang="en-US" altLang="zh-CN" sz="1100">
              <a:latin typeface="Book Antiqua" panose="02040602050305030304" pitchFamily="1" charset="0"/>
            </a:endParaRP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0177426285084171"/>
          <c:y val="0.131440849673203"/>
          <c:w val="0.937283950617284"/>
          <c:h val="0.793030392156863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全球总体!$A$22</c:f>
              <c:strCache>
                <c:ptCount val="1"/>
                <c:pt idx="0">
                  <c:v>Global Market Size ($ Mn)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全球总体!$B$21:$D$21</c:f>
              <c:numCache>
                <c:formatCode>General</c:formatCode>
                <c:ptCount val="3"/>
                <c:pt idx="0">
                  <c:v>2018</c:v>
                </c:pt>
                <c:pt idx="1">
                  <c:v>2022</c:v>
                </c:pt>
                <c:pt idx="2">
                  <c:v>2029</c:v>
                </c:pt>
              </c:numCache>
            </c:numRef>
          </c:cat>
          <c:val>
            <c:numRef>
              <c:f>全球总体!$B$22:$D$22</c:f>
              <c:numCache>
                <c:formatCode>#,##0_ </c:formatCode>
                <c:ptCount val="3"/>
                <c:pt idx="0">
                  <c:v>570.57</c:v>
                </c:pt>
                <c:pt idx="1">
                  <c:v>934.7</c:v>
                </c:pt>
                <c:pt idx="2">
                  <c:v>2453.6149944483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719571343"/>
        <c:axId val="481370671"/>
      </c:barChart>
      <c:catAx>
        <c:axId val="71957134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481370671"/>
        <c:crosses val="autoZero"/>
        <c:auto val="1"/>
        <c:lblAlgn val="ctr"/>
        <c:lblOffset val="100"/>
        <c:noMultiLvlLbl val="0"/>
      </c:catAx>
      <c:valAx>
        <c:axId val="48137067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71957134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zh-CN" altLang="en-US" sz="1050">
                <a:latin typeface="Book Antiqua" panose="02040602050305030304" pitchFamily="1" charset="0"/>
              </a:rPr>
              <a:t>全球市场主要企业排名</a:t>
            </a:r>
            <a:endParaRPr lang="en-US" altLang="zh-CN" sz="1050">
              <a:latin typeface="Book Antiqua" panose="02040602050305030304" pitchFamily="1" charset="0"/>
            </a:endParaRPr>
          </a:p>
        </c:rich>
      </c:tx>
      <c:layout>
        <c:manualLayout>
          <c:xMode val="edge"/>
          <c:yMode val="edge"/>
          <c:x val="0.332020778652668"/>
          <c:y val="0.0346320818516983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bar"/>
        <c:grouping val="clustered"/>
        <c:varyColors val="1"/>
        <c:ser>
          <c:idx val="0"/>
          <c:order val="0"/>
          <c:tx>
            <c:strRef>
              <c:f>企业排序!$G$1</c:f>
              <c:strCache>
                <c:ptCount val="1"/>
                <c:pt idx="0">
                  <c:v>2022</c:v>
                </c:pt>
              </c:strCache>
            </c:strRef>
          </c:tx>
          <c:spPr/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</c:dPt>
          <c:dLbls>
            <c:delete val="1"/>
          </c:dLbls>
          <c:cat>
            <c:strRef>
              <c:f>企业排序!$F$2:$F$25</c:f>
              <c:strCache>
                <c:ptCount val="6"/>
                <c:pt idx="0">
                  <c:v>MOL</c:v>
                </c:pt>
                <c:pt idx="1">
                  <c:v>BW LPG</c:v>
                </c:pt>
                <c:pt idx="2">
                  <c:v>Exmar</c:v>
                </c:pt>
                <c:pt idx="3">
                  <c:v>Golar LNG</c:v>
                </c:pt>
                <c:pt idx="4">
                  <c:v>Excelerate Energy LP</c:v>
                </c:pt>
                <c:pt idx="5">
                  <c:v>Hoegh LNG</c:v>
                </c:pt>
              </c:strCache>
            </c:strRef>
          </c:cat>
          <c:val>
            <c:numRef>
              <c:f>企业排序!$G$2:$G$25</c:f>
              <c:numCache>
                <c:formatCode>#,##0.00_ </c:formatCode>
                <c:ptCount val="6"/>
                <c:pt idx="0">
                  <c:v>29.79</c:v>
                </c:pt>
                <c:pt idx="1">
                  <c:v>32.69</c:v>
                </c:pt>
                <c:pt idx="2">
                  <c:v>38.28</c:v>
                </c:pt>
                <c:pt idx="3">
                  <c:v>119.47</c:v>
                </c:pt>
                <c:pt idx="4">
                  <c:v>120.75</c:v>
                </c:pt>
                <c:pt idx="5">
                  <c:v>145.35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272139183"/>
        <c:axId val="1326546959"/>
      </c:barChart>
      <c:catAx>
        <c:axId val="127213918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.0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0.52369</cdr:x>
      <cdr:y>0.23401</cdr:y>
    </cdr:from>
    <cdr:to>
      <cdr:x>0.74446</cdr:x>
      <cdr:y>0.59289</cdr:y>
    </cdr:to>
    <cdr:cxnSp>
      <cdr:nvCxnSpPr>
        <cdr:cNvPr id="2" name="直接箭头连接符 1"/>
        <cdr:cNvCxnSpPr/>
      </cdr:nvCxnSpPr>
      <cdr:spPr xmlns:a="http://schemas.openxmlformats.org/drawingml/2006/main">
        <a:xfrm xmlns:a="http://schemas.openxmlformats.org/drawingml/2006/main" flipV="1">
          <a:off x="3434604" y="716071"/>
          <a:ext cx="1447894" cy="1098164"/>
        </a:xfrm>
        <a:prstGeom xmlns:a="http://schemas.openxmlformats.org/drawingml/2006/main" prst="straightConnector1">
          <a:avLst/>
        </a:prstGeom>
        <a:solidFill>
          <a:srgbClr val="FFC000"/>
        </a:solidFill>
        <a:ln w="15875">
          <a:solidFill>
            <a:srgbClr val="002060"/>
          </a:solidFill>
          <a:tailEnd type="triangle"/>
        </a:ln>
      </cdr:spPr>
      <cdr:style>
        <a:lnRef xmlns:a="http://schemas.openxmlformats.org/drawingml/2006/main" idx="1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0.56153</cdr:x>
      <cdr:y>0.37365</cdr:y>
    </cdr:from>
    <cdr:to>
      <cdr:x>0.69704</cdr:x>
      <cdr:y>0.46682</cdr:y>
    </cdr:to>
    <cdr:sp>
      <cdr:nvSpPr>
        <cdr:cNvPr id="3" name="椭圆 2"/>
        <cdr:cNvSpPr/>
      </cdr:nvSpPr>
      <cdr:spPr xmlns:a="http://schemas.openxmlformats.org/drawingml/2006/main">
        <a:xfrm xmlns:a="http://schemas.openxmlformats.org/drawingml/2006/main" rot="19662803">
          <a:off x="3682760" y="1143374"/>
          <a:ext cx="888734" cy="285101"/>
        </a:xfrm>
        <a:prstGeom xmlns:a="http://schemas.openxmlformats.org/drawingml/2006/main" prst="ellipse">
          <a:avLst/>
        </a:prstGeom>
        <a:solidFill>
          <a:srgbClr val="FFC000"/>
        </a:solidFill>
        <a:ln w="12700">
          <a:noFill/>
        </a:ln>
      </cdr:spPr>
      <cdr:style>
        <a:lnRef xmlns:a="http://schemas.openxmlformats.org/drawingml/2006/main" idx="2">
          <a:schemeClr val="accent1">
            <a:shade val="15000"/>
          </a:schemeClr>
        </a:lnRef>
        <a:fillRef xmlns:a="http://schemas.openxmlformats.org/drawingml/2006/main" idx="1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lt1"/>
        </a:fontRef>
      </cdr:style>
      <cdr:txBody xmlns:a="http://schemas.openxmlformats.org/drawingml/2006/main">
        <a:bodyPr vertOverflow="clip" vert="horz" wrap="none" lIns="45720" tIns="45720" rIns="45720" bIns="45720" anchor="ctr" anchorCtr="0">
          <a:normAutofit/>
        </a:bodyPr>
        <a:lstStyle/>
        <a:p>
          <a:pPr algn="ctr"/>
          <a:r>
            <a:rPr lang="en-US" altLang="zh-CN" baseline="0">
              <a:solidFill>
                <a:sysClr val="windowText" lastClr="000000"/>
              </a:solidFill>
              <a:latin typeface="Book Antiqua" panose="02040602050305030304" pitchFamily="1" charset="0"/>
              <a:ea typeface="宋体" panose="02010600030101010101" charset="-122"/>
            </a:rPr>
            <a:t>14.8%</a:t>
          </a:r>
          <a:endParaRPr lang="zh-CN" baseline="0">
            <a:solidFill>
              <a:sysClr val="windowText" lastClr="000000"/>
            </a:solidFill>
            <a:latin typeface="Book Antiqua" panose="02040602050305030304" pitchFamily="1" charset="0"/>
            <a:ea typeface="宋体" panose="02010600030101010101" charset="-122"/>
          </a:endParaRPr>
        </a:p>
      </cdr:txBody>
    </cdr:sp>
  </cdr:relSizeAnchor>
  <cdr:relSizeAnchor xmlns:cdr="http://schemas.openxmlformats.org/drawingml/2006/chartDrawing">
    <cdr:from>
      <cdr:x>0.20317</cdr:x>
      <cdr:y>0.53908</cdr:y>
    </cdr:from>
    <cdr:to>
      <cdr:x>0.43144</cdr:x>
      <cdr:y>0.80233</cdr:y>
    </cdr:to>
    <cdr:grpSp>
      <cdr:nvGrpSpPr>
        <cdr:cNvPr id="4" name="组合 3"/>
        <cdr:cNvGrpSpPr/>
      </cdr:nvGrpSpPr>
      <cdr:grpSpPr xmlns:a="http://schemas.openxmlformats.org/drawingml/2006/main">
        <a:xfrm rot="2367692">
          <a:off x="1257360" y="1556168"/>
          <a:ext cx="1412697" cy="759926"/>
          <a:chOff x="3014141" y="1779723"/>
          <a:chExt cx="1170560" cy="814928"/>
        </a:xfrm>
      </cdr:grpSpPr>
      <cdr:cxnSp>
        <cdr:nvCxnSpPr>
          <cdr:cNvPr id="5" name="直接箭头连接符 4"/>
          <cdr:cNvCxnSpPr/>
        </cdr:nvCxnSpPr>
        <cdr:spPr xmlns:a="http://schemas.openxmlformats.org/drawingml/2006/main">
          <a:xfrm xmlns:a="http://schemas.openxmlformats.org/drawingml/2006/main" rot="19816677" flipV="1">
            <a:off x="3014141" y="1818573"/>
            <a:ext cx="1170560" cy="691521"/>
          </a:xfrm>
          <a:prstGeom xmlns:a="http://schemas.openxmlformats.org/drawingml/2006/main" prst="straightConnector1">
            <a:avLst/>
          </a:prstGeom>
          <a:ln w="15875">
            <a:solidFill>
              <a:srgbClr val="002060"/>
            </a:solidFill>
            <a:tailEnd type="triangle"/>
          </a:ln>
        </cdr:spPr>
        <cdr:style>
          <a:lnRef xmlns:a="http://schemas.openxmlformats.org/drawingml/2006/main" idx="1">
            <a:schemeClr val="accent1"/>
          </a:lnRef>
          <a:fillRef xmlns:a="http://schemas.openxmlformats.org/drawingml/2006/main" idx="0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tx1"/>
          </a:fontRef>
        </cdr:style>
      </cdr:cxnSp>
      <cdr:sp>
        <cdr:nvSpPr>
          <cdr:cNvPr id="6" name="椭圆 5"/>
          <cdr:cNvSpPr/>
        </cdr:nvSpPr>
        <cdr:spPr xmlns:a="http://schemas.openxmlformats.org/drawingml/2006/main">
          <a:xfrm xmlns:a="http://schemas.openxmlformats.org/drawingml/2006/main" rot="18358947">
            <a:off x="3177981" y="2099589"/>
            <a:ext cx="814928" cy="175195"/>
          </a:xfrm>
          <a:prstGeom xmlns:a="http://schemas.openxmlformats.org/drawingml/2006/main" prst="ellipse">
            <a:avLst/>
          </a:prstGeom>
          <a:solidFill>
            <a:srgbClr val="FFC000"/>
          </a:solidFill>
          <a:ln w="12700">
            <a:noFill/>
          </a:ln>
        </cdr:spPr>
        <cdr:style>
          <a:lnRef xmlns:a="http://schemas.openxmlformats.org/drawingml/2006/main" idx="2">
            <a:schemeClr val="accent1">
              <a:shade val="15000"/>
            </a:schemeClr>
          </a:lnRef>
          <a:fillRef xmlns:a="http://schemas.openxmlformats.org/drawingml/2006/main" idx="1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lt1"/>
          </a:fontRef>
        </cdr:style>
        <cdr:txBody xmlns:a="http://schemas.openxmlformats.org/drawingml/2006/main">
          <a:bodyPr vertOverflow="clip" vert="horz" wrap="none" lIns="45720" tIns="45720" rIns="45720" bIns="45720" anchor="ctr" anchorCtr="0">
            <a:normAutofit/>
          </a:bodyPr>
          <a:lstStyle/>
          <a:p>
            <a:pPr algn="ctr"/>
            <a:r>
              <a:rPr lang="en-US" altLang="zh-CN">
                <a:solidFill>
                  <a:sysClr val="windowText" lastClr="000000"/>
                </a:solidFill>
                <a:latin typeface="Book Antiqua" panose="02040602050305030304" pitchFamily="1" charset="0"/>
              </a:rPr>
              <a:t>13.1%</a:t>
            </a:r>
            <a:endParaRPr lang="zh-CN">
              <a:solidFill>
                <a:sysClr val="windowText" lastClr="000000"/>
              </a:solidFill>
              <a:latin typeface="Book Antiqua" panose="02040602050305030304" pitchFamily="1" charset="0"/>
            </a:endParaRPr>
          </a:p>
        </cdr:txBody>
      </cdr:sp>
    </cdr:grpSp>
  </cdr:relSizeAnchor>
</c:userShap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6"/>
    <customShpInfo spid="_x0000_s2055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B06A4D-AEF5-4F7F-B711-D4CAB3BB31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577</Words>
  <Characters>3294</Characters>
  <Lines>27</Lines>
  <Paragraphs>7</Paragraphs>
  <TotalTime>0</TotalTime>
  <ScaleCrop>false</ScaleCrop>
  <LinksUpToDate>false</LinksUpToDate>
  <CharactersWithSpaces>3864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QYResearch创始人</cp:lastModifiedBy>
  <dcterms:modified xsi:type="dcterms:W3CDTF">2023-12-08T09:45:09Z</dcterms:modified>
  <cp:revision>805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B18743FEC0A743AE84C69FA89AE9F519_13</vt:lpwstr>
  </property>
</Properties>
</file>