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76479" w14:textId="77777777" w:rsidR="009821BD" w:rsidRDefault="009821BD" w:rsidP="009821BD">
      <w:pPr>
        <w:widowControl/>
        <w:topLinePunct w:val="0"/>
        <w:spacing w:after="0"/>
        <w:jc w:val="left"/>
        <w:rPr>
          <w:rFonts w:ascii="Book Antiqua" w:hAnsi="Book Antiqua" w:cs="宋体"/>
          <w:kern w:val="0"/>
          <w:sz w:val="24"/>
          <w:szCs w:val="24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proofErr w:type="gramStart"/>
      <w:r w:rsidRPr="009821BD">
        <w:rPr>
          <w:rFonts w:ascii="Book Antiqua" w:hAnsi="Book Antiqua" w:cs="宋体" w:hint="eastAsia"/>
          <w:kern w:val="0"/>
          <w:sz w:val="24"/>
          <w:szCs w:val="24"/>
        </w:rPr>
        <w:t>敌车缓解</w:t>
      </w:r>
      <w:proofErr w:type="gramEnd"/>
      <w:r w:rsidRPr="009821BD">
        <w:rPr>
          <w:rFonts w:ascii="Book Antiqua" w:hAnsi="Book Antiqua" w:cs="宋体" w:hint="eastAsia"/>
          <w:kern w:val="0"/>
          <w:sz w:val="24"/>
          <w:szCs w:val="24"/>
        </w:rPr>
        <w:t>（</w:t>
      </w:r>
      <w:r w:rsidRPr="009821BD">
        <w:rPr>
          <w:rFonts w:ascii="Book Antiqua" w:hAnsi="Book Antiqua" w:cs="宋体" w:hint="eastAsia"/>
          <w:kern w:val="0"/>
          <w:sz w:val="24"/>
          <w:szCs w:val="24"/>
        </w:rPr>
        <w:t>HVM</w:t>
      </w:r>
      <w:r w:rsidRPr="009821BD">
        <w:rPr>
          <w:rFonts w:ascii="Book Antiqua" w:hAnsi="Book Antiqua" w:cs="宋体" w:hint="eastAsia"/>
          <w:kern w:val="0"/>
          <w:sz w:val="24"/>
          <w:szCs w:val="24"/>
        </w:rPr>
        <w:t>）装置是一种安全系统，旨在防止或减轻车载攻击的影响，例如将车辆作为武器攻击行人、建筑物或其他车辆的冲撞事件。在城市安全战略中，这些设备正变得越来越重要。</w:t>
      </w:r>
    </w:p>
    <w:p w14:paraId="1581A336" w14:textId="77777777" w:rsidR="007317DA" w:rsidRPr="009821BD" w:rsidRDefault="007317DA" w:rsidP="009821BD">
      <w:pPr>
        <w:widowControl/>
        <w:topLinePunct w:val="0"/>
        <w:spacing w:after="0"/>
        <w:jc w:val="left"/>
        <w:rPr>
          <w:rFonts w:ascii="Book Antiqua" w:hAnsi="Book Antiqua" w:cs="宋体" w:hint="eastAsia"/>
          <w:kern w:val="0"/>
          <w:sz w:val="24"/>
          <w:szCs w:val="24"/>
        </w:rPr>
      </w:pPr>
    </w:p>
    <w:p w14:paraId="4A6DE3FF" w14:textId="10F849A3" w:rsidR="00977B87" w:rsidRPr="00977B87" w:rsidRDefault="00977B87" w:rsidP="00977B87">
      <w:pPr>
        <w:widowControl/>
        <w:topLinePunct w:val="0"/>
        <w:spacing w:after="0"/>
        <w:jc w:val="left"/>
        <w:rPr>
          <w:rFonts w:ascii="Book Antiqua" w:hAnsi="Book Antiqua" w:cs="宋体"/>
          <w:kern w:val="0"/>
          <w:sz w:val="24"/>
          <w:szCs w:val="24"/>
        </w:rPr>
      </w:pPr>
      <w:r w:rsidRPr="00977B87">
        <w:rPr>
          <w:rFonts w:ascii="Book Antiqua" w:hAnsi="Book Antiqua" w:cs="宋体"/>
          <w:kern w:val="0"/>
          <w:sz w:val="24"/>
          <w:szCs w:val="24"/>
        </w:rPr>
        <w:t>据调研团队最新报告</w:t>
      </w:r>
      <w:r w:rsidRPr="00977B87">
        <w:rPr>
          <w:rFonts w:ascii="Book Antiqua" w:hAnsi="Book Antiqua" w:cs="宋体"/>
          <w:kern w:val="0"/>
          <w:sz w:val="24"/>
          <w:szCs w:val="24"/>
        </w:rPr>
        <w:t>“</w:t>
      </w:r>
      <w:r w:rsidRPr="00977B87">
        <w:rPr>
          <w:rFonts w:ascii="Book Antiqua" w:hAnsi="Book Antiqua" w:cs="宋体"/>
          <w:kern w:val="0"/>
          <w:sz w:val="24"/>
          <w:szCs w:val="24"/>
        </w:rPr>
        <w:t>全球敌对车辆缓解装置市场报告</w:t>
      </w:r>
      <w:r w:rsidRPr="00977B87">
        <w:rPr>
          <w:rFonts w:ascii="Book Antiqua" w:hAnsi="Book Antiqua" w:cs="宋体"/>
          <w:kern w:val="0"/>
          <w:sz w:val="24"/>
          <w:szCs w:val="24"/>
        </w:rPr>
        <w:t>2024-2030”</w:t>
      </w:r>
      <w:r w:rsidRPr="00977B87">
        <w:rPr>
          <w:rFonts w:ascii="Book Antiqua" w:hAnsi="Book Antiqua" w:cs="宋体"/>
          <w:kern w:val="0"/>
          <w:sz w:val="24"/>
          <w:szCs w:val="24"/>
        </w:rPr>
        <w:t>显示，预计</w:t>
      </w:r>
      <w:r w:rsidRPr="00977B87">
        <w:rPr>
          <w:rFonts w:ascii="Book Antiqua" w:hAnsi="Book Antiqua" w:cs="宋体"/>
          <w:kern w:val="0"/>
          <w:sz w:val="24"/>
          <w:szCs w:val="24"/>
        </w:rPr>
        <w:t>2030</w:t>
      </w:r>
      <w:r w:rsidRPr="00977B87">
        <w:rPr>
          <w:rFonts w:ascii="Book Antiqua" w:hAnsi="Book Antiqua" w:cs="宋体"/>
          <w:kern w:val="0"/>
          <w:sz w:val="24"/>
          <w:szCs w:val="24"/>
        </w:rPr>
        <w:t>年全球敌对车辆缓解装置市场规模将达到</w:t>
      </w:r>
      <w:r w:rsidRPr="00977B87">
        <w:rPr>
          <w:rFonts w:ascii="Book Antiqua" w:hAnsi="Book Antiqua" w:cs="宋体"/>
          <w:kern w:val="0"/>
          <w:sz w:val="24"/>
          <w:szCs w:val="24"/>
        </w:rPr>
        <w:t>3.7</w:t>
      </w:r>
      <w:r w:rsidRPr="00977B87">
        <w:rPr>
          <w:rFonts w:ascii="Book Antiqua" w:hAnsi="Book Antiqua" w:cs="宋体"/>
          <w:kern w:val="0"/>
          <w:sz w:val="24"/>
          <w:szCs w:val="24"/>
        </w:rPr>
        <w:t>亿美元，未来几年年复合增长率</w:t>
      </w:r>
      <w:r w:rsidRPr="00977B87">
        <w:rPr>
          <w:rFonts w:ascii="Book Antiqua" w:hAnsi="Book Antiqua" w:cs="宋体"/>
          <w:kern w:val="0"/>
          <w:sz w:val="24"/>
          <w:szCs w:val="24"/>
        </w:rPr>
        <w:t>CAGR</w:t>
      </w:r>
      <w:r w:rsidRPr="00977B87">
        <w:rPr>
          <w:rFonts w:ascii="Book Antiqua" w:hAnsi="Book Antiqua" w:cs="宋体"/>
          <w:kern w:val="0"/>
          <w:sz w:val="24"/>
          <w:szCs w:val="24"/>
        </w:rPr>
        <w:t>为</w:t>
      </w:r>
      <w:r w:rsidRPr="00977B87">
        <w:rPr>
          <w:rFonts w:ascii="Book Antiqua" w:hAnsi="Book Antiqua" w:cs="宋体"/>
          <w:kern w:val="0"/>
          <w:sz w:val="24"/>
          <w:szCs w:val="24"/>
        </w:rPr>
        <w:t>5.1%</w:t>
      </w:r>
      <w:r w:rsidRPr="00977B87">
        <w:rPr>
          <w:rFonts w:ascii="Book Antiqua" w:hAnsi="Book Antiqua" w:cs="宋体"/>
          <w:kern w:val="0"/>
          <w:sz w:val="24"/>
          <w:szCs w:val="24"/>
        </w:rPr>
        <w:t>。</w:t>
      </w:r>
    </w:p>
    <w:p w14:paraId="3F6C2722" w14:textId="45095F1C" w:rsidR="00347A61" w:rsidRDefault="00977B87" w:rsidP="000A1AB9">
      <w:pPr>
        <w:pStyle w:val="FigureStyle"/>
        <w:rPr>
          <w:lang w:eastAsia="zh-CN"/>
        </w:rPr>
      </w:pPr>
      <w:r>
        <w:rPr>
          <w:lang w:eastAsia="zh-CN"/>
        </w:rPr>
        <w:t>敌对车辆缓解装置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11D77392" w:rsidR="00347A61" w:rsidRDefault="00977B87" w:rsidP="00347A61">
      <w:pPr>
        <w:pStyle w:val="-"/>
      </w:pPr>
      <w:r>
        <w:rPr>
          <w:noProof/>
          <w:lang w:val="en-US" w:eastAsia="zh-CN"/>
        </w:rPr>
        <w:drawing>
          <wp:inline distT="0" distB="0" distL="0" distR="0" wp14:anchorId="1179652F" wp14:editId="39B728EC">
            <wp:extent cx="6188710" cy="2954655"/>
            <wp:effectExtent l="0" t="0" r="2540" b="0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1BB02D86-AFE2-B421-A436-D0973B38020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4C2322E6" w14:textId="4402B680" w:rsidR="00F777FF" w:rsidRDefault="00F777FF" w:rsidP="00F777FF">
      <w:pPr>
        <w:pStyle w:val="Source"/>
        <w:rPr>
          <w:lang w:eastAsia="zh-CN"/>
        </w:rPr>
      </w:pPr>
      <w:r>
        <w:rPr>
          <w:rFonts w:hint="eastAsia"/>
          <w:lang w:eastAsia="zh-CN"/>
        </w:rPr>
        <w:t>来源：</w:t>
      </w:r>
      <w:r w:rsidR="00977B87">
        <w:rPr>
          <w:rFonts w:hint="eastAsia"/>
          <w:lang w:eastAsia="zh-CN"/>
        </w:rPr>
        <w:t xml:space="preserve">QYResearch </w:t>
      </w:r>
      <w:r w:rsidR="00977B87">
        <w:rPr>
          <w:rFonts w:hint="eastAsia"/>
          <w:lang w:eastAsia="zh-CN"/>
        </w:rPr>
        <w:t>机械设备研究中心</w:t>
      </w:r>
    </w:p>
    <w:p w14:paraId="30C44BE0" w14:textId="77777777" w:rsidR="00FB5F83" w:rsidRPr="009821BD" w:rsidRDefault="00FB5F83" w:rsidP="00FB5F83">
      <w:pPr>
        <w:widowControl/>
        <w:topLinePunct w:val="0"/>
        <w:spacing w:after="0"/>
        <w:jc w:val="left"/>
        <w:rPr>
          <w:rFonts w:ascii="Book Antiqua" w:hAnsi="Book Antiqua" w:cs="宋体"/>
          <w:kern w:val="0"/>
          <w:sz w:val="24"/>
          <w:szCs w:val="24"/>
        </w:rPr>
      </w:pPr>
      <w:r w:rsidRPr="009821BD">
        <w:rPr>
          <w:rFonts w:ascii="Book Antiqua" w:hAnsi="Book Antiqua" w:cs="宋体" w:hint="eastAsia"/>
          <w:kern w:val="0"/>
          <w:sz w:val="24"/>
          <w:szCs w:val="24"/>
        </w:rPr>
        <w:t>市场增长：</w:t>
      </w:r>
      <w:r w:rsidRPr="009821BD">
        <w:rPr>
          <w:rFonts w:ascii="Book Antiqua" w:hAnsi="Book Antiqua" w:cs="宋体" w:hint="eastAsia"/>
          <w:kern w:val="0"/>
          <w:sz w:val="24"/>
          <w:szCs w:val="24"/>
        </w:rPr>
        <w:t xml:space="preserve"> </w:t>
      </w:r>
      <w:r w:rsidRPr="009821BD">
        <w:rPr>
          <w:rFonts w:ascii="Book Antiqua" w:hAnsi="Book Antiqua" w:cs="宋体" w:hint="eastAsia"/>
          <w:kern w:val="0"/>
          <w:sz w:val="24"/>
          <w:szCs w:val="24"/>
        </w:rPr>
        <w:t>由于城市地区、公共活动和关键基础设施保护方面的安全问题日益突出，</w:t>
      </w:r>
      <w:r w:rsidRPr="009821BD">
        <w:rPr>
          <w:rFonts w:ascii="Book Antiqua" w:hAnsi="Book Antiqua" w:cs="宋体" w:hint="eastAsia"/>
          <w:kern w:val="0"/>
          <w:sz w:val="24"/>
          <w:szCs w:val="24"/>
        </w:rPr>
        <w:t xml:space="preserve">HVM </w:t>
      </w:r>
      <w:r w:rsidRPr="009821BD">
        <w:rPr>
          <w:rFonts w:ascii="Book Antiqua" w:hAnsi="Book Antiqua" w:cs="宋体" w:hint="eastAsia"/>
          <w:kern w:val="0"/>
          <w:sz w:val="24"/>
          <w:szCs w:val="24"/>
        </w:rPr>
        <w:t>设备的市场一直在增长。车辆袭击事件增加了对此类安全措施的需求。</w:t>
      </w:r>
    </w:p>
    <w:p w14:paraId="759F9E73" w14:textId="77777777" w:rsidR="00FB5F83" w:rsidRPr="009821BD" w:rsidRDefault="00FB5F83" w:rsidP="00FB5F83">
      <w:pPr>
        <w:widowControl/>
        <w:topLinePunct w:val="0"/>
        <w:spacing w:after="0"/>
        <w:jc w:val="left"/>
        <w:rPr>
          <w:rFonts w:ascii="Book Antiqua" w:hAnsi="Book Antiqua" w:cs="宋体"/>
          <w:kern w:val="0"/>
          <w:sz w:val="24"/>
          <w:szCs w:val="24"/>
        </w:rPr>
      </w:pPr>
      <w:r w:rsidRPr="009821BD">
        <w:rPr>
          <w:rFonts w:ascii="Book Antiqua" w:hAnsi="Book Antiqua" w:cs="宋体" w:hint="eastAsia"/>
          <w:kern w:val="0"/>
          <w:sz w:val="24"/>
          <w:szCs w:val="24"/>
        </w:rPr>
        <w:t>政府举措：</w:t>
      </w:r>
      <w:r w:rsidRPr="009821BD">
        <w:rPr>
          <w:rFonts w:ascii="Book Antiqua" w:hAnsi="Book Antiqua" w:cs="宋体" w:hint="eastAsia"/>
          <w:kern w:val="0"/>
          <w:sz w:val="24"/>
          <w:szCs w:val="24"/>
        </w:rPr>
        <w:t xml:space="preserve"> </w:t>
      </w:r>
      <w:r w:rsidRPr="009821BD">
        <w:rPr>
          <w:rFonts w:ascii="Book Antiqua" w:hAnsi="Book Antiqua" w:cs="宋体" w:hint="eastAsia"/>
          <w:kern w:val="0"/>
          <w:sz w:val="24"/>
          <w:szCs w:val="24"/>
        </w:rPr>
        <w:t>全球许多国家的政府都在投资安全基础设施，其中包括部署</w:t>
      </w:r>
      <w:r w:rsidRPr="009821BD">
        <w:rPr>
          <w:rFonts w:ascii="Book Antiqua" w:hAnsi="Book Antiqua" w:cs="宋体" w:hint="eastAsia"/>
          <w:kern w:val="0"/>
          <w:sz w:val="24"/>
          <w:szCs w:val="24"/>
        </w:rPr>
        <w:t xml:space="preserve"> HVM </w:t>
      </w:r>
      <w:r w:rsidRPr="009821BD">
        <w:rPr>
          <w:rFonts w:ascii="Book Antiqua" w:hAnsi="Book Antiqua" w:cs="宋体" w:hint="eastAsia"/>
          <w:kern w:val="0"/>
          <w:sz w:val="24"/>
          <w:szCs w:val="24"/>
        </w:rPr>
        <w:t>设备。这些举措推动了市场增长。</w:t>
      </w:r>
    </w:p>
    <w:p w14:paraId="078E85F6" w14:textId="77777777" w:rsidR="00FB5F83" w:rsidRDefault="00FB5F83" w:rsidP="00FB5F83">
      <w:pPr>
        <w:widowControl/>
        <w:topLinePunct w:val="0"/>
        <w:spacing w:after="0"/>
        <w:jc w:val="left"/>
        <w:rPr>
          <w:rFonts w:ascii="Book Antiqua" w:hAnsi="Book Antiqua" w:cs="宋体"/>
          <w:kern w:val="0"/>
          <w:sz w:val="24"/>
          <w:szCs w:val="24"/>
        </w:rPr>
      </w:pPr>
      <w:r w:rsidRPr="009821BD">
        <w:rPr>
          <w:rFonts w:ascii="Book Antiqua" w:hAnsi="Book Antiqua" w:cs="宋体" w:hint="eastAsia"/>
          <w:kern w:val="0"/>
          <w:sz w:val="24"/>
          <w:szCs w:val="24"/>
        </w:rPr>
        <w:t>产品多样化：</w:t>
      </w:r>
      <w:r w:rsidRPr="009821BD">
        <w:rPr>
          <w:rFonts w:ascii="Book Antiqua" w:hAnsi="Book Antiqua" w:cs="宋体" w:hint="eastAsia"/>
          <w:kern w:val="0"/>
          <w:sz w:val="24"/>
          <w:szCs w:val="24"/>
        </w:rPr>
        <w:t xml:space="preserve"> </w:t>
      </w:r>
      <w:r w:rsidRPr="009821BD">
        <w:rPr>
          <w:rFonts w:ascii="Book Antiqua" w:hAnsi="Book Antiqua" w:cs="宋体" w:hint="eastAsia"/>
          <w:kern w:val="0"/>
          <w:sz w:val="24"/>
          <w:szCs w:val="24"/>
        </w:rPr>
        <w:t>市场提供各种</w:t>
      </w:r>
      <w:r w:rsidRPr="009821BD">
        <w:rPr>
          <w:rFonts w:ascii="Book Antiqua" w:hAnsi="Book Antiqua" w:cs="宋体" w:hint="eastAsia"/>
          <w:kern w:val="0"/>
          <w:sz w:val="24"/>
          <w:szCs w:val="24"/>
        </w:rPr>
        <w:t xml:space="preserve"> HVM </w:t>
      </w:r>
      <w:r w:rsidRPr="009821BD">
        <w:rPr>
          <w:rFonts w:ascii="Book Antiqua" w:hAnsi="Book Antiqua" w:cs="宋体" w:hint="eastAsia"/>
          <w:kern w:val="0"/>
          <w:sz w:val="24"/>
          <w:szCs w:val="24"/>
        </w:rPr>
        <w:t>解决方案，包括系缆桩、路障、大门和自动伸缩系统。产品的多样性可为不同的安全需求和环境提供量身定制的解决方案。</w:t>
      </w:r>
    </w:p>
    <w:p w14:paraId="12FD9BEF" w14:textId="77777777" w:rsidR="00527DEE" w:rsidRPr="00BF5880" w:rsidRDefault="00527DEE" w:rsidP="00BF5880">
      <w:pPr>
        <w:pStyle w:val="-"/>
        <w:rPr>
          <w:lang w:eastAsia="zh-CN"/>
        </w:rPr>
      </w:pPr>
    </w:p>
    <w:p w14:paraId="720E31E2" w14:textId="447E7F40" w:rsidR="004721C4" w:rsidRPr="001763C6" w:rsidRDefault="00A023BF" w:rsidP="00B44D1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r w:rsidR="00977B87">
        <w:rPr>
          <w:lang w:eastAsia="zh-CN"/>
        </w:rPr>
        <w:t>敌对车辆缓解装置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EA63A5">
        <w:rPr>
          <w:lang w:eastAsia="zh-CN"/>
        </w:rPr>
        <w:t>11</w:t>
      </w:r>
      <w:r w:rsidR="001052F0">
        <w:rPr>
          <w:rFonts w:hint="eastAsia"/>
          <w:lang w:eastAsia="zh-CN"/>
        </w:rPr>
        <w:t>强生产商排名及市场占有率</w:t>
      </w:r>
      <w:r w:rsidR="00FA2DF1" w:rsidRPr="00FA2DF1">
        <w:rPr>
          <w:rFonts w:hint="eastAsia"/>
          <w:lang w:eastAsia="zh-CN"/>
        </w:rPr>
        <w:t>（</w:t>
      </w:r>
      <w:r w:rsidR="00C27E95">
        <w:rPr>
          <w:rFonts w:hint="eastAsia"/>
          <w:lang w:eastAsia="zh-CN"/>
        </w:rPr>
        <w:t>基于</w:t>
      </w:r>
      <w:r w:rsidR="00C27E95">
        <w:rPr>
          <w:rFonts w:hint="eastAsia"/>
          <w:lang w:eastAsia="zh-CN"/>
        </w:rPr>
        <w:t>2</w:t>
      </w:r>
      <w:r w:rsidR="00C27E95">
        <w:rPr>
          <w:lang w:eastAsia="zh-CN"/>
        </w:rPr>
        <w:t>02</w:t>
      </w:r>
      <w:r w:rsidR="00A10561">
        <w:rPr>
          <w:lang w:eastAsia="zh-CN"/>
        </w:rPr>
        <w:t>3</w:t>
      </w:r>
      <w:r w:rsidR="00C27E95">
        <w:rPr>
          <w:rFonts w:hint="eastAsia"/>
          <w:lang w:eastAsia="zh-CN"/>
        </w:rPr>
        <w:t>年调研数据；目前最新数据以本公司最新调研数据为准</w:t>
      </w:r>
      <w:r w:rsidR="00FA2DF1" w:rsidRPr="00FA2DF1">
        <w:rPr>
          <w:rFonts w:hint="eastAsia"/>
          <w:lang w:eastAsia="zh-CN"/>
        </w:rPr>
        <w:t>）</w:t>
      </w:r>
    </w:p>
    <w:p w14:paraId="773AFA33" w14:textId="7E1B9EDF" w:rsidR="00027462" w:rsidRPr="00027462" w:rsidRDefault="00EA63A5" w:rsidP="00027462"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04AAD6B0" wp14:editId="39859E14">
            <wp:extent cx="3771900" cy="5991225"/>
            <wp:effectExtent l="0" t="0" r="0" b="0"/>
            <wp:docPr id="2" name="图表 2">
              <a:extLst xmlns:a="http://schemas.openxmlformats.org/drawingml/2006/main">
                <a:ext uri="{FF2B5EF4-FFF2-40B4-BE49-F238E27FC236}">
                  <a16:creationId xmlns:a16="http://schemas.microsoft.com/office/drawing/2014/main" id="{A0782ABF-BB13-4397-A8E1-E4CEFEBDC12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5A600155" w14:textId="6890DC15" w:rsidR="00ED22C7" w:rsidRDefault="00ED22C7" w:rsidP="00ED22C7">
      <w:pPr>
        <w:pStyle w:val="Source"/>
        <w:rPr>
          <w:lang w:eastAsia="zh-CN"/>
        </w:rPr>
      </w:pPr>
      <w:r>
        <w:rPr>
          <w:rFonts w:hint="eastAsia"/>
          <w:lang w:eastAsia="zh-CN"/>
        </w:rPr>
        <w:t>来源：</w:t>
      </w:r>
      <w:r w:rsidR="00977B87">
        <w:rPr>
          <w:rFonts w:hint="eastAsia"/>
          <w:lang w:eastAsia="zh-CN"/>
        </w:rPr>
        <w:t xml:space="preserve">QYResearch </w:t>
      </w:r>
      <w:r w:rsidR="00977B87">
        <w:rPr>
          <w:rFonts w:hint="eastAsia"/>
          <w:lang w:eastAsia="zh-CN"/>
        </w:rPr>
        <w:t>机械设备研究中心</w:t>
      </w:r>
      <w:r>
        <w:rPr>
          <w:rFonts w:hint="eastAsia"/>
          <w:lang w:eastAsia="zh-CN"/>
        </w:rPr>
        <w:t>。行业处于不断变动之中，最新数据请联系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咨询。</w:t>
      </w:r>
    </w:p>
    <w:p w14:paraId="6AC6EC0B" w14:textId="295F19EC" w:rsidR="00EA63A5" w:rsidRPr="00EA63A5" w:rsidRDefault="00EA63A5" w:rsidP="00EA63A5"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 w:rsidRPr="00EA63A5">
        <w:rPr>
          <w:rFonts w:ascii="Times New Roman" w:hAnsi="Times New Roman" w:cs="Times New Roman"/>
          <w:kern w:val="0"/>
          <w:sz w:val="22"/>
          <w:szCs w:val="22"/>
        </w:rPr>
        <w:t>全球范围内敌对车辆缓解装置生产商主要包括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Hill &amp; Smith Infrastructure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ATG Access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EA63A5">
        <w:rPr>
          <w:rFonts w:ascii="Times New Roman" w:hAnsi="Times New Roman" w:cs="Times New Roman"/>
          <w:kern w:val="0"/>
          <w:sz w:val="22"/>
          <w:szCs w:val="22"/>
        </w:rPr>
        <w:t>HySecurity</w:t>
      </w:r>
      <w:proofErr w:type="spellEnd"/>
      <w:r w:rsidRPr="00EA63A5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RHI Industrials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Heald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Townscape Products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Jacksons Fencing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Cova Security Gates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TYMETAL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Gunnebo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等。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2022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年，全球前十强厂商占有大约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56.0%</w:t>
      </w:r>
      <w:r w:rsidRPr="00EA63A5">
        <w:rPr>
          <w:rFonts w:ascii="Times New Roman" w:hAnsi="Times New Roman" w:cs="Times New Roman"/>
          <w:kern w:val="0"/>
          <w:sz w:val="22"/>
          <w:szCs w:val="22"/>
        </w:rPr>
        <w:t>的市场份额。</w:t>
      </w:r>
    </w:p>
    <w:p w14:paraId="679A3E3B" w14:textId="77777777" w:rsidR="00395A67" w:rsidRDefault="00395A67" w:rsidP="008404C6">
      <w:pPr>
        <w:pStyle w:val="-"/>
        <w:rPr>
          <w:lang w:eastAsia="zh-CN"/>
        </w:rPr>
      </w:pPr>
    </w:p>
    <w:p w14:paraId="29E7A780" w14:textId="77777777" w:rsidR="00395A67" w:rsidRDefault="00395A67" w:rsidP="008404C6">
      <w:pPr>
        <w:pStyle w:val="-"/>
        <w:rPr>
          <w:lang w:eastAsia="zh-CN"/>
        </w:rPr>
      </w:pPr>
    </w:p>
    <w:p w14:paraId="3B2E5865" w14:textId="77777777" w:rsidR="00395A67" w:rsidRDefault="00395A67" w:rsidP="008404C6">
      <w:pPr>
        <w:pStyle w:val="-"/>
        <w:rPr>
          <w:lang w:eastAsia="zh-CN"/>
        </w:rPr>
      </w:pPr>
    </w:p>
    <w:p w14:paraId="3E6DE9A8" w14:textId="7CCFEEBE" w:rsidR="00395A67" w:rsidRPr="001763C6" w:rsidRDefault="00977B87" w:rsidP="00395A67">
      <w:pPr>
        <w:pStyle w:val="FigureStyle"/>
        <w:rPr>
          <w:lang w:eastAsia="zh-CN"/>
        </w:rPr>
      </w:pPr>
      <w:r>
        <w:rPr>
          <w:lang w:eastAsia="zh-CN"/>
        </w:rPr>
        <w:t>敌对车辆缓解装置</w:t>
      </w:r>
      <w:r w:rsidR="00395A67">
        <w:rPr>
          <w:rFonts w:hint="eastAsia"/>
          <w:lang w:eastAsia="zh-CN"/>
        </w:rPr>
        <w:t>，全球市场规模，按产品类型细分，</w:t>
      </w:r>
      <w:r w:rsidR="00CF5540" w:rsidRPr="00CF5540">
        <w:rPr>
          <w:rFonts w:ascii="Book Antiqua" w:hAnsi="Book Antiqua" w:cs="宋体"/>
          <w:sz w:val="22"/>
          <w:lang w:eastAsia="zh-CN"/>
        </w:rPr>
        <w:t>永久</w:t>
      </w:r>
      <w:proofErr w:type="gramStart"/>
      <w:r w:rsidR="00CF5540" w:rsidRPr="00CF5540">
        <w:rPr>
          <w:rFonts w:ascii="Book Antiqua" w:hAnsi="Book Antiqua" w:cs="宋体"/>
          <w:sz w:val="22"/>
          <w:lang w:eastAsia="zh-CN"/>
        </w:rPr>
        <w:t>型</w:t>
      </w:r>
      <w:r w:rsidR="00395A67">
        <w:rPr>
          <w:rFonts w:hint="eastAsia"/>
          <w:lang w:eastAsia="zh-CN"/>
        </w:rPr>
        <w:t>处于</w:t>
      </w:r>
      <w:proofErr w:type="gramEnd"/>
      <w:r w:rsidR="00395A67">
        <w:rPr>
          <w:rFonts w:hint="eastAsia"/>
          <w:lang w:eastAsia="zh-CN"/>
        </w:rPr>
        <w:t>主导地位</w:t>
      </w:r>
    </w:p>
    <w:p w14:paraId="1DAC1641" w14:textId="75C50804" w:rsidR="00395A67" w:rsidRDefault="00CF5540" w:rsidP="00395A67">
      <w:pPr>
        <w:pStyle w:val="-"/>
        <w:rPr>
          <w:lang w:eastAsia="zh-CN"/>
        </w:rPr>
      </w:pPr>
      <w:r>
        <w:rPr>
          <w:noProof/>
          <w:lang w:val="en-US" w:eastAsia="zh-CN"/>
        </w:rPr>
        <w:drawing>
          <wp:inline distT="0" distB="0" distL="0" distR="0" wp14:anchorId="22D1688E" wp14:editId="7EE6CFE0">
            <wp:extent cx="6188710" cy="2922270"/>
            <wp:effectExtent l="0" t="0" r="2540" b="0"/>
            <wp:docPr id="3" name="图表 3">
              <a:extLst xmlns:a="http://schemas.openxmlformats.org/drawingml/2006/main">
                <a:ext uri="{FF2B5EF4-FFF2-40B4-BE49-F238E27FC236}">
                  <a16:creationId xmlns:a16="http://schemas.microsoft.com/office/drawing/2014/main" id="{C98244F3-DE39-4D13-9430-75678B889E6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5FE8DBF" w14:textId="05DEE7FC" w:rsidR="007F06CD" w:rsidRDefault="007F06CD" w:rsidP="007F06CD">
      <w:pPr>
        <w:pStyle w:val="Source"/>
        <w:rPr>
          <w:lang w:eastAsia="zh-CN"/>
        </w:rPr>
      </w:pPr>
      <w:r>
        <w:rPr>
          <w:rFonts w:hint="eastAsia"/>
          <w:lang w:eastAsia="zh-CN"/>
        </w:rPr>
        <w:t>来源：</w:t>
      </w:r>
      <w:r w:rsidR="00977B87">
        <w:rPr>
          <w:rFonts w:hint="eastAsia"/>
          <w:lang w:eastAsia="zh-CN"/>
        </w:rPr>
        <w:t xml:space="preserve">QYResearch </w:t>
      </w:r>
      <w:r w:rsidR="00977B87">
        <w:rPr>
          <w:rFonts w:hint="eastAsia"/>
          <w:lang w:eastAsia="zh-CN"/>
        </w:rPr>
        <w:t>机械设备研究中心</w:t>
      </w:r>
    </w:p>
    <w:p w14:paraId="7F5F2887" w14:textId="77777777" w:rsidR="00CF5540" w:rsidRPr="00CF5540" w:rsidRDefault="00CF5540" w:rsidP="00CF5540">
      <w:pPr>
        <w:widowControl/>
        <w:topLinePunct w:val="0"/>
        <w:spacing w:after="0"/>
        <w:rPr>
          <w:rFonts w:ascii="Book Antiqua" w:hAnsi="Book Antiqua" w:cs="宋体"/>
          <w:kern w:val="0"/>
          <w:sz w:val="22"/>
          <w:szCs w:val="22"/>
        </w:rPr>
      </w:pPr>
      <w:r w:rsidRPr="00CF5540">
        <w:rPr>
          <w:rFonts w:ascii="Book Antiqua" w:hAnsi="Book Antiqua" w:cs="宋体"/>
          <w:kern w:val="0"/>
          <w:sz w:val="22"/>
          <w:szCs w:val="22"/>
        </w:rPr>
        <w:t>就产品类型而言，目前永久型是最主要的细分产品，占据大约</w:t>
      </w:r>
      <w:r w:rsidRPr="00CF5540">
        <w:rPr>
          <w:rFonts w:ascii="Book Antiqua" w:hAnsi="Book Antiqua" w:cs="宋体"/>
          <w:kern w:val="0"/>
          <w:sz w:val="22"/>
          <w:szCs w:val="22"/>
        </w:rPr>
        <w:t>70.0%</w:t>
      </w:r>
      <w:r w:rsidRPr="00CF5540">
        <w:rPr>
          <w:rFonts w:ascii="Book Antiqua" w:hAnsi="Book Antiqua" w:cs="宋体"/>
          <w:kern w:val="0"/>
          <w:sz w:val="22"/>
          <w:szCs w:val="22"/>
        </w:rPr>
        <w:t>的份额。</w:t>
      </w:r>
    </w:p>
    <w:p w14:paraId="41C3AE68" w14:textId="77777777" w:rsidR="00395A67" w:rsidRPr="00CF5540" w:rsidRDefault="00395A67" w:rsidP="00395A67">
      <w:pPr>
        <w:pStyle w:val="-"/>
        <w:rPr>
          <w:lang w:val="en-US" w:eastAsia="zh-CN"/>
        </w:rPr>
      </w:pPr>
    </w:p>
    <w:p w14:paraId="0B069045" w14:textId="60CC641E" w:rsidR="00395A67" w:rsidRPr="001763C6" w:rsidRDefault="00977B87" w:rsidP="00395A67">
      <w:pPr>
        <w:pStyle w:val="FigureStyle"/>
        <w:rPr>
          <w:lang w:eastAsia="zh-CN"/>
        </w:rPr>
      </w:pPr>
      <w:r>
        <w:rPr>
          <w:lang w:eastAsia="zh-CN"/>
        </w:rPr>
        <w:t>敌对车辆缓解装置</w:t>
      </w:r>
      <w:r w:rsidR="00395A67">
        <w:rPr>
          <w:rFonts w:hint="eastAsia"/>
          <w:lang w:eastAsia="zh-CN"/>
        </w:rPr>
        <w:t>，全球市场规模，</w:t>
      </w:r>
      <w:proofErr w:type="gramStart"/>
      <w:r w:rsidR="00395A67">
        <w:rPr>
          <w:rFonts w:hint="eastAsia"/>
          <w:lang w:eastAsia="zh-CN"/>
        </w:rPr>
        <w:t>按应用</w:t>
      </w:r>
      <w:proofErr w:type="gramEnd"/>
      <w:r w:rsidR="00395A67">
        <w:rPr>
          <w:rFonts w:hint="eastAsia"/>
          <w:lang w:eastAsia="zh-CN"/>
        </w:rPr>
        <w:t>细分，</w:t>
      </w:r>
      <w:r w:rsidR="00CF5540" w:rsidRPr="00CF5540">
        <w:rPr>
          <w:rFonts w:ascii="Book Antiqua" w:hAnsi="Book Antiqua" w:cs="宋体"/>
          <w:sz w:val="22"/>
          <w:lang w:eastAsia="zh-CN"/>
        </w:rPr>
        <w:t>公共空间</w:t>
      </w:r>
      <w:r w:rsidR="00395A67">
        <w:rPr>
          <w:rFonts w:hint="eastAsia"/>
          <w:lang w:eastAsia="zh-CN"/>
        </w:rPr>
        <w:t>是最大的下游市场，占有</w:t>
      </w:r>
      <w:r w:rsidR="00CF5540">
        <w:rPr>
          <w:lang w:eastAsia="zh-CN"/>
        </w:rPr>
        <w:t>34.2%</w:t>
      </w:r>
      <w:r w:rsidR="00395A67">
        <w:rPr>
          <w:rFonts w:hint="eastAsia"/>
          <w:lang w:eastAsia="zh-CN"/>
        </w:rPr>
        <w:t>份额。</w:t>
      </w:r>
    </w:p>
    <w:p w14:paraId="1F9213C6" w14:textId="231E4397" w:rsidR="0016314C" w:rsidRPr="0016314C" w:rsidRDefault="00CF5540" w:rsidP="0016314C">
      <w:pPr>
        <w:widowControl/>
        <w:topLinePunct w:val="0"/>
        <w:spacing w:after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5B13B632" wp14:editId="1DF82A6A">
            <wp:extent cx="6188710" cy="2922270"/>
            <wp:effectExtent l="0" t="0" r="2540" b="0"/>
            <wp:docPr id="4" name="图表 4">
              <a:extLst xmlns:a="http://schemas.openxmlformats.org/drawingml/2006/main">
                <a:ext uri="{FF2B5EF4-FFF2-40B4-BE49-F238E27FC236}">
                  <a16:creationId xmlns:a16="http://schemas.microsoft.com/office/drawing/2014/main" id="{89975CD2-4DB9-4D92-81C8-355F2080679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4CF26C22" w14:textId="01280002" w:rsidR="002139E2" w:rsidRDefault="002139E2" w:rsidP="002139E2">
      <w:pPr>
        <w:pStyle w:val="Source"/>
        <w:rPr>
          <w:lang w:eastAsia="zh-CN"/>
        </w:rPr>
      </w:pPr>
      <w:r>
        <w:rPr>
          <w:rFonts w:hint="eastAsia"/>
          <w:lang w:eastAsia="zh-CN"/>
        </w:rPr>
        <w:t>来源：</w:t>
      </w:r>
      <w:r w:rsidR="00977B87">
        <w:rPr>
          <w:rFonts w:hint="eastAsia"/>
          <w:lang w:eastAsia="zh-CN"/>
        </w:rPr>
        <w:t xml:space="preserve">QYResearch </w:t>
      </w:r>
      <w:r w:rsidR="00977B87">
        <w:rPr>
          <w:rFonts w:hint="eastAsia"/>
          <w:lang w:eastAsia="zh-CN"/>
        </w:rPr>
        <w:t>机械设备研究中心</w:t>
      </w:r>
    </w:p>
    <w:p w14:paraId="67EBB327" w14:textId="77777777" w:rsidR="00CF5540" w:rsidRPr="00CF5540" w:rsidRDefault="00CF5540" w:rsidP="00CF5540">
      <w:pPr>
        <w:widowControl/>
        <w:topLinePunct w:val="0"/>
        <w:spacing w:after="0"/>
        <w:rPr>
          <w:rFonts w:ascii="Book Antiqua" w:hAnsi="Book Antiqua" w:cs="宋体"/>
          <w:kern w:val="0"/>
          <w:sz w:val="22"/>
          <w:szCs w:val="22"/>
        </w:rPr>
      </w:pPr>
      <w:r w:rsidRPr="00CF5540">
        <w:rPr>
          <w:rFonts w:ascii="Book Antiqua" w:hAnsi="Book Antiqua" w:cs="宋体"/>
          <w:kern w:val="0"/>
          <w:sz w:val="22"/>
          <w:szCs w:val="22"/>
        </w:rPr>
        <w:lastRenderedPageBreak/>
        <w:t>就产品应用而言，目前公共空间是最主要的需求来源，占据大约</w:t>
      </w:r>
      <w:r w:rsidRPr="00CF5540">
        <w:rPr>
          <w:rFonts w:ascii="Book Antiqua" w:hAnsi="Book Antiqua" w:cs="宋体"/>
          <w:kern w:val="0"/>
          <w:sz w:val="22"/>
          <w:szCs w:val="22"/>
        </w:rPr>
        <w:t>34.2%</w:t>
      </w:r>
      <w:r w:rsidRPr="00CF5540">
        <w:rPr>
          <w:rFonts w:ascii="Book Antiqua" w:hAnsi="Book Antiqua" w:cs="宋体"/>
          <w:kern w:val="0"/>
          <w:sz w:val="22"/>
          <w:szCs w:val="22"/>
        </w:rPr>
        <w:t>的份额。</w:t>
      </w:r>
    </w:p>
    <w:p w14:paraId="4B5D90DE" w14:textId="77777777" w:rsidR="00395A67" w:rsidRPr="00CF5540" w:rsidRDefault="00395A67" w:rsidP="00395A67">
      <w:pPr>
        <w:pStyle w:val="-"/>
        <w:rPr>
          <w:lang w:val="en-US" w:eastAsia="zh-CN"/>
        </w:rPr>
      </w:pPr>
    </w:p>
    <w:p w14:paraId="5F8B78C0" w14:textId="4C50F75F" w:rsidR="00395A67" w:rsidRPr="001763C6" w:rsidRDefault="00395A67" w:rsidP="00395A67">
      <w:pPr>
        <w:pStyle w:val="FigureStyle"/>
        <w:rPr>
          <w:lang w:eastAsia="zh-CN"/>
        </w:rPr>
      </w:pPr>
      <w:r>
        <w:rPr>
          <w:rFonts w:hint="eastAsia"/>
          <w:lang w:eastAsia="zh-CN"/>
        </w:rPr>
        <w:t>全球</w:t>
      </w:r>
      <w:r w:rsidR="00977B87">
        <w:rPr>
          <w:lang w:eastAsia="zh-CN"/>
        </w:rPr>
        <w:t>敌对车辆缓解装置</w:t>
      </w:r>
      <w:r>
        <w:rPr>
          <w:rFonts w:hint="eastAsia"/>
          <w:lang w:eastAsia="zh-CN"/>
        </w:rPr>
        <w:t>规模，主要生产地区份额（按产值）</w:t>
      </w:r>
    </w:p>
    <w:p w14:paraId="04A4515E" w14:textId="16CAECF4" w:rsidR="00395A67" w:rsidRDefault="00CF5540" w:rsidP="00395A67">
      <w:pPr>
        <w:pStyle w:val="-"/>
        <w:rPr>
          <w:lang w:val="en-US" w:eastAsia="zh-CN"/>
        </w:rPr>
      </w:pPr>
      <w:r>
        <w:rPr>
          <w:noProof/>
          <w:lang w:val="en-US" w:eastAsia="zh-CN"/>
        </w:rPr>
        <w:drawing>
          <wp:inline distT="0" distB="0" distL="0" distR="0" wp14:anchorId="01F11566" wp14:editId="67D64EA4">
            <wp:extent cx="6188710" cy="2922270"/>
            <wp:effectExtent l="0" t="0" r="2540" b="0"/>
            <wp:docPr id="5" name="图表 5">
              <a:extLst xmlns:a="http://schemas.openxmlformats.org/drawingml/2006/main">
                <a:ext uri="{FF2B5EF4-FFF2-40B4-BE49-F238E27FC236}">
                  <a16:creationId xmlns:a16="http://schemas.microsoft.com/office/drawing/2014/main" id="{7EF53A4E-9F2F-498A-8915-25FBDA709D4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7F53CCC8" w14:textId="4E2711B3" w:rsidR="002139E2" w:rsidRDefault="002139E2" w:rsidP="002139E2">
      <w:pPr>
        <w:pStyle w:val="Source"/>
        <w:rPr>
          <w:lang w:eastAsia="zh-CN"/>
        </w:rPr>
      </w:pPr>
      <w:r>
        <w:rPr>
          <w:rFonts w:hint="eastAsia"/>
          <w:lang w:eastAsia="zh-CN"/>
        </w:rPr>
        <w:t>来源：</w:t>
      </w:r>
      <w:r w:rsidR="00977B87">
        <w:rPr>
          <w:rFonts w:hint="eastAsia"/>
          <w:lang w:eastAsia="zh-CN"/>
        </w:rPr>
        <w:t xml:space="preserve">QYResearch </w:t>
      </w:r>
      <w:r w:rsidR="00977B87">
        <w:rPr>
          <w:rFonts w:hint="eastAsia"/>
          <w:lang w:eastAsia="zh-CN"/>
        </w:rPr>
        <w:t>机械设备研究中心</w:t>
      </w:r>
    </w:p>
    <w:p w14:paraId="55916E77" w14:textId="77777777" w:rsidR="002139E2" w:rsidRDefault="002139E2" w:rsidP="00395A67">
      <w:pPr>
        <w:pStyle w:val="Source"/>
        <w:rPr>
          <w:lang w:eastAsia="zh-CN"/>
        </w:rPr>
      </w:pPr>
    </w:p>
    <w:p w14:paraId="586054C0" w14:textId="77777777" w:rsidR="009821BD" w:rsidRPr="009821BD" w:rsidRDefault="009821BD" w:rsidP="009821BD">
      <w:pPr>
        <w:pStyle w:val="Source"/>
        <w:rPr>
          <w:rFonts w:ascii="Book Antiqua" w:hAnsi="Book Antiqua" w:cs="宋体"/>
          <w:i w:val="0"/>
          <w:noProof w:val="0"/>
          <w:color w:val="auto"/>
          <w:sz w:val="22"/>
          <w:lang w:val="en-US" w:eastAsia="zh-CN"/>
        </w:rPr>
      </w:pP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市场趋势</w:t>
      </w:r>
    </w:p>
    <w:p w14:paraId="02A026BD" w14:textId="40C7888A" w:rsidR="009821BD" w:rsidRPr="009821BD" w:rsidRDefault="009821BD" w:rsidP="009821BD">
      <w:pPr>
        <w:pStyle w:val="Source"/>
        <w:rPr>
          <w:rFonts w:ascii="Book Antiqua" w:hAnsi="Book Antiqua" w:cs="宋体"/>
          <w:i w:val="0"/>
          <w:noProof w:val="0"/>
          <w:color w:val="auto"/>
          <w:sz w:val="22"/>
          <w:lang w:val="en-US" w:eastAsia="zh-CN"/>
        </w:rPr>
      </w:pP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先进技术集成：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 xml:space="preserve">HVM 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设备越来越多地集成了生物识别、监控摄像机和传感器等先进技术。这些技术通过提供实时监控和快速响应选项，增强了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 xml:space="preserve"> HVM 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系统的功能。</w:t>
      </w:r>
    </w:p>
    <w:p w14:paraId="54FAE418" w14:textId="162561FE" w:rsidR="009821BD" w:rsidRPr="009821BD" w:rsidRDefault="009821BD" w:rsidP="009821BD">
      <w:pPr>
        <w:pStyle w:val="Source"/>
        <w:rPr>
          <w:rFonts w:ascii="Book Antiqua" w:hAnsi="Book Antiqua" w:cs="宋体"/>
          <w:i w:val="0"/>
          <w:noProof w:val="0"/>
          <w:color w:val="auto"/>
          <w:sz w:val="22"/>
          <w:lang w:val="en-US" w:eastAsia="zh-CN"/>
        </w:rPr>
      </w:pP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智能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 xml:space="preserve"> HVM 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系统：物联网和人工智能的融合正在促进智能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 xml:space="preserve"> HVM 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系统的发展，该系统可自动检测和应对潜在威胁。这些系统可以向安全人员发出警报，甚至在没有人工干预的情况</w:t>
      </w:r>
      <w:proofErr w:type="gramStart"/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下部署</w:t>
      </w:r>
      <w:proofErr w:type="gramEnd"/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应对措施。</w:t>
      </w:r>
    </w:p>
    <w:p w14:paraId="380D58D8" w14:textId="6106D179" w:rsidR="009821BD" w:rsidRPr="009821BD" w:rsidRDefault="009821BD" w:rsidP="009821BD">
      <w:pPr>
        <w:pStyle w:val="Source"/>
        <w:rPr>
          <w:rFonts w:ascii="Book Antiqua" w:hAnsi="Book Antiqua" w:cs="宋体"/>
          <w:i w:val="0"/>
          <w:noProof w:val="0"/>
          <w:color w:val="auto"/>
          <w:sz w:val="22"/>
          <w:lang w:val="en-US" w:eastAsia="zh-CN"/>
        </w:rPr>
      </w:pP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移动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 xml:space="preserve"> HVM 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解决方案：对可快速部署并根据需要移动到不同地点的移动式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 xml:space="preserve"> HVM 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设备的需求日益增长。这些解决方案尤其适用于需要临时安全措施的活动。</w:t>
      </w:r>
    </w:p>
    <w:p w14:paraId="73162511" w14:textId="349AA8AE" w:rsidR="009821BD" w:rsidRPr="009821BD" w:rsidRDefault="009821BD" w:rsidP="009821BD">
      <w:pPr>
        <w:pStyle w:val="Source"/>
        <w:rPr>
          <w:rFonts w:ascii="Book Antiqua" w:hAnsi="Book Antiqua" w:cs="宋体"/>
          <w:i w:val="0"/>
          <w:noProof w:val="0"/>
          <w:color w:val="auto"/>
          <w:sz w:val="22"/>
          <w:lang w:val="en-US" w:eastAsia="zh-CN"/>
        </w:rPr>
      </w:pP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增强美感：由于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 xml:space="preserve"> HVM 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设备通常安装在公共场所，因此现在的趋势是设计既安全又美观的系统。这包括使用透明或建筑一体化的屏障。</w:t>
      </w:r>
    </w:p>
    <w:p w14:paraId="3398EBC5" w14:textId="0F72AC74" w:rsidR="009821BD" w:rsidRPr="009821BD" w:rsidRDefault="009821BD" w:rsidP="009821BD">
      <w:pPr>
        <w:pStyle w:val="Source"/>
        <w:rPr>
          <w:rFonts w:ascii="Book Antiqua" w:hAnsi="Book Antiqua" w:cs="宋体"/>
          <w:i w:val="0"/>
          <w:noProof w:val="0"/>
          <w:color w:val="auto"/>
          <w:sz w:val="22"/>
          <w:lang w:val="en-US" w:eastAsia="zh-CN"/>
        </w:rPr>
      </w:pP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符合法规：随着安全标准的发展，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 xml:space="preserve">HVM 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设备必须符合新的法规。这推动了该行业的创新，因为各公司都在努力满足这些要求。</w:t>
      </w:r>
    </w:p>
    <w:p w14:paraId="0C99C24E" w14:textId="0CAD8F9F" w:rsidR="009821BD" w:rsidRPr="009821BD" w:rsidRDefault="009821BD" w:rsidP="009821BD">
      <w:pPr>
        <w:pStyle w:val="Source"/>
        <w:rPr>
          <w:rFonts w:ascii="Book Antiqua" w:hAnsi="Book Antiqua" w:cs="宋体"/>
          <w:i w:val="0"/>
          <w:noProof w:val="0"/>
          <w:color w:val="auto"/>
          <w:sz w:val="22"/>
          <w:lang w:val="en-US" w:eastAsia="zh-CN"/>
        </w:rPr>
      </w:pP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公私合作伙伴关系：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 xml:space="preserve">HVM 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设备的部署通常涉及政府机构和私营公司之间的合作。这些合作关系可以促进安全措施的快速实施。</w:t>
      </w:r>
    </w:p>
    <w:p w14:paraId="01BFE6BB" w14:textId="2D48704C" w:rsidR="009821BD" w:rsidRPr="009821BD" w:rsidRDefault="009821BD" w:rsidP="009821BD">
      <w:pPr>
        <w:pStyle w:val="Source"/>
        <w:rPr>
          <w:rFonts w:ascii="Book Antiqua" w:hAnsi="Book Antiqua" w:cs="宋体"/>
          <w:i w:val="0"/>
          <w:noProof w:val="0"/>
          <w:color w:val="auto"/>
          <w:sz w:val="22"/>
          <w:lang w:val="en-US" w:eastAsia="zh-CN"/>
        </w:rPr>
      </w:pP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关注软件解决方案：除了物理障碍外，人们对不妨碍公众出入或美观的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 xml:space="preserve"> 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“软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 xml:space="preserve"> 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”安全解决方案也越来越感兴趣。这些解决方案包括车载警报系统、预测分析和公众宣传活动。</w:t>
      </w:r>
    </w:p>
    <w:p w14:paraId="3A0356D8" w14:textId="214E4BB2" w:rsidR="009821BD" w:rsidRPr="009821BD" w:rsidRDefault="009821BD" w:rsidP="009821BD">
      <w:pPr>
        <w:pStyle w:val="Source"/>
        <w:rPr>
          <w:rFonts w:ascii="Book Antiqua" w:hAnsi="Book Antiqua" w:cs="宋体"/>
          <w:i w:val="0"/>
          <w:noProof w:val="0"/>
          <w:color w:val="auto"/>
          <w:sz w:val="22"/>
          <w:lang w:val="en-US" w:eastAsia="zh-CN"/>
        </w:rPr>
      </w:pP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可持续性：现在的趋势是开发对环境友好的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 xml:space="preserve"> HVM 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设备，如使用可持续材料和设计，最大限度地减少对环境的影响。</w:t>
      </w:r>
    </w:p>
    <w:p w14:paraId="2D277E2E" w14:textId="3ECA7C73" w:rsidR="009821BD" w:rsidRPr="009821BD" w:rsidRDefault="009821BD" w:rsidP="009821BD">
      <w:pPr>
        <w:pStyle w:val="Source"/>
        <w:rPr>
          <w:rFonts w:ascii="Book Antiqua" w:hAnsi="Book Antiqua" w:cs="宋体"/>
          <w:i w:val="0"/>
          <w:noProof w:val="0"/>
          <w:color w:val="auto"/>
          <w:sz w:val="22"/>
          <w:lang w:val="en-US" w:eastAsia="zh-CN"/>
        </w:rPr>
      </w:pP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lastRenderedPageBreak/>
        <w:t>全球扩张：由于安全问题并不局限于任何一个地区，高压气体监测设备市场正在经历全球扩张，发达国家和发展中国家的需求都在不断增长。</w:t>
      </w:r>
    </w:p>
    <w:p w14:paraId="5F206FCB" w14:textId="3B1EF76A" w:rsidR="009821BD" w:rsidRPr="009821BD" w:rsidRDefault="009821BD" w:rsidP="009821BD">
      <w:pPr>
        <w:pStyle w:val="Source"/>
        <w:rPr>
          <w:rFonts w:ascii="Book Antiqua" w:hAnsi="Book Antiqua" w:cs="宋体"/>
          <w:i w:val="0"/>
          <w:noProof w:val="0"/>
          <w:color w:val="auto"/>
          <w:sz w:val="22"/>
          <w:lang w:val="en-US" w:eastAsia="zh-CN"/>
        </w:rPr>
      </w:pP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培训和维护：越来越多的人认识到对安保人员进行适当培训以有效使用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 xml:space="preserve"> HVM 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设备的重要性，以及定期维护以确保其可靠性的必要性。</w:t>
      </w:r>
    </w:p>
    <w:p w14:paraId="74641357" w14:textId="21CD661B" w:rsidR="00441158" w:rsidRDefault="009821BD" w:rsidP="007317DA">
      <w:pPr>
        <w:pStyle w:val="Source"/>
        <w:rPr>
          <w:lang w:eastAsia="zh-CN"/>
        </w:rPr>
      </w:pP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总体而言，由于安全仍是政府和私营机构的重中之重，预计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 xml:space="preserve"> HVM </w:t>
      </w:r>
      <w:r w:rsidRPr="009821BD">
        <w:rPr>
          <w:rFonts w:ascii="Book Antiqua" w:hAnsi="Book Antiqua" w:cs="宋体" w:hint="eastAsia"/>
          <w:i w:val="0"/>
          <w:noProof w:val="0"/>
          <w:color w:val="auto"/>
          <w:sz w:val="22"/>
          <w:lang w:val="en-US" w:eastAsia="zh-CN"/>
        </w:rPr>
        <w:t>设备市场将持续发展。更集成、更智能、更多功能的安防解决方案将成为行业未来的发展趋势。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07A95001" w14:textId="77777777" w:rsidR="00E23F86" w:rsidRPr="00282954" w:rsidRDefault="00E23F86" w:rsidP="00423201">
      <w:pPr>
        <w:pStyle w:val="-"/>
        <w:rPr>
          <w:lang w:eastAsia="zh-CN"/>
        </w:rPr>
      </w:pPr>
    </w:p>
    <w:sectPr w:rsidR="00E23F86" w:rsidRPr="00282954" w:rsidSect="002E386A">
      <w:headerReference w:type="even" r:id="rId13"/>
      <w:headerReference w:type="default" r:id="rId14"/>
      <w:footerReference w:type="default" r:id="rId15"/>
      <w:headerReference w:type="first" r:id="rId16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9FB997" w14:textId="77777777" w:rsidR="007C139B" w:rsidRDefault="007C139B" w:rsidP="00AD7B8C">
      <w:r>
        <w:separator/>
      </w:r>
    </w:p>
  </w:endnote>
  <w:endnote w:type="continuationSeparator" w:id="0">
    <w:p w14:paraId="32EC9A52" w14:textId="77777777" w:rsidR="007C139B" w:rsidRDefault="007C139B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panose1 w:val="00000000000000000000"/>
    <w:charset w:val="00"/>
    <w:family w:val="roman"/>
    <w:notTrueType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altName w:val="Segoe Print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6E0980" w14:textId="5F1A551D" w:rsidR="00B11729" w:rsidRPr="006F4223" w:rsidRDefault="006F4223" w:rsidP="006F4223">
    <w:pPr>
      <w:pStyle w:val="a5"/>
      <w:jc w:val="center"/>
    </w:pPr>
    <w:r w:rsidRPr="006F4223">
      <w:t xml:space="preserve">Copyright © </w:t>
    </w:r>
    <w:proofErr w:type="spellStart"/>
    <w:r w:rsidRPr="006F4223">
      <w:t>QYResearch</w:t>
    </w:r>
    <w:proofErr w:type="spellEnd"/>
    <w:r w:rsidRPr="006F4223">
      <w:t xml:space="preserve"> | market@qyresearch.com | 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A30F07" w14:textId="77777777" w:rsidR="007C139B" w:rsidRDefault="007C139B" w:rsidP="00AD7B8C">
      <w:r>
        <w:separator/>
      </w:r>
    </w:p>
  </w:footnote>
  <w:footnote w:type="continuationSeparator" w:id="0">
    <w:p w14:paraId="3FC6E3D6" w14:textId="77777777" w:rsidR="007C139B" w:rsidRDefault="007C139B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39A2F" w14:textId="77777777" w:rsidR="00190492" w:rsidRDefault="00000000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1032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BBC53" w14:textId="77777777" w:rsidR="00705926" w:rsidRDefault="00705926" w:rsidP="00705926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301EA536" wp14:editId="22B4D07A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0DAE9338" wp14:editId="7D5275F9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65371B16" w14:textId="77777777" w:rsidR="00705926" w:rsidRPr="00A53AE9" w:rsidRDefault="00705926" w:rsidP="0070592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AE933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3R3GAIAAAsEAAAOAAAAZHJzL2Uyb0RvYy54bWysU21v2yAQ/j5p/wHxfbHjJU1sxam6dp0m&#10;dS9Sux+AMY7RgGNAYme/vgdO02j7No0PiOO45+6ee9hcj1qRg3BegqnpfJZTIgyHVppdTX883b9b&#10;U+IDMy1TYERNj8LT6+3bN5vBVqKAHlQrHEEQ46vB1rQPwVZZ5nkvNPMzsMKgswOnWUDT7bLWsQHR&#10;tcqKPL/KBnCtdcCF93h7NznpNuF3neDhW9d5EYiqKdYW0u7S3sQ9225YtXPM9pKfymD/UIVm0mDS&#10;M9QdC4zsnfwLSkvuwEMXZhx0Bl0nuUg9YDfz/I9uHntmReoFyfH2TJP/f7D86+G7I7LF2ZX5Ki/X&#10;q6uSEsM0zupJjIF8gJEUkabB+gpfP1p8H0a8xpDUsrcPwH96YuC2Z2YnbpyDoResxTLnMTK7CJ1w&#10;fARphi/QYhq2D5CAxs7pyCGyQhAdx3U8jyiWwvFyiTSVBbo4+lbr98syzTBj1Uu0dT58EqBJPNTU&#10;oQQSOjs8+BCrYdXLk5jMwL1UKslAGTLUtFwWyxRw4dEyoEqV1DVd53FNuolNfjRtCg5MqumMCZSJ&#10;0CLp75Q1chDbnggIYzNiWLxsoD0iGw4mbeJfwkMP7jclA+qypv7XnjlBifpskNFyvlhEISdjsVxF&#10;Ltylp7n0MMMRqqY8OEom4zYk+U+93yD3nUy0vNZymhgqLrF1+h1R0pd2evX6h7fPAAAA//8DAFBL&#10;AwQUAAYACAAAACEA4HRkKt8AAAAKAQAADwAAAGRycy9kb3ducmV2LnhtbEyPwU7DMBBE70j8g7VI&#10;XFDr1EBahTgVQqqEKjhQ+AAn3sZR43UUu2n4e5YT3GY1o5m35Xb2vZhwjF0gDatlBgKpCbajVsPX&#10;526xARGTIWv6QKjhGyNsq+ur0hQ2XOgDp0NqBZdQLIwGl9JQSBkbh97EZRiQ2DuG0ZvE59hKO5oL&#10;l/teqizLpTcd8YIzA744bE6Hs9dw54bs/e34Wu9s3rjTPpq1n/Za397Mz08gEs7pLwy/+IwOFTPV&#10;4Uw2il7D4j5n9MTiUSkQnFhv1AOImsVKgaxK+f+F6gcAAP//AwBQSwECLQAUAAYACAAAACEAtoM4&#10;kv4AAADhAQAAEwAAAAAAAAAAAAAAAAAAAAAAW0NvbnRlbnRfVHlwZXNdLnhtbFBLAQItABQABgAI&#10;AAAAIQA4/SH/1gAAAJQBAAALAAAAAAAAAAAAAAAAAC8BAABfcmVscy8ucmVsc1BLAQItABQABgAI&#10;AAAAIQBrb3R3GAIAAAsEAAAOAAAAAAAAAAAAAAAAAC4CAABkcnMvZTJvRG9jLnhtbFBLAQItABQA&#10;BgAIAAAAIQDgdGQq3wAAAAoBAAAPAAAAAAAAAAAAAAAAAHIEAABkcnMvZG93bnJldi54bWxQSwUG&#10;AAAAAAQABADzAAAAfgUAAAAA&#10;" filled="f" stroked="f">
              <v:textbox>
                <w:txbxContent>
                  <w:p w14:paraId="65371B16" w14:textId="77777777" w:rsidR="00705926" w:rsidRPr="00A53AE9" w:rsidRDefault="00705926" w:rsidP="0070592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02A48211" w14:textId="77777777" w:rsidR="00705926" w:rsidRDefault="00705926" w:rsidP="00705926">
    <w:pPr>
      <w:pStyle w:val="a3"/>
      <w:pBdr>
        <w:bottom w:val="none" w:sz="0" w:space="0" w:color="auto"/>
      </w:pBdr>
      <w:jc w:val="both"/>
    </w:pPr>
  </w:p>
  <w:p w14:paraId="7C1E6558" w14:textId="77777777" w:rsidR="00705926" w:rsidRDefault="00705926" w:rsidP="00705926">
    <w:pPr>
      <w:pStyle w:val="a3"/>
      <w:pBdr>
        <w:bottom w:val="none" w:sz="0" w:space="0" w:color="auto"/>
      </w:pBdr>
      <w:jc w:val="both"/>
    </w:pPr>
  </w:p>
  <w:p w14:paraId="3522D064" w14:textId="77777777" w:rsidR="00705926" w:rsidRDefault="00705926" w:rsidP="00705926">
    <w:pPr>
      <w:pStyle w:val="a3"/>
      <w:pBdr>
        <w:bottom w:val="none" w:sz="0" w:space="0" w:color="auto"/>
      </w:pBdr>
      <w:jc w:val="both"/>
    </w:pPr>
  </w:p>
  <w:p w14:paraId="0E6B6DFD" w14:textId="77777777" w:rsidR="00705926" w:rsidRDefault="00705926" w:rsidP="00705926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6DDD5" w14:textId="77777777" w:rsidR="00190492" w:rsidRDefault="00000000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1031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67411505">
    <w:abstractNumId w:val="2"/>
  </w:num>
  <w:num w:numId="2" w16cid:durableId="1578631654">
    <w:abstractNumId w:val="4"/>
  </w:num>
  <w:num w:numId="3" w16cid:durableId="248855629">
    <w:abstractNumId w:val="10"/>
  </w:num>
  <w:num w:numId="4" w16cid:durableId="521436961">
    <w:abstractNumId w:val="8"/>
  </w:num>
  <w:num w:numId="5" w16cid:durableId="1133064583">
    <w:abstractNumId w:val="17"/>
  </w:num>
  <w:num w:numId="6" w16cid:durableId="1633630523">
    <w:abstractNumId w:val="12"/>
  </w:num>
  <w:num w:numId="7" w16cid:durableId="688486114">
    <w:abstractNumId w:val="5"/>
  </w:num>
  <w:num w:numId="8" w16cid:durableId="1940987829">
    <w:abstractNumId w:val="3"/>
  </w:num>
  <w:num w:numId="9" w16cid:durableId="1135566273">
    <w:abstractNumId w:val="16"/>
  </w:num>
  <w:num w:numId="10" w16cid:durableId="7173781">
    <w:abstractNumId w:val="6"/>
  </w:num>
  <w:num w:numId="11" w16cid:durableId="530383489">
    <w:abstractNumId w:val="1"/>
  </w:num>
  <w:num w:numId="12" w16cid:durableId="847644250">
    <w:abstractNumId w:val="13"/>
  </w:num>
  <w:num w:numId="13" w16cid:durableId="1703550187">
    <w:abstractNumId w:val="18"/>
  </w:num>
  <w:num w:numId="14" w16cid:durableId="1930459239">
    <w:abstractNumId w:val="14"/>
  </w:num>
  <w:num w:numId="15" w16cid:durableId="216401510">
    <w:abstractNumId w:val="11"/>
  </w:num>
  <w:num w:numId="16" w16cid:durableId="1974669949">
    <w:abstractNumId w:val="0"/>
  </w:num>
  <w:num w:numId="17" w16cid:durableId="1269041712">
    <w:abstractNumId w:val="7"/>
  </w:num>
  <w:num w:numId="18" w16cid:durableId="505679484">
    <w:abstractNumId w:val="9"/>
  </w:num>
  <w:num w:numId="19" w16cid:durableId="14386433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CD5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2D3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85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542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8A9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9E2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CE5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5E70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BC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3E9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3E8A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9C6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B6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6FEF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632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6CD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3CD1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56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9E4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8A5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C96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4A1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494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7DA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575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56E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0C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BC6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24F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E4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39B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122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CD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6E1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36A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774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27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B87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1BD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57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020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2E49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D2D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A33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AD7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AA2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791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910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5D4E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4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84C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11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06C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3A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2C7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1F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A77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29A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65E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7FF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BE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5F83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0AF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TOC1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TOC2">
    <w:name w:val="toc 2"/>
    <w:basedOn w:val="Boldtext1"/>
    <w:next w:val="Boldtext1"/>
    <w:link w:val="TOC20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TOC3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3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4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1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5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5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6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7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8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9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9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3">
    <w:name w:val="样式 标题 5 + (中文) 宋体"/>
    <w:basedOn w:val="5"/>
    <w:rsid w:val="00AD7B8C"/>
  </w:style>
  <w:style w:type="character" w:customStyle="1" w:styleId="13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TOC4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a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a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b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c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c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d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d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e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417AEB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417AEB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表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TOC20">
    <w:name w:val="TOC 2 字符"/>
    <w:basedOn w:val="a0"/>
    <w:link w:val="TOC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5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3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4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4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7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7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2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9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56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7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55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17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62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48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73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novo\Desktop\&#23459;&#20256;&#26448;&#26009;\&#23459;&#20256;&#26448;&#26009;%20&#27169;&#26495;Word%2020240903\&#35266;&#28857;&#25968;&#25454;&#22270;&#34920;&#27169;&#26495;-&#27169;&#26495;%2020240612%20&#20026;&#20934;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novo\Desktop\&#23459;&#20256;&#26448;&#26009;\&#23459;&#20256;&#26448;&#26009;%20&#27169;&#26495;Word%2020240903\&#35266;&#28857;&#25968;&#25454;&#22270;&#34920;&#27169;&#26495;-&#27169;&#26495;%2020240612%20&#20026;&#20934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novo\Desktop\&#23459;&#20256;&#26448;&#26009;\&#23459;&#20256;&#26448;&#26009;%20&#27169;&#26495;Word%2020240903\&#35266;&#28857;&#25968;&#25454;&#22270;&#34920;&#27169;&#26495;-&#27169;&#26495;%2020240612%20&#20026;&#20934;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novo\Desktop\&#23459;&#20256;&#26448;&#26009;\&#23459;&#20256;&#26448;&#26009;%20&#27169;&#26495;Word%2020240903\&#35266;&#28857;&#25968;&#25454;&#22270;&#34920;&#27169;&#26495;-&#27169;&#26495;%2020240612%20&#20026;&#20934;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novo\Desktop\&#23459;&#20256;&#26448;&#26009;\&#23459;&#20256;&#26448;&#26009;%20&#27169;&#26495;Word%2020240903\&#35266;&#28857;&#25968;&#25454;&#22270;&#34920;&#27169;&#26495;-&#27169;&#26495;%2020240612%20&#20026;&#20934;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Global Market Size ($ Mn)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3.3368062971861234E-2"/>
          <c:y val="0.13144084967320263"/>
          <c:w val="0.93728395061728398"/>
          <c:h val="0.7930303921568627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全球总体!$R$7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numRef>
              <c:f>全球总体!$S$6:$U$6</c:f>
              <c:numCache>
                <c:formatCode>General</c:formatCode>
                <c:ptCount val="3"/>
                <c:pt idx="0">
                  <c:v>2019</c:v>
                </c:pt>
                <c:pt idx="1">
                  <c:v>2024</c:v>
                </c:pt>
                <c:pt idx="2">
                  <c:v>2030</c:v>
                </c:pt>
              </c:numCache>
            </c:numRef>
          </c:cat>
          <c:val>
            <c:numRef>
              <c:f>全球总体!$S$7:$U$7</c:f>
              <c:numCache>
                <c:formatCode>#,##0_ </c:formatCode>
                <c:ptCount val="3"/>
                <c:pt idx="0">
                  <c:v>208.14</c:v>
                </c:pt>
                <c:pt idx="1">
                  <c:v>275.81</c:v>
                </c:pt>
                <c:pt idx="2">
                  <c:v>370.59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763-47AA-A479-B041B5823A2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serLines>
          <c:spPr>
            <a:ln w="15875" cap="sq" cmpd="sng" algn="ctr">
              <a:solidFill>
                <a:srgbClr val="002060"/>
              </a:solidFill>
              <a:round/>
              <a:headEnd type="triangle"/>
            </a:ln>
            <a:effectLst/>
          </c:spPr>
        </c:serLines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+mn-cs"/>
              </a:defRPr>
            </a:pPr>
            <a:r>
              <a:rPr lang="zh-CN" sz="1100"/>
              <a:t>全球市场主要企业排名</a:t>
            </a:r>
            <a:endParaRPr lang="en-US" sz="1100"/>
          </a:p>
        </c:rich>
      </c:tx>
      <c:layout>
        <c:manualLayout>
          <c:xMode val="edge"/>
          <c:yMode val="edge"/>
          <c:x val="0.33202077865266844"/>
          <c:y val="3.463208185169833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宋体" panose="02010600030101010101" pitchFamily="2" charset="-122"/>
              <a:cs typeface="+mn-cs"/>
            </a:defRPr>
          </a:pPr>
          <a:endParaRPr lang="zh-CN"/>
        </a:p>
      </c:tx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企业收入!$I$1</c:f>
              <c:strCache>
                <c:ptCount val="1"/>
                <c:pt idx="0">
                  <c:v>2023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CA0F-4455-8F45-83F8C2BFB813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CA0F-4455-8F45-83F8C2BFB813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CA0F-4455-8F45-83F8C2BFB813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CA0F-4455-8F45-83F8C2BFB813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CA0F-4455-8F45-83F8C2BFB813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CA0F-4455-8F45-83F8C2BFB813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CA0F-4455-8F45-83F8C2BFB813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CA0F-4455-8F45-83F8C2BFB813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CA0F-4455-8F45-83F8C2BFB813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CA0F-4455-8F45-83F8C2BFB813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CA0F-4455-8F45-83F8C2BFB813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CA0F-4455-8F45-83F8C2BFB813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CA0F-4455-8F45-83F8C2BFB813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CA0F-4455-8F45-83F8C2BFB813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D-CA0F-4455-8F45-83F8C2BFB813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F-CA0F-4455-8F45-83F8C2BFB813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1-CA0F-4455-8F45-83F8C2BFB813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3-CA0F-4455-8F45-83F8C2BFB813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5-CA0F-4455-8F45-83F8C2BFB813}"/>
              </c:ext>
            </c:extLst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7-CA0F-4455-8F45-83F8C2BFB813}"/>
              </c:ext>
            </c:extLst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9-CA0F-4455-8F45-83F8C2BFB813}"/>
              </c:ext>
            </c:extLst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B-CA0F-4455-8F45-83F8C2BFB813}"/>
              </c:ext>
            </c:extLst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D-CA0F-4455-8F45-83F8C2BFB813}"/>
              </c:ext>
            </c:extLst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F-CA0F-4455-8F45-83F8C2BFB813}"/>
              </c:ext>
            </c:extLst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1-CA0F-4455-8F45-83F8C2BFB813}"/>
              </c:ext>
            </c:extLst>
          </c:dPt>
          <c:dPt>
            <c:idx val="25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3-CA0F-4455-8F45-83F8C2BFB813}"/>
              </c:ext>
            </c:extLst>
          </c:dPt>
          <c:cat>
            <c:strRef>
              <c:f>企业收入!$H$2:$H$12</c:f>
              <c:strCache>
                <c:ptCount val="11"/>
                <c:pt idx="0">
                  <c:v>Hill &amp; Smith Infrastructure</c:v>
                </c:pt>
                <c:pt idx="1">
                  <c:v>ATG Access</c:v>
                </c:pt>
                <c:pt idx="2">
                  <c:v>HySecurity</c:v>
                </c:pt>
                <c:pt idx="3">
                  <c:v>RHI Industrials</c:v>
                </c:pt>
                <c:pt idx="4">
                  <c:v>Heald</c:v>
                </c:pt>
                <c:pt idx="5">
                  <c:v>Townscape Products</c:v>
                </c:pt>
                <c:pt idx="6">
                  <c:v>Jacksons Fencing</c:v>
                </c:pt>
                <c:pt idx="7">
                  <c:v>Cova Security Gates</c:v>
                </c:pt>
                <c:pt idx="8">
                  <c:v>TYMETAL</c:v>
                </c:pt>
                <c:pt idx="9">
                  <c:v>Gunnebo</c:v>
                </c:pt>
                <c:pt idx="10">
                  <c:v>Ezi Security Systems</c:v>
                </c:pt>
              </c:strCache>
            </c:strRef>
          </c:cat>
          <c:val>
            <c:numRef>
              <c:f>企业收入!$I$2:$I$12</c:f>
              <c:numCache>
                <c:formatCode>0.0%</c:formatCode>
                <c:ptCount val="11"/>
                <c:pt idx="0">
                  <c:v>0.12699442705550043</c:v>
                </c:pt>
                <c:pt idx="1">
                  <c:v>9.5961523780441246E-2</c:v>
                </c:pt>
                <c:pt idx="2">
                  <c:v>9.2297121917703631E-2</c:v>
                </c:pt>
                <c:pt idx="3">
                  <c:v>8.5693564394228552E-2</c:v>
                </c:pt>
                <c:pt idx="4">
                  <c:v>4.2865867623482705E-2</c:v>
                </c:pt>
                <c:pt idx="5">
                  <c:v>3.8819757233376592E-2</c:v>
                </c:pt>
                <c:pt idx="6">
                  <c:v>3.5651576456218026E-2</c:v>
                </c:pt>
                <c:pt idx="7">
                  <c:v>2.2139094587373079E-2</c:v>
                </c:pt>
                <c:pt idx="8">
                  <c:v>2.0306893656004275E-2</c:v>
                </c:pt>
                <c:pt idx="9">
                  <c:v>1.6337124971371859E-2</c:v>
                </c:pt>
                <c:pt idx="10">
                  <c:v>1.0535155355370637E-2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4-CA0F-4455-8F45-83F8C2BFB81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axId val="1272139183"/>
        <c:axId val="1326546959"/>
      </c:barChart>
      <c:catAx>
        <c:axId val="1272139183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+mn-cs"/>
              </a:defRPr>
            </a:pPr>
            <a:endParaRPr lang="zh-CN"/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t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+mn-cs"/>
              </a:defRPr>
            </a:pPr>
            <a:endParaRPr lang="zh-CN"/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baseline="0">
          <a:latin typeface="Times New Roman" panose="02020603050405020304" pitchFamily="18" charset="0"/>
          <a:ea typeface="宋体" panose="02010600030101010101" pitchFamily="2" charset="-122"/>
        </a:defRPr>
      </a:pPr>
      <a:endParaRPr lang="zh-CN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2.9987808641975314E-2"/>
          <c:y val="2.1166666666666667E-2"/>
          <c:w val="0.93620709876543207"/>
          <c:h val="0.75544166666666668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分类!$A$2</c:f>
              <c:strCache>
                <c:ptCount val="1"/>
                <c:pt idx="0">
                  <c:v>永久型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numRef>
              <c:f>分类!$B$1:$M$1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分类!$B$2:$M$2</c:f>
              <c:numCache>
                <c:formatCode>#,##0_);[Red]\(#,##0\)</c:formatCode>
                <c:ptCount val="12"/>
                <c:pt idx="0">
                  <c:v>144.11620128100066</c:v>
                </c:pt>
                <c:pt idx="1">
                  <c:v>153.49205599999999</c:v>
                </c:pt>
                <c:pt idx="2">
                  <c:v>166.03719660000002</c:v>
                </c:pt>
                <c:pt idx="3">
                  <c:v>171.04184899999998</c:v>
                </c:pt>
                <c:pt idx="4">
                  <c:v>183.29962200000003</c:v>
                </c:pt>
                <c:pt idx="5">
                  <c:v>193.68060489999999</c:v>
                </c:pt>
                <c:pt idx="6">
                  <c:v>204.39050750000001</c:v>
                </c:pt>
                <c:pt idx="7">
                  <c:v>215.96348999999998</c:v>
                </c:pt>
                <c:pt idx="8">
                  <c:v>229.33389639999999</c:v>
                </c:pt>
                <c:pt idx="9">
                  <c:v>241.66037820000003</c:v>
                </c:pt>
                <c:pt idx="10">
                  <c:v>253.95760940000002</c:v>
                </c:pt>
                <c:pt idx="11">
                  <c:v>265.12891969999998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7F4-4827-833B-318B775F32F6}"/>
            </c:ext>
          </c:extLst>
        </c:ser>
        <c:ser>
          <c:idx val="1"/>
          <c:order val="1"/>
          <c:tx>
            <c:strRef>
              <c:f>分类!$A$3</c:f>
              <c:strCache>
                <c:ptCount val="1"/>
                <c:pt idx="0">
                  <c:v>临时型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numRef>
              <c:f>分类!$B$1:$M$1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分类!$B$3:$M$3</c:f>
              <c:numCache>
                <c:formatCode>#,##0_);[Red]\(#,##0\)</c:formatCode>
                <c:ptCount val="12"/>
                <c:pt idx="0">
                  <c:v>44.182356018999315</c:v>
                </c:pt>
                <c:pt idx="1">
                  <c:v>47.543301000000007</c:v>
                </c:pt>
                <c:pt idx="2">
                  <c:v>51.676234399999991</c:v>
                </c:pt>
                <c:pt idx="3">
                  <c:v>52.841473800000003</c:v>
                </c:pt>
                <c:pt idx="4">
                  <c:v>55.30977</c:v>
                </c:pt>
                <c:pt idx="5">
                  <c:v>57.752083200000008</c:v>
                </c:pt>
                <c:pt idx="6">
                  <c:v>59.776833599999996</c:v>
                </c:pt>
                <c:pt idx="7">
                  <c:v>62.343621600000006</c:v>
                </c:pt>
                <c:pt idx="8">
                  <c:v>65.197699599999993</c:v>
                </c:pt>
                <c:pt idx="9">
                  <c:v>68.542159400000003</c:v>
                </c:pt>
                <c:pt idx="10">
                  <c:v>71.585085599999999</c:v>
                </c:pt>
                <c:pt idx="11">
                  <c:v>74.820945900000012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7F4-4827-833B-318B775F32F6}"/>
            </c:ext>
          </c:extLst>
        </c:ser>
        <c:ser>
          <c:idx val="2"/>
          <c:order val="2"/>
          <c:tx>
            <c:strRef>
              <c:f>分类!$A$4</c:f>
              <c:strCache>
                <c:ptCount val="1"/>
                <c:pt idx="0">
                  <c:v>半永久型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numRef>
              <c:f>分类!$B$1:$M$1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分类!$B$4:$M$4</c:f>
              <c:numCache>
                <c:formatCode>#,##0_);[Red]\(#,##0\)</c:formatCode>
                <c:ptCount val="12"/>
                <c:pt idx="0">
                  <c:v>19.841442700000002</c:v>
                </c:pt>
                <c:pt idx="1">
                  <c:v>20.654643</c:v>
                </c:pt>
                <c:pt idx="2">
                  <c:v>21.876569</c:v>
                </c:pt>
                <c:pt idx="3">
                  <c:v>22.256677200000002</c:v>
                </c:pt>
                <c:pt idx="4">
                  <c:v>23.370607999999997</c:v>
                </c:pt>
                <c:pt idx="5">
                  <c:v>24.377311900000002</c:v>
                </c:pt>
                <c:pt idx="6">
                  <c:v>25.212658899999997</c:v>
                </c:pt>
                <c:pt idx="7">
                  <c:v>26.2528884</c:v>
                </c:pt>
                <c:pt idx="8">
                  <c:v>27.488404000000003</c:v>
                </c:pt>
                <c:pt idx="9">
                  <c:v>28.597462400000001</c:v>
                </c:pt>
                <c:pt idx="10">
                  <c:v>29.677305000000004</c:v>
                </c:pt>
                <c:pt idx="11">
                  <c:v>30.640134400000001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7F4-4827-833B-318B775F32F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21015819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6.9548531289910606E-2"/>
          <c:y val="0.86550222222222217"/>
          <c:w val="0.27494444444444444"/>
          <c:h val="6.584640522875817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9185344827586204E-2"/>
          <c:y val="3.175E-2"/>
          <c:w val="0.89308981481481486"/>
          <c:h val="0.70148758169934622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应用!$A$2</c:f>
              <c:strCache>
                <c:ptCount val="1"/>
                <c:pt idx="0">
                  <c:v>公共空间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应用!$B$2:$M$2</c:f>
              <c:numCache>
                <c:formatCode>#,##0_);[Red]\(#,##0\)</c:formatCode>
                <c:ptCount val="12"/>
                <c:pt idx="0">
                  <c:v>67.530429899999973</c:v>
                </c:pt>
                <c:pt idx="1">
                  <c:v>73.290984017264293</c:v>
                </c:pt>
                <c:pt idx="2">
                  <c:v>80.361426680895903</c:v>
                </c:pt>
                <c:pt idx="3">
                  <c:v>83.466051719565172</c:v>
                </c:pt>
                <c:pt idx="4">
                  <c:v>89.621143063377701</c:v>
                </c:pt>
                <c:pt idx="5">
                  <c:v>94.529449112004812</c:v>
                </c:pt>
                <c:pt idx="6">
                  <c:v>99.802888603882479</c:v>
                </c:pt>
                <c:pt idx="7">
                  <c:v>105.49649609233319</c:v>
                </c:pt>
                <c:pt idx="8">
                  <c:v>112.06914276255515</c:v>
                </c:pt>
                <c:pt idx="9">
                  <c:v>118.382311285387</c:v>
                </c:pt>
                <c:pt idx="10">
                  <c:v>124.54841161565361</c:v>
                </c:pt>
                <c:pt idx="11">
                  <c:v>130.48592292649357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8EC-44C8-B836-ABA6CD6354FB}"/>
            </c:ext>
          </c:extLst>
        </c:ser>
        <c:ser>
          <c:idx val="1"/>
          <c:order val="1"/>
          <c:tx>
            <c:strRef>
              <c:f>应用!$A$3</c:f>
              <c:strCache>
                <c:ptCount val="1"/>
                <c:pt idx="0">
                  <c:v>交通枢纽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应用!$B$3:$M$3</c:f>
              <c:numCache>
                <c:formatCode>#,##0_);[Red]\(#,##0\)</c:formatCode>
                <c:ptCount val="12"/>
                <c:pt idx="0">
                  <c:v>65.560135200000005</c:v>
                </c:pt>
                <c:pt idx="1">
                  <c:v>69.938658876944288</c:v>
                </c:pt>
                <c:pt idx="2">
                  <c:v>75.505549745000508</c:v>
                </c:pt>
                <c:pt idx="3">
                  <c:v>77.300384239347466</c:v>
                </c:pt>
                <c:pt idx="4">
                  <c:v>81.714796056183928</c:v>
                </c:pt>
                <c:pt idx="5">
                  <c:v>85.834324340671003</c:v>
                </c:pt>
                <c:pt idx="6">
                  <c:v>89.621390951421276</c:v>
                </c:pt>
                <c:pt idx="7">
                  <c:v>93.905241036164298</c:v>
                </c:pt>
                <c:pt idx="8">
                  <c:v>98.809466196971741</c:v>
                </c:pt>
                <c:pt idx="9">
                  <c:v>103.48516441602675</c:v>
                </c:pt>
                <c:pt idx="10">
                  <c:v>108.21937585236282</c:v>
                </c:pt>
                <c:pt idx="11">
                  <c:v>112.41426444685533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8EC-44C8-B836-ABA6CD6354FB}"/>
            </c:ext>
          </c:extLst>
        </c:ser>
        <c:ser>
          <c:idx val="2"/>
          <c:order val="2"/>
          <c:tx>
            <c:strRef>
              <c:f>应用!$A$4</c:f>
              <c:strCache>
                <c:ptCount val="1"/>
                <c:pt idx="0">
                  <c:v>政府和企业大楼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应用!$B$4:$M$4</c:f>
              <c:numCache>
                <c:formatCode>#,##0_);[Red]\(#,##0\)</c:formatCode>
                <c:ptCount val="12"/>
                <c:pt idx="0">
                  <c:v>35.170104899999998</c:v>
                </c:pt>
                <c:pt idx="1">
                  <c:v>36.435420465905956</c:v>
                </c:pt>
                <c:pt idx="2">
                  <c:v>38.750330762135661</c:v>
                </c:pt>
                <c:pt idx="3">
                  <c:v>39.437883121119022</c:v>
                </c:pt>
                <c:pt idx="4">
                  <c:v>42.186255706969128</c:v>
                </c:pt>
                <c:pt idx="5">
                  <c:v>44.762749670605565</c:v>
                </c:pt>
                <c:pt idx="6">
                  <c:v>47.409615631348494</c:v>
                </c:pt>
                <c:pt idx="7">
                  <c:v>50.350314474754576</c:v>
                </c:pt>
                <c:pt idx="8">
                  <c:v>53.61021414813505</c:v>
                </c:pt>
                <c:pt idx="9">
                  <c:v>56.744560989684274</c:v>
                </c:pt>
                <c:pt idx="10">
                  <c:v>59.749274704714601</c:v>
                </c:pt>
                <c:pt idx="11">
                  <c:v>62.446779175213891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8EC-44C8-B836-ABA6CD6354FB}"/>
            </c:ext>
          </c:extLst>
        </c:ser>
        <c:ser>
          <c:idx val="3"/>
          <c:order val="3"/>
          <c:tx>
            <c:strRef>
              <c:f>应用!$A$5</c:f>
              <c:strCache>
                <c:ptCount val="1"/>
                <c:pt idx="0">
                  <c:v>其他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numRef>
              <c:f>应用!$B$1:$M$1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应用!$B$5:$M$5</c:f>
              <c:numCache>
                <c:formatCode>#,##0_);[Red]\(#,##0\)</c:formatCode>
                <c:ptCount val="12"/>
                <c:pt idx="0">
                  <c:v>39.879330000000003</c:v>
                </c:pt>
                <c:pt idx="1">
                  <c:v>42.024936639885468</c:v>
                </c:pt>
                <c:pt idx="2">
                  <c:v>44.972692811967931</c:v>
                </c:pt>
                <c:pt idx="3">
                  <c:v>45.93568091996832</c:v>
                </c:pt>
                <c:pt idx="4">
                  <c:v>48.457805173469275</c:v>
                </c:pt>
                <c:pt idx="5">
                  <c:v>50.683476876718629</c:v>
                </c:pt>
                <c:pt idx="6">
                  <c:v>52.546104813347746</c:v>
                </c:pt>
                <c:pt idx="7">
                  <c:v>54.807948396747953</c:v>
                </c:pt>
                <c:pt idx="8">
                  <c:v>57.531176892338038</c:v>
                </c:pt>
                <c:pt idx="9">
                  <c:v>60.187963308902013</c:v>
                </c:pt>
                <c:pt idx="10">
                  <c:v>62.702937827269025</c:v>
                </c:pt>
                <c:pt idx="11">
                  <c:v>65.243033451437171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8EC-44C8-B836-ABA6CD6354F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21015819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6.9548531289910606E-2"/>
          <c:y val="0.86550222222222217"/>
          <c:w val="0.84431141975308643"/>
          <c:h val="0.1344977124183006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r>
              <a:rPr lang="en-US" altLang="zh-CN" sz="1200">
                <a:latin typeface="Book Antiqua" panose="02040602050305030304" pitchFamily="18" charset="0"/>
              </a:rPr>
              <a:t>Market Size By Region, 2019 Vs 2024 VS 2030</a:t>
            </a:r>
            <a:endParaRPr lang="zh-CN" altLang="en-US" sz="1200">
              <a:latin typeface="Book Antiqua" panose="0204060205030503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8" charset="0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'地区-生产'!$AE$1</c:f>
              <c:strCache>
                <c:ptCount val="1"/>
                <c:pt idx="0">
                  <c:v>2019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cat>
            <c:strRef>
              <c:f>'地区-生产'!$AD$2:$AD$6</c:f>
              <c:strCache>
                <c:ptCount val="5"/>
                <c:pt idx="0">
                  <c:v>North America</c:v>
                </c:pt>
                <c:pt idx="1">
                  <c:v>Europe</c:v>
                </c:pt>
                <c:pt idx="2">
                  <c:v>China</c:v>
                </c:pt>
                <c:pt idx="3">
                  <c:v>Japan</c:v>
                </c:pt>
                <c:pt idx="4">
                  <c:v>Other Regions</c:v>
                </c:pt>
              </c:strCache>
            </c:strRef>
          </c:cat>
          <c:val>
            <c:numRef>
              <c:f>'地区-生产'!$AE$2:$AE$6</c:f>
              <c:numCache>
                <c:formatCode>#,##0_);[Red]\(#,##0\)</c:formatCode>
                <c:ptCount val="5"/>
                <c:pt idx="0">
                  <c:v>33.08130752541561</c:v>
                </c:pt>
                <c:pt idx="1">
                  <c:v>141.38982465145924</c:v>
                </c:pt>
                <c:pt idx="2">
                  <c:v>15.38495908467411</c:v>
                </c:pt>
                <c:pt idx="3">
                  <c:v>2.9359752549938163</c:v>
                </c:pt>
                <c:pt idx="4">
                  <c:v>15.347933483457222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0A4-478B-AECE-6A82B1205853}"/>
            </c:ext>
          </c:extLst>
        </c:ser>
        <c:ser>
          <c:idx val="1"/>
          <c:order val="1"/>
          <c:tx>
            <c:strRef>
              <c:f>'地区-生产'!$AF$1</c:f>
              <c:strCache>
                <c:ptCount val="1"/>
                <c:pt idx="0">
                  <c:v>2023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strRef>
              <c:f>'地区-生产'!$AD$2:$AD$6</c:f>
              <c:strCache>
                <c:ptCount val="5"/>
                <c:pt idx="0">
                  <c:v>North America</c:v>
                </c:pt>
                <c:pt idx="1">
                  <c:v>Europe</c:v>
                </c:pt>
                <c:pt idx="2">
                  <c:v>China</c:v>
                </c:pt>
                <c:pt idx="3">
                  <c:v>Japan</c:v>
                </c:pt>
                <c:pt idx="4">
                  <c:v>Other Regions</c:v>
                </c:pt>
              </c:strCache>
            </c:strRef>
          </c:cat>
          <c:val>
            <c:numRef>
              <c:f>'地区-生产'!$AF$2:$AF$6</c:f>
              <c:numCache>
                <c:formatCode>#,##0_);[Red]\(#,##0\)</c:formatCode>
                <c:ptCount val="5"/>
                <c:pt idx="0">
                  <c:v>40.883570200000037</c:v>
                </c:pt>
                <c:pt idx="1">
                  <c:v>175.98561549999999</c:v>
                </c:pt>
                <c:pt idx="2">
                  <c:v>22.063599000000004</c:v>
                </c:pt>
                <c:pt idx="3">
                  <c:v>3.6123750000000001</c:v>
                </c:pt>
                <c:pt idx="4">
                  <c:v>19.434840300000001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0A4-478B-AECE-6A82B1205853}"/>
            </c:ext>
          </c:extLst>
        </c:ser>
        <c:ser>
          <c:idx val="2"/>
          <c:order val="2"/>
          <c:tx>
            <c:strRef>
              <c:f>'地区-生产'!$AG$1</c:f>
              <c:strCache>
                <c:ptCount val="1"/>
                <c:pt idx="0">
                  <c:v>2030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strRef>
              <c:f>'地区-生产'!$AD$2:$AD$6</c:f>
              <c:strCache>
                <c:ptCount val="5"/>
                <c:pt idx="0">
                  <c:v>North America</c:v>
                </c:pt>
                <c:pt idx="1">
                  <c:v>Europe</c:v>
                </c:pt>
                <c:pt idx="2">
                  <c:v>China</c:v>
                </c:pt>
                <c:pt idx="3">
                  <c:v>Japan</c:v>
                </c:pt>
                <c:pt idx="4">
                  <c:v>Other Regions</c:v>
                </c:pt>
              </c:strCache>
            </c:strRef>
          </c:cat>
          <c:val>
            <c:numRef>
              <c:f>'地区-生产'!$AG$2:$AG$6</c:f>
              <c:numCache>
                <c:formatCode>#,##0_);[Red]\(#,##0\)</c:formatCode>
                <c:ptCount val="5"/>
                <c:pt idx="0">
                  <c:v>54.766109400000062</c:v>
                </c:pt>
                <c:pt idx="1">
                  <c:v>249.80974899999995</c:v>
                </c:pt>
                <c:pt idx="2">
                  <c:v>34.982895000000006</c:v>
                </c:pt>
                <c:pt idx="3">
                  <c:v>4.7852420000000002</c:v>
                </c:pt>
                <c:pt idx="4">
                  <c:v>26.246004599999999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0A4-478B-AECE-6A82B120585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8" charset="0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0.60793</cdr:x>
      <cdr:y>0.27494</cdr:y>
    </cdr:from>
    <cdr:to>
      <cdr:x>0.7304</cdr:x>
      <cdr:y>0.38082</cdr:y>
    </cdr:to>
    <cdr:sp macro="" textlink="">
      <cdr:nvSpPr>
        <cdr:cNvPr id="7" name="椭圆 6">
          <a:extLst xmlns:a="http://schemas.openxmlformats.org/drawingml/2006/main">
            <a:ext uri="{FF2B5EF4-FFF2-40B4-BE49-F238E27FC236}">
              <a16:creationId xmlns:a16="http://schemas.microsoft.com/office/drawing/2014/main" id="{CC879612-7BE5-6DBC-CBE2-35163FEB7D18}"/>
            </a:ext>
          </a:extLst>
        </cdr:cNvPr>
        <cdr:cNvSpPr/>
      </cdr:nvSpPr>
      <cdr:spPr>
        <a:xfrm xmlns:a="http://schemas.openxmlformats.org/drawingml/2006/main" rot="21480000">
          <a:off x="3895614" y="841307"/>
          <a:ext cx="784800" cy="324000"/>
        </a:xfrm>
        <a:prstGeom xmlns:a="http://schemas.openxmlformats.org/drawingml/2006/main" prst="ellipse">
          <a:avLst/>
        </a:prstGeom>
        <a:solidFill xmlns:a="http://schemas.openxmlformats.org/drawingml/2006/main">
          <a:srgbClr val="FFC000"/>
        </a:solidFill>
        <a:ln xmlns:a="http://schemas.openxmlformats.org/drawingml/2006/main"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 anchor="ctr"/>
        <a:lstStyle xmlns:a="http://schemas.openxmlformats.org/drawingml/2006/main"/>
        <a:p xmlns:a="http://schemas.openxmlformats.org/drawingml/2006/main">
          <a:pPr algn="ctr"/>
          <a:fld id="{4B02CBCB-DC6E-44A3-8443-7F277FFD2327}" type="TxLink">
            <a:rPr lang="en-US" altLang="en-US" sz="900" b="0" i="0" u="none" strike="noStrike" baseline="0">
              <a:solidFill>
                <a:srgbClr val="000000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rPr>
            <a:pPr algn="ctr"/>
            <a:t>5.1%</a:t>
          </a:fld>
          <a:endParaRPr lang="zh-CN" sz="800" baseline="0">
            <a:solidFill>
              <a:srgbClr val="002060"/>
            </a:solidFill>
            <a:latin typeface="Times New Roman" panose="02020603050405020304" pitchFamily="18" charset="0"/>
            <a:ea typeface="宋体" panose="02010600030101010101" pitchFamily="2" charset="-122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0.27574</cdr:x>
      <cdr:y>0.47252</cdr:y>
    </cdr:from>
    <cdr:to>
      <cdr:x>0.39821</cdr:x>
      <cdr:y>0.57891</cdr:y>
    </cdr:to>
    <cdr:sp macro="" textlink="">
      <cdr:nvSpPr>
        <cdr:cNvPr id="32" name="椭圆 31">
          <a:extLst xmlns:a="http://schemas.openxmlformats.org/drawingml/2006/main">
            <a:ext uri="{FF2B5EF4-FFF2-40B4-BE49-F238E27FC236}">
              <a16:creationId xmlns:a16="http://schemas.microsoft.com/office/drawing/2014/main" id="{A119215B-7D84-EECC-7333-CBAD61F7CD63}"/>
            </a:ext>
          </a:extLst>
        </cdr:cNvPr>
        <cdr:cNvSpPr/>
      </cdr:nvSpPr>
      <cdr:spPr>
        <a:xfrm xmlns:a="http://schemas.openxmlformats.org/drawingml/2006/main" rot="21480000">
          <a:off x="1766911" y="1445911"/>
          <a:ext cx="784824" cy="325542"/>
        </a:xfrm>
        <a:prstGeom xmlns:a="http://schemas.openxmlformats.org/drawingml/2006/main" prst="ellipse">
          <a:avLst/>
        </a:prstGeom>
        <a:solidFill xmlns:a="http://schemas.openxmlformats.org/drawingml/2006/main">
          <a:srgbClr val="FFC000"/>
        </a:solidFill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 anchor="ctr"/>
        <a:lstStyle xmlns:a="http://schemas.openxmlformats.org/drawingml/2006/main"/>
        <a:p xmlns:a="http://schemas.openxmlformats.org/drawingml/2006/main">
          <a:pPr algn="ctr"/>
          <a:fld id="{A80C1CE5-D037-4C4A-94AB-A115DBB965CE}" type="TxLink">
            <a:rPr lang="en-US" altLang="en-US" sz="1000" b="0" i="0" u="none" strike="noStrike" baseline="0">
              <a:solidFill>
                <a:srgbClr val="000000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rPr>
            <a:pPr algn="ctr"/>
            <a:t>5.8%</a:t>
          </a:fld>
          <a:endParaRPr lang="zh-CN" sz="900" baseline="0">
            <a:solidFill>
              <a:srgbClr val="002060"/>
            </a:solidFill>
            <a:latin typeface="Times New Roman" panose="02020603050405020304" pitchFamily="18" charset="0"/>
            <a:ea typeface="宋体" panose="02010600030101010101" pitchFamily="2" charset="-122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2E3C5-4DF8-460A-9801-69D081819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260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qyr</cp:lastModifiedBy>
  <cp:revision>2</cp:revision>
  <dcterms:created xsi:type="dcterms:W3CDTF">2024-11-18T08:48:00Z</dcterms:created>
  <dcterms:modified xsi:type="dcterms:W3CDTF">2024-11-18T08:48:00Z</dcterms:modified>
</cp:coreProperties>
</file>