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eastAsia" w:ascii="仿宋" w:hAnsi="仿宋" w:eastAsia="仿宋" w:cs="仿宋"/>
          <w:b/>
          <w:bCs/>
          <w:color w:val="000000"/>
          <w:sz w:val="44"/>
          <w:szCs w:val="44"/>
        </w:rPr>
      </w:pPr>
      <w:bookmarkStart w:id="0" w:name="OLE_LINK1"/>
      <w:r>
        <w:rPr>
          <w:rFonts w:hint="eastAsia" w:ascii="仿宋" w:hAnsi="仿宋" w:eastAsia="仿宋" w:cs="仿宋"/>
          <w:b/>
          <w:bCs/>
          <w:color w:val="000000"/>
          <w:sz w:val="44"/>
          <w:szCs w:val="44"/>
        </w:rPr>
        <w:t>建筑市政</w:t>
      </w:r>
      <w:bookmarkEnd w:id="0"/>
      <w:r>
        <w:rPr>
          <w:rFonts w:hint="eastAsia" w:ascii="仿宋" w:hAnsi="仿宋" w:eastAsia="仿宋" w:cs="仿宋"/>
          <w:b/>
          <w:bCs/>
          <w:color w:val="000000"/>
          <w:sz w:val="44"/>
          <w:szCs w:val="44"/>
        </w:rPr>
        <w:t>项目可行性研究报告-“两新”3000亿超长期特别国债</w:t>
      </w:r>
    </w:p>
    <w:p w14:paraId="5F81EC7D">
      <w:pPr>
        <w:numPr>
          <w:ilvl w:val="0"/>
          <w:numId w:val="0"/>
        </w:num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kern w:val="2"/>
          <w:sz w:val="28"/>
          <w:szCs w:val="28"/>
          <w:lang w:val="en-US" w:eastAsia="zh-CN" w:bidi="ar-SA"/>
        </w:rPr>
        <w:t>1、</w:t>
      </w:r>
      <w:r>
        <w:rPr>
          <w:rFonts w:hint="eastAsia" w:ascii="仿宋" w:hAnsi="仿宋" w:eastAsia="仿宋" w:cs="仿宋"/>
          <w:b/>
          <w:bCs/>
          <w:sz w:val="28"/>
          <w:szCs w:val="28"/>
          <w:lang w:val="en-US" w:eastAsia="zh-CN"/>
        </w:rPr>
        <w:t>建设目标</w:t>
      </w:r>
    </w:p>
    <w:p w14:paraId="41E33D4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以习近平新时代中国特色社会主义思想为指导，认真贯彻落实政府部署要求，继续锚定“争当高质量发展排头兵”目标定位，加快建设“两新”产业，守牢安全环保、社会稳定、意识形态、从严治党等一排底线，建成布局合理、设施配套、功能完备、安全高效的现代化城市市政基础设施体系，围绕基本民生需求充分保障、城市人居环境持续改善、城市安全水平显著提升、绿色智慧引领转型发展、城市承载能力全面增强，全面奏响高质量发展最强音。</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default" w:ascii="仿宋" w:hAnsi="仿宋" w:eastAsia="仿宋" w:cs="仿宋"/>
          <w:b/>
          <w:bCs/>
          <w:kern w:val="2"/>
          <w:sz w:val="28"/>
          <w:szCs w:val="28"/>
          <w:lang w:val="en-US" w:eastAsia="zh-CN" w:bidi="ar-SA"/>
        </w:rPr>
        <w:t>2、</w:t>
      </w:r>
      <w:r>
        <w:rPr>
          <w:rFonts w:hint="eastAsia" w:ascii="仿宋" w:hAnsi="仿宋" w:eastAsia="仿宋" w:cs="仿宋"/>
          <w:b/>
          <w:bCs/>
          <w:sz w:val="28"/>
          <w:szCs w:val="28"/>
          <w:lang w:val="en-US" w:eastAsia="zh-CN"/>
        </w:rPr>
        <w:t>发展背景</w:t>
      </w:r>
    </w:p>
    <w:p w14:paraId="2D7CDF2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城市化进程的加速，市政基础设施建设进入了高峰期，城市交通、供水、排水、供气、供电等市政设施建设需求日益增长。这些需求不仅推动了市政工程行业的规模不断扩大，而且促使市政工程行业向智能化、绿色化方向发展，以适应新型城镇化、智慧城市和绿色城市建设的需求。</w:t>
      </w:r>
    </w:p>
    <w:p w14:paraId="6A3E527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今年3月，国务院印发《推动大规模设备更新和消费品以旧换新行动方案》。7月国家发展改革委、财政部联合印发《关于加力支持大规模设备更新和消费品以旧换新的若干措施》，统筹安排3000亿元左右超长期特别国债资金，加力支持“两新”。</w:t>
      </w:r>
    </w:p>
    <w:p w14:paraId="6125D8C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9月23日，国家发展改革委举行专题发布会，介绍“两新”政策总体进展成效有关情况。国家发改委副主任赵辰昕介绍，在各方面共同努力下，“两新”工作逐步取得明显成效。配套细则全面出台，国债资金全面下达，支持政策全面启动。有力拉动了投资增长，释放了消费潜力，促进了产业发展，提升了民生福祉，支撑了绿色转型。</w:t>
      </w:r>
    </w:p>
    <w:p w14:paraId="0F64DF4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加快农房改造集聚、推进“两新”工程建设，符合中央提出的支持农村住房建设、大力推进城镇化进程、提高城镇综合承载能力的总体要求，是一项政府得民心、发展得空间、农民得实惠的大事好事，是拓展经济发展、社会转型的现实所需，挖掘土地资源要素的潜力所在，扩大内需、拉动投资消费的根本所在。</w:t>
      </w:r>
    </w:p>
    <w:p w14:paraId="0E3458B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两新”工作连接供需两端，既惠企又利民、既利当前又利长远，是推进高质量发展的一项重要举措。“两新”工作是绿色化和数字化的有机结合，有助于将这些潜能转化为实实在在的增长。国家发展改革委将会同有关方面进一步用足用好加力支持“两新”等各项政策和超长期特别国债等各项资金，让政策红利惠及更广大的消费者和经营主体，同时也为推动经济持续健康发展、加快生产生活方式转变等提供更强有力的动力。</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3、项目发展的重要性</w:t>
      </w:r>
    </w:p>
    <w:p w14:paraId="15BC950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两新”工程建设是当前和今后一段时期推动科学发展、促进社会和谐的一次极具创新而富有意义的探索和尝试。推进“两新”工程建设、加快农房改造集聚是统筹城乡发展、加快城乡一体化步伐，推进新型工业化、新型城市化、农业农村现代化的战略工程、基础工程、民心工程，是一项全局性、创新性、革命性的工作。对政府而言,“两新”工程建设使公共财政向农村倾斜，改善各类基础配套设施和农民生产生活条件，提高政府公共服务均衡化水平，满足人民群众日益增长的物质文化需求。对发展而言,“两新”工程建设有效缓解土地要素等瓶颈制约，拓宽发展空间，加快农民市民化步伐，从根本上破除城乡二元结构，实现城乡一体化发展。对农民而言,“两新”工程建设进一步改善农民居住条件，增加农民财产性收入，使农民更好地享受改革发展成果和城市文明的辐射，实现自身的全面发展。</w:t>
      </w:r>
    </w:p>
    <w:p w14:paraId="3E361FD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（1）推动市政基础设施建设与城市发展</w:t>
      </w:r>
    </w:p>
    <w:p w14:paraId="2687D98C">
      <w:pPr>
        <w:numPr>
          <w:ilvl w:val="0"/>
          <w:numId w:val="0"/>
        </w:num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市政基础设施建设作为现代城市发展的基石，其在支撑城市运行、提升居民生活质量、促进经济增长及增强城市竞争力等方面发挥着不可或缺的作用。随着城市化进程的加速推进，市政基础设施的完善与升级已成为推动城市可持续发展的关键路径。</w:t>
      </w:r>
    </w:p>
    <w:p w14:paraId="05E4EC1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市政基础设施，包括交通网络、供水系统、排水设施及能源供应等，是城市运行的血脉与神经。交通网络的优化不仅缓解了城市交通拥堵问题，还提升了物流效率，促进了城市内外经济活动的顺畅进行。供水与排水系统的健全确保了城市居民的基本生活需求，同时也为城市的生态平衡与环境保护提供了重要保障。而能源供应的稳定与高效，则是城市产业发展与居民生活质量提升的必要条件。这些基础设施的完善，为城市的持续健康发展奠定了坚实基础。</w:t>
      </w:r>
    </w:p>
    <w:p w14:paraId="1CF077E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（2）提升居民生活质量，构建宜居环境</w:t>
      </w:r>
    </w:p>
    <w:p w14:paraId="5D96D66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完善的市政基础设施能够显著提升居民的生活质量。公园绿地、休闲设施的建设为居民提供了丰富的休闲娱乐空间，增强了城市的宜居性。同时，随着智能化、绿色化趋势的深入发展，智能路灯、垃圾分类与回收系统等新兴基础设施的引入，进一步提升了城市的管理效率与居民的生活便利性。环保设施如污水处理厂的升级改造，有效改善了城市环境质量，保障了居民的健康福祉。</w:t>
      </w:r>
    </w:p>
    <w:p w14:paraId="330751D3">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（3）促进经济增长，激发产业活力</w:t>
      </w:r>
    </w:p>
    <w:p w14:paraId="4439671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市政工程建设作为大规模的投资活动，能够直接带动相关产业的发展。从建筑材料的生产到机械设备的供应，再到施工服务的提供，市政工程建设形成了一个庞大的产业链。这一产业链的繁荣发展不仅为城市创造了大量的就业机会，还促进了技术进步与创新能力的提升。同时，市政基础设施的完善也为城市的招商引资提供了有力支撑，吸引了更多国内外资本与优质项目的落地，进一步激发了城市的经济增长潜力。</w:t>
      </w:r>
    </w:p>
    <w:p w14:paraId="30421F7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（4）增强城市竞争力，塑造品牌形象</w:t>
      </w:r>
    </w:p>
    <w:p w14:paraId="4C30EE5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良好的市政基础设施是城市竞争力的重要体现。一个拥有先进交通网络、完善公共设施与优美生态环境的城市，往往能够更好地吸引人才与资金的流入。这些要素的汇聚不仅促进了城市的经济繁荣，还提升了城市的综合竞争力与影响力。在全球化日益加深的今天，城市间的竞争已不再局限于传统的经济领域，而是更多地体现在城市品牌形象的塑造与传播上。因此，加强市政基础设施建设已成为提升城市品牌形象、增强城市国际竞争力的重要途径。</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4、未来市政工程行业市场发展趋势</w:t>
      </w:r>
    </w:p>
    <w:p w14:paraId="30EB251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市政工程，作为城市基础设施建设的核心部分，涵盖了道路、桥梁、排水、供水、轨道交通、绿化等多个领域，是城市运行和发展的物质基础。随着城市化进程的加速和居民生活品质的提升，市政工程市场需求持续旺盛。据相关预测，未来几年市政工程市场规模将继续保持增长态势，特别是在新型城镇化、智慧城市和绿色城市建设等领域，将迎来更多发展机遇。同时，技术进步和产业升级也推动了市政工程向智能化、绿色化方向发展，进一步提升了行业竞争力。</w:t>
      </w:r>
    </w:p>
    <w:p w14:paraId="622606D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智能化、绿色化发展：随着信息技术的不断进步和环保意识的提高，市政工程将更加注重智能化和绿色化发展。智能感知、大数据分析、云计算等先进技术的应用将推动市政设施管理更加高效、精准;绿色建材、环保技术的广泛应用将促进市政工程在建设和运营过程中的节能减排。</w:t>
      </w:r>
    </w:p>
    <w:p w14:paraId="07CD385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多元化发展：市政工程行业将不再局限于传统的道路、桥梁、给排水等领域，而是逐渐向综合管廊、智慧城市、海绵城市等新兴领域拓展。这种多元化发展不仅丰富了市政工程行业的内涵，也为其带来了更多的市场机遇。</w:t>
      </w:r>
    </w:p>
    <w:p w14:paraId="79E6CA0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国际化竞争加剧：随着全球经济一体化的深入发展，市政工程行业将面临更加激烈的国际化竞争。国内企业需要不断提升自身的国际化水平和国际竞争力，以应对来自全球市场的挑战。</w:t>
      </w:r>
    </w:p>
    <w:p w14:paraId="6FD395FD">
      <w:pPr>
        <w:ind w:firstLine="560" w:firstLineChars="200"/>
        <w:jc w:val="left"/>
        <w:rPr>
          <w:rFonts w:hint="eastAsia" w:ascii="仿宋" w:hAnsi="仿宋" w:eastAsia="仿宋" w:cs="仿宋"/>
          <w:b/>
          <w:bCs/>
          <w:color w:val="0000FF"/>
          <w:sz w:val="28"/>
          <w:szCs w:val="28"/>
          <w:lang w:val="en-US" w:eastAsia="zh-CN"/>
        </w:rPr>
      </w:pPr>
      <w:r>
        <w:rPr>
          <w:rFonts w:hint="eastAsia" w:ascii="仿宋" w:hAnsi="仿宋" w:eastAsia="仿宋" w:cs="仿宋"/>
          <w:b w:val="0"/>
          <w:bCs w:val="0"/>
          <w:sz w:val="28"/>
          <w:szCs w:val="28"/>
          <w:lang w:val="en-US" w:eastAsia="zh-CN"/>
        </w:rPr>
        <w:t>市政工程行业在市场规模、市场竞争格局、行业发展相关政策以及未来市场发展趋势等方面</w:t>
      </w:r>
      <w:bookmarkStart w:id="1" w:name="_GoBack"/>
      <w:bookmarkEnd w:id="1"/>
      <w:r>
        <w:rPr>
          <w:rFonts w:hint="eastAsia" w:ascii="仿宋" w:hAnsi="仿宋" w:eastAsia="仿宋" w:cs="仿宋"/>
          <w:b w:val="0"/>
          <w:bCs w:val="0"/>
          <w:sz w:val="28"/>
          <w:szCs w:val="28"/>
          <w:lang w:val="en-US" w:eastAsia="zh-CN"/>
        </w:rPr>
        <w:t>均呈现出积极的发展态势。未来，随着城市化进程的加速和基础设施建设的不断完善，市政工程行业将继续保持快速增长的态势，为城市发展和居民生活带来更多福祉。</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5062DA"/>
    <w:rsid w:val="01CA2079"/>
    <w:rsid w:val="01E3209D"/>
    <w:rsid w:val="02B913EC"/>
    <w:rsid w:val="02CA179F"/>
    <w:rsid w:val="02FE20CD"/>
    <w:rsid w:val="03546191"/>
    <w:rsid w:val="05DC4B7A"/>
    <w:rsid w:val="07E15804"/>
    <w:rsid w:val="098C0CFB"/>
    <w:rsid w:val="0BB30DED"/>
    <w:rsid w:val="0BD75567"/>
    <w:rsid w:val="0D7C07BE"/>
    <w:rsid w:val="0DD43A3C"/>
    <w:rsid w:val="0F3021AE"/>
    <w:rsid w:val="10615A49"/>
    <w:rsid w:val="12727EA3"/>
    <w:rsid w:val="13270D7A"/>
    <w:rsid w:val="14294AD0"/>
    <w:rsid w:val="145D0D13"/>
    <w:rsid w:val="14AC764E"/>
    <w:rsid w:val="14B26B80"/>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B415C44"/>
    <w:rsid w:val="1C442E6B"/>
    <w:rsid w:val="1D525FA2"/>
    <w:rsid w:val="1E403142"/>
    <w:rsid w:val="1EC16D10"/>
    <w:rsid w:val="22014652"/>
    <w:rsid w:val="226338A3"/>
    <w:rsid w:val="233A3AAB"/>
    <w:rsid w:val="23F549CE"/>
    <w:rsid w:val="24394AB8"/>
    <w:rsid w:val="24703491"/>
    <w:rsid w:val="24AD7057"/>
    <w:rsid w:val="253D3903"/>
    <w:rsid w:val="25AA204B"/>
    <w:rsid w:val="27743E5C"/>
    <w:rsid w:val="27F37477"/>
    <w:rsid w:val="28B81403"/>
    <w:rsid w:val="28D5107B"/>
    <w:rsid w:val="28E3573D"/>
    <w:rsid w:val="2A254797"/>
    <w:rsid w:val="2A9A62D0"/>
    <w:rsid w:val="2ACA1641"/>
    <w:rsid w:val="2BA84F24"/>
    <w:rsid w:val="2BE43B4A"/>
    <w:rsid w:val="2BF81500"/>
    <w:rsid w:val="2C0167A4"/>
    <w:rsid w:val="2DB41456"/>
    <w:rsid w:val="2DE14EBB"/>
    <w:rsid w:val="2DEF2105"/>
    <w:rsid w:val="2E8F6852"/>
    <w:rsid w:val="2E9D638E"/>
    <w:rsid w:val="2EB3713E"/>
    <w:rsid w:val="30EB705B"/>
    <w:rsid w:val="31CF2D03"/>
    <w:rsid w:val="31E7004C"/>
    <w:rsid w:val="31F46081"/>
    <w:rsid w:val="32D01D02"/>
    <w:rsid w:val="330D0810"/>
    <w:rsid w:val="347B2A5F"/>
    <w:rsid w:val="34D61D4F"/>
    <w:rsid w:val="34E57BDD"/>
    <w:rsid w:val="35312755"/>
    <w:rsid w:val="355E0F17"/>
    <w:rsid w:val="35762033"/>
    <w:rsid w:val="376765E1"/>
    <w:rsid w:val="39836BEC"/>
    <w:rsid w:val="39974868"/>
    <w:rsid w:val="39D72073"/>
    <w:rsid w:val="3A1A2BE3"/>
    <w:rsid w:val="3A824DB6"/>
    <w:rsid w:val="3AAD5BAB"/>
    <w:rsid w:val="3B742860"/>
    <w:rsid w:val="3C087AF1"/>
    <w:rsid w:val="3D8C6ADA"/>
    <w:rsid w:val="3DDA0A65"/>
    <w:rsid w:val="3E1A70B4"/>
    <w:rsid w:val="3EAA0E5A"/>
    <w:rsid w:val="3EBF7E39"/>
    <w:rsid w:val="3F1F4D9E"/>
    <w:rsid w:val="3F7D5B4C"/>
    <w:rsid w:val="3FC46AE7"/>
    <w:rsid w:val="419D24D5"/>
    <w:rsid w:val="41DD28D2"/>
    <w:rsid w:val="44246EDE"/>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BFB1F92"/>
    <w:rsid w:val="4C194E4E"/>
    <w:rsid w:val="4D084097"/>
    <w:rsid w:val="4D2770F7"/>
    <w:rsid w:val="4DFD0528"/>
    <w:rsid w:val="4F7F146C"/>
    <w:rsid w:val="4FFD0EF1"/>
    <w:rsid w:val="506A2926"/>
    <w:rsid w:val="50F13E21"/>
    <w:rsid w:val="51545631"/>
    <w:rsid w:val="528A0854"/>
    <w:rsid w:val="535D4D1B"/>
    <w:rsid w:val="53937294"/>
    <w:rsid w:val="54AA6F8B"/>
    <w:rsid w:val="5620433A"/>
    <w:rsid w:val="575B6F2E"/>
    <w:rsid w:val="57763155"/>
    <w:rsid w:val="58426A50"/>
    <w:rsid w:val="58CA290B"/>
    <w:rsid w:val="58E5183E"/>
    <w:rsid w:val="5A0F1A20"/>
    <w:rsid w:val="5ADD0727"/>
    <w:rsid w:val="5BC97600"/>
    <w:rsid w:val="5C5C3190"/>
    <w:rsid w:val="5CA95D7B"/>
    <w:rsid w:val="5E436E4C"/>
    <w:rsid w:val="5ED52E57"/>
    <w:rsid w:val="5F355114"/>
    <w:rsid w:val="5F4B3119"/>
    <w:rsid w:val="60B66ADC"/>
    <w:rsid w:val="614860F7"/>
    <w:rsid w:val="622D4B39"/>
    <w:rsid w:val="623F6839"/>
    <w:rsid w:val="62BC31DC"/>
    <w:rsid w:val="64002BE9"/>
    <w:rsid w:val="64AA2690"/>
    <w:rsid w:val="661C64F2"/>
    <w:rsid w:val="6635067F"/>
    <w:rsid w:val="66CD2666"/>
    <w:rsid w:val="66E856F1"/>
    <w:rsid w:val="676A4BDC"/>
    <w:rsid w:val="67D013A1"/>
    <w:rsid w:val="682664D1"/>
    <w:rsid w:val="6846773F"/>
    <w:rsid w:val="685C1EF3"/>
    <w:rsid w:val="69A36249"/>
    <w:rsid w:val="6A624A2F"/>
    <w:rsid w:val="6A633B05"/>
    <w:rsid w:val="6AF311A6"/>
    <w:rsid w:val="6B3A720F"/>
    <w:rsid w:val="6B796D44"/>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5D51537"/>
    <w:rsid w:val="76051E1C"/>
    <w:rsid w:val="769A2923"/>
    <w:rsid w:val="7709593C"/>
    <w:rsid w:val="7719746F"/>
    <w:rsid w:val="773062C6"/>
    <w:rsid w:val="779969FD"/>
    <w:rsid w:val="7879277A"/>
    <w:rsid w:val="789F0098"/>
    <w:rsid w:val="79C505D8"/>
    <w:rsid w:val="7B1F5CAB"/>
    <w:rsid w:val="7B762C35"/>
    <w:rsid w:val="7C002D9D"/>
    <w:rsid w:val="7DC050DC"/>
    <w:rsid w:val="7E2968C4"/>
    <w:rsid w:val="7E631DD5"/>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2987</Words>
  <Characters>2997</Characters>
  <Lines>0</Lines>
  <Paragraphs>0</Paragraphs>
  <TotalTime>7</TotalTime>
  <ScaleCrop>false</ScaleCrop>
  <LinksUpToDate>false</LinksUpToDate>
  <CharactersWithSpaces>2997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2024-09-29T01:04:44Z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