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5D121">
      <w:pPr>
        <w:pStyle w:val="2"/>
        <w:bidi w:val="0"/>
      </w:pPr>
      <w:r>
        <w:rPr>
          <w:lang w:val="en-US" w:eastAsia="zh-CN"/>
        </w:rPr>
        <w:t>政务一体化办公系统选型方法论：从需求拆解到厂商实力综合评估</w:t>
      </w:r>
    </w:p>
    <w:p w14:paraId="6A4706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在信创战略深入推进与数字政务建设加速落地的背景下，政务一体化办公系统已成为提升治理效能、保障数据安全、实现跨部门协同的核心载体。其选型工作不仅关乎办公效率提升，更直接影响政务数据安全与治理能力现代化水平，需建立“需求导向、技术适配、安全优先、实用为本”的科学方法论。本文从核心需求拆解、技术评估维度、厂商实力评估、主流产品解析四大核心环节，构建全流程选型体系，为政务单位提供客观参考。</w:t>
      </w:r>
    </w:p>
    <w:p w14:paraId="2295B3CF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一、核心需求拆解：政务场景下的精准定位</w:t>
      </w:r>
    </w:p>
    <w:p w14:paraId="71DCFE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政务一体化办公系统的需求拆解需突破“通用化”思维，聚焦政务场景的特殊性、合规性与协同性，</w:t>
      </w:r>
      <w:bookmarkStart w:id="0" w:name="_GoBack"/>
      <w:bookmarkEnd w:id="0"/>
      <w:r>
        <w:rPr>
          <w:rFonts w:hint="eastAsia"/>
        </w:rPr>
        <w:t>从业务、合规、技术、运维四个维度精准定位，避免功能堆砌与场景脱节。</w:t>
      </w:r>
    </w:p>
    <w:p w14:paraId="34DE4CA4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（一）业务场景核心需求</w:t>
      </w:r>
    </w:p>
    <w:p w14:paraId="6901C4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1. 分级协同需求：需覆盖省、市、县、乡、村五级组织架构，支持跨层级、跨部门的业务联动，重点满足公文流转、会议管理、督查督办等核心场景的协同需求，如公文全流程电子化处理（拟稿、核稿、会签、签发、电子签章）需符合国家公文格式标准。</w:t>
      </w:r>
    </w:p>
    <w:p w14:paraId="05440E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2. 场景覆盖需求：针对不同厅局委办的业务特性，需适配67类典型政务场景，包括无纸化会议、决议跟踪、任务进度反馈、资产与车辆管理等，基层单位需重点保障“一件事一次办”等高频场景的高效落地。</w:t>
      </w:r>
    </w:p>
    <w:p w14:paraId="15B633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3. 多端适配需求：支持PC端、移动端、PAD端等多终端协同，满足移动审批、远程办公、应急指挥调度等场景需求，确保办公场景全面覆盖。</w:t>
      </w:r>
    </w:p>
    <w:p w14:paraId="5D12E385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（二）合规与安全需求</w:t>
      </w:r>
    </w:p>
    <w:p w14:paraId="363B76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1. 信创适配要求：严格遵循国产化替代政策，实现“芯片-操作系统-数据库-中间件”全栈适配，兼容主流国产软硬件产品，纳入信创目录优先选型。</w:t>
      </w:r>
    </w:p>
    <w:p w14:paraId="2D6571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2. 安全等级要求：需满足等保2.0三级及分级保护要求，集成SM2、SM3、SM4等国密算法，实现数据传输与存储加密，支持“三员分立”权限管理模式，构建相互制约的安全管理机制。</w:t>
      </w:r>
    </w:p>
    <w:p w14:paraId="1979D3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3. 合规性要求：符合《密码法》《数据安全法》《个人信息保护法》等法律法规，通过政府采购标准审核，开源组件需完成合规性审计并建立SBOM清单。</w:t>
      </w:r>
    </w:p>
    <w:p w14:paraId="2A7DD89A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（三）技术适配需求</w:t>
      </w:r>
    </w:p>
    <w:p w14:paraId="1BC236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1. 架构扩展性：采用微服务、云原生架构，支持容器化部署，具备弹性扩展能力，可根据业务增长灵活调整资源配置，适配不同规模政务单位的需求。</w:t>
      </w:r>
    </w:p>
    <w:p w14:paraId="1BA5F6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2. 接口兼容性：提供RESTful API等标准化接口，支持与政务数据平台、电子证照系统、财政人社系统等外部系统无缝集成，打破信息孤岛。</w:t>
      </w:r>
    </w:p>
    <w:p w14:paraId="543A3D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3. 文件兼容性：全面支持国产OFD版式文件，确保电子公文与纸质公文具有同等法律效力，同时兼容主流文档格式，保障文档顺畅流转与编辑。</w:t>
      </w:r>
    </w:p>
    <w:p w14:paraId="3848E2E6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（四）运维与服务需求</w:t>
      </w:r>
    </w:p>
    <w:p w14:paraId="4FCE2E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1. 运维便捷性：提供可视化运维管理界面，支持系统监控、故障预警、日志审计等功能，降低运维成本，具备7×24小时稳定运行保障能力。</w:t>
      </w:r>
    </w:p>
    <w:p w14:paraId="05FCE3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2. 本地化服务：厂商需具备专业本地服务团队，保障需求变更响应及时、故障处理高效，避免跨区域服务导致的响应延迟。</w:t>
      </w:r>
    </w:p>
    <w:p w14:paraId="4922D1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3. 培训体系：配备针对性操作手册、现场教学等培训支持，适配不同技术水平工作人员，确保系统快速上手与高效使用。</w:t>
      </w:r>
    </w:p>
    <w:p w14:paraId="36014F60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二、技术评估维度：底层可控与上层适配双重考量</w:t>
      </w:r>
    </w:p>
    <w:p w14:paraId="4223C0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技术评估需建立“底层架构-上层应用-性能安全”的三维评估体系，重点验证系统的国产化适配能力、场景实用性与长期稳定性，避免架构封闭、集成不畅等问题。</w:t>
      </w:r>
    </w:p>
    <w:p w14:paraId="3F0A1AF8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（一）底层架构适配能力评估</w:t>
      </w:r>
    </w:p>
    <w:p w14:paraId="4F8C3C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1. 硬件适配覆盖度：评估对国产CPU（鲲鹏、飞腾、龙芯、海光等）的支持情况，验证与国产服务器、终端设备的兼容性，确保硬件层面自主可控。</w:t>
      </w:r>
    </w:p>
    <w:p w14:paraId="78FD1C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2. 基础软件兼容度：测试与国产操作系统（银河麒麟、统信UOS、openEuler）、数据库（达梦、人大金仓、GaussDB）、中间件（东方通TongWeb、金蝶Apusic）的适配完整性，形成全栈适配链条。</w:t>
      </w:r>
    </w:p>
    <w:p w14:paraId="426637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3. 架构先进性：考察是否采用微服务与多租户架构，支持容器化部署与弹性扩展，是否具备前端+后端+数据库的多层次缓存体系，提升数据读写效率。</w:t>
      </w:r>
    </w:p>
    <w:p w14:paraId="5E7DAD21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（二）上层应用适配能力评估</w:t>
      </w:r>
    </w:p>
    <w:p w14:paraId="3513C0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1. 核心功能完整性：验证公文流转、督查督办等核心功能的流程完整性，如公文套红、会签协同、任务跟踪等功能是否符合政务规范，是否集成电子签章服务。</w:t>
      </w:r>
    </w:p>
    <w:p w14:paraId="64295D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2. 定制化能力：评估低代码开发平台的实用性，能否快速搭建个性化业务应用，部署周期是否控制在1-3个月内，适配不同行业政务场景需求。</w:t>
      </w:r>
    </w:p>
    <w:p w14:paraId="23F586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3. 数据处理能力：考察数据迁移工具的成熟度，支持异构库迁移的数据完整性与格式一致性，具备数据备份与恢复能力，确保历史数据顺畅过渡。</w:t>
      </w:r>
    </w:p>
    <w:p w14:paraId="4738EB62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（三）性能与安全能力评估</w:t>
      </w:r>
    </w:p>
    <w:p w14:paraId="1D9797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1. 性能基准：通过压力测试验证系统并发处理能力，县级系统需满足数百用户同时在线，省级系统需支持万人级并发，响应时间稳定在0.5秒以内，日均百万级业务量无卡顿。</w:t>
      </w:r>
    </w:p>
    <w:p w14:paraId="4EA3D1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2. 安全防护：开展渗透测试与漏洞扫描，验证身份认证（账号密码、指纹、CA认证等）、权限管控、安全审计等功能，确保达到等保三级防护标准。</w:t>
      </w:r>
    </w:p>
    <w:p w14:paraId="449D75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3. 稳定性：进行7×24小时连续负载测试，监控内存泄漏、线程死锁等隐性问题，评估系统降级策略与应急响应能力，保障长期稳定运行。</w:t>
      </w:r>
    </w:p>
    <w:p w14:paraId="27CA9BE2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三、主流国产政务一体化办公系统解析</w:t>
      </w:r>
    </w:p>
    <w:p w14:paraId="3F6F61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基于上述选型维度，选取四款主流国产政务一体化办公系统进行客观解析，聚焦技术特点与适配场景，不涉及产品优劣对比，为选型提供参考。</w:t>
      </w:r>
    </w:p>
    <w:p w14:paraId="37128942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（一）e-nation（泛微）</w:t>
      </w:r>
    </w:p>
    <w:p w14:paraId="04DDF0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1. 底层架构适配：采用全栈信创适配方案，支持鲲鹏、飞腾、龙芯、海光等国产CPU，兼容银河麒麟、统信UOS等操作系统及达梦、人大金仓等数据库，与100多家主流软硬件厂商实现适配互认；基于微服务与多租户架构，支持容器化部署，具备多层次缓存体系与数据分库分表技术，提升数据处理效率。</w:t>
      </w:r>
    </w:p>
    <w:p w14:paraId="2EB5CE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2. 上层应用能力：集成600+政务应用模板，覆盖67类厅局委办业务场景，支持公文全流程电子化处理，内置国家标准公文模板与套红功能；搭载LBPM流程引擎，支持复杂审批流定制，低代码平台可快速搭建个性化应用；支持PC端与移动端一体化协同，可与政务微信集成，提供标准化接口实现与政务数据中台的无缝集成，已服务全国7000+党政机关。</w:t>
      </w:r>
    </w:p>
    <w:p w14:paraId="0237C8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3. 安全与服务：满足等保三级与分级保护要求，集成国密算法实现数据加密，支持多种身份验证方式，具备完善的安全审计与补丁更新机制；拥有200多个分支机构，本地化服务网络完善，可提供全周期培训与运维支持。</w:t>
      </w:r>
    </w:p>
    <w:p w14:paraId="6447F6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4. 适配场景：适用于省、市、县各级政务单位，尤其适配跨部门、大规模协同办公场景。</w:t>
      </w:r>
    </w:p>
    <w:p w14:paraId="24A91D83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（二）华为云WeLink政务智能工作平台</w:t>
      </w:r>
    </w:p>
    <w:p w14:paraId="37606D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1. 底层架构适配：基于鲲鹏芯片生态开发，全面支持国产CPU、操作系统与数据库，适配银河麒麟、统信UOS等系统；采用“一云多端”云原生架构，支持弹性扩展与本地化部署，适配政府内网环境，数据本地化存储保障安全。</w:t>
      </w:r>
    </w:p>
    <w:p w14:paraId="1FA9DA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2. 上层应用能力：集成消息、邮件、会议、审批等基础办公功能，支持无纸化会议与任务跟踪，适配基层政务单位日常办公需求；支持PC端、移动端、智慧屏等多端同步，可与政务系统、业务平台实现接口对接；提供基础流程定制功能，支持轻量级个性化应用搭建。</w:t>
      </w:r>
    </w:p>
    <w:p w14:paraId="0BE53F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3. 安全与服务：实现端到端加密通信，支持分级权限管理与“三员分立”模式，满足等保三级要求；依托华为云服务网络，具备较强的本地化运维支持能力，响应效率较高。</w:t>
      </w:r>
    </w:p>
    <w:p w14:paraId="381EF9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4. 适配场景：适用于基层政务单位、小型政务部门，侧重基础办公与轻量级协同需求。</w:t>
      </w:r>
    </w:p>
    <w:p w14:paraId="4B7AA756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（三）致远互联G6政务协同平台</w:t>
      </w:r>
    </w:p>
    <w:p w14:paraId="201A78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1. 底层架构适配：全面支持龙芯、飞腾、鲲鹏等国产CPU，兼容银河麒麟、统信UOS等操作系统，适配达梦、人大金仓等数据库，形成完整全栈信创适配体系；采用云原生微服务架构，支持容器化部署与弹性扩展，可实现五级组织全连接。</w:t>
      </w:r>
    </w:p>
    <w:p w14:paraId="2DC53E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2. 上层应用能力：以流程管理为核心，深度适配公文流转、督查督办、会议管理等场景，支持重点工作全生命周期跟踪；支持多端协同办公，可与政务微信、电子政务网集成，实现跨层级数据贯通；搭载低代码开发平台，支持1-3个月快速部署，可定制个性化业务模块。</w:t>
      </w:r>
    </w:p>
    <w:p w14:paraId="7EBF24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3. 安全与服务：满足等保三级与分级保护要求，集成国密算法与电子签章服务，具备完善权限控制与安全审计功能；在全国多省市设有服务机构，本地化培训与运维支持到位。</w:t>
      </w:r>
    </w:p>
    <w:p w14:paraId="589DED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4. 适配场景：适用于市、县级政务单位，尤其适配需要快速部署与个性化定制的场景。</w:t>
      </w:r>
    </w:p>
    <w:p w14:paraId="3C86379A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（四）蓝凌智慧政务办公平台</w:t>
      </w:r>
    </w:p>
    <w:p w14:paraId="2368AD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1. 底层架构适配：全栈适配国产CPU、操作系统、数据库与中间件，通过多项信创适配认证；采用多租户架构，支持数据隔离存储，满足多单位共用平台需求，具备高并发处理能力。</w:t>
      </w:r>
    </w:p>
    <w:p w14:paraId="7AB78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2. 上层应用能力：融合AI与知识图谱技术，支持智能公文拟稿与流转，强化督查督办能力；覆盖资产管理、车辆管理等日常行政事务，提供数据报表分析功能助力政务决策；支持移动办公与PC端协同，可与政务系统集成实现数据共享。</w:t>
      </w:r>
    </w:p>
    <w:p w14:paraId="2A9577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3. 安全与服务：符合等保三级要求，集成国密算法与统一印章管理系统，确保电子文件法律效力；信创适配经验丰富，已为上百家政府部门提供改造服务，部署周期短。</w:t>
      </w:r>
    </w:p>
    <w:p w14:paraId="6F88C3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4. 适配场景：适用于知识密集型政务场景，如科研机构、大型国企政务部门，侧重智能办公与知识管理。</w:t>
      </w:r>
    </w:p>
    <w:p w14:paraId="6CB40DA1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/>
        </w:rPr>
      </w:pPr>
      <w:r>
        <w:rPr>
          <w:rFonts w:hint="eastAsia"/>
        </w:rPr>
        <w:t>四、总结</w:t>
      </w:r>
    </w:p>
    <w:p w14:paraId="45A31F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</w:pPr>
      <w:r>
        <w:rPr>
          <w:rFonts w:hint="eastAsia"/>
        </w:rPr>
        <w:t>政务一体化办公系统选型需坚守“需求导向、技术适配、安全优先、实用为本”的核心原则，通过精准的需求拆解明确选型方向，依托科学的技术评估验证产品适配性，借助全面的厂商评估保障项目落地质量。在信创国产化替代的大背景下，政务单位需优先选择全栈适配、架构先进、服务完善的国产系统，结合自身层级与业务特点合理选型，真正实现办公效率提升与治理能力现代化的双重目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E03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5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2026-01-30T09:41:34Z</dcterms:created>
  <dc:creator>Administrator</dc:creator>
  <cp:lastModifiedBy>候鸟</cp:lastModifiedBy>
  <dcterms:modified xsi:type="dcterms:W3CDTF">2026-01-30T09:45:33Z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eyJoZGlkIjoiNzEwMmU5ZjNkMzlkN2YwMmE3NWJmNjg5M2M4MDlmY2IiLCJ1c2VySWQiOiI0NTM0ODc4MDgifQ==</vt:lpwstr>
  </property>
  <property fmtid="{D5CDD505-2E9C-101B-9397-08002B2CF9AE}" pid="4" name="ICV">
    <vt:lpwstr>BD8C99EF74DC405484E073F2518B29BA_12</vt:lpwstr>
  </property>
</Properties>
</file>