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13" w:name="_GoBack"/>
      <w:bookmarkStart w:id="0" w:name="_Toc415818939"/>
      <w:bookmarkStart w:id="1" w:name="_Toc481801204"/>
      <w:bookmarkStart w:id="2" w:name="OLE_LINK40"/>
      <w:bookmarkStart w:id="3" w:name="OLE_LINK15"/>
      <w:bookmarkStart w:id="4" w:name="_Toc418070112"/>
      <w:bookmarkStart w:id="5" w:name="_Toc415142861"/>
      <w:bookmarkStart w:id="6" w:name="_Toc438987549"/>
      <w:bookmarkStart w:id="7" w:name="OLE_LINK13"/>
      <w:bookmarkStart w:id="8" w:name="_Toc517262917"/>
      <w:bookmarkStart w:id="9" w:name="_Toc453597319"/>
      <w:bookmarkStart w:id="10" w:name="OLE_LINK24"/>
      <w:bookmarkStart w:id="11" w:name="_Toc415143481"/>
      <w:bookmarkStart w:id="12" w:name="OLE_LINK39"/>
      <w:r>
        <w:rPr>
          <w:lang w:eastAsia="zh-CN"/>
        </w:rPr>
        <w:t>工业点胶喷嘴</w:t>
      </w:r>
      <w:r>
        <w:rPr>
          <w:rFonts w:hint="eastAsia"/>
          <w:lang w:eastAsia="zh-CN"/>
        </w:rPr>
        <w:t>全球市场总体规模</w:t>
      </w:r>
    </w:p>
    <w:bookmarkEnd w:id="13"/>
    <w:p>
      <w:pPr>
        <w:pStyle w:val="145"/>
        <w:rPr>
          <w:lang w:eastAsia="zh-CN"/>
        </w:rPr>
      </w:pPr>
      <w:r>
        <w:rPr>
          <w:rFonts w:hint="eastAsia"/>
          <w:lang w:eastAsia="zh-CN"/>
        </w:rPr>
        <w:t>据QYResearch调研团队最新报告“全球工业点胶喷嘴市场报告2023-2029”显示，预计2029年全球工业点胶喷嘴市场规模将达到57.3亿美元，未来几年年复合增长率CAGR为5.0%。</w:t>
      </w:r>
    </w:p>
    <w:p>
      <w:pPr>
        <w:pStyle w:val="145"/>
        <w:rPr>
          <w:b/>
          <w:lang w:eastAsia="zh-CN"/>
        </w:rPr>
      </w:pPr>
      <w:r>
        <w:rPr>
          <w:rFonts w:hint="eastAsia"/>
          <w:b/>
          <w:lang w:eastAsia="zh-CN"/>
        </w:rPr>
        <w:t>产品定义及统计范围：</w:t>
      </w:r>
    </w:p>
    <w:p>
      <w:pPr>
        <w:pStyle w:val="145"/>
        <w:rPr>
          <w:rFonts w:hint="eastAsia"/>
          <w:lang w:eastAsia="zh-CN"/>
        </w:rPr>
      </w:pPr>
      <w:r>
        <w:rPr>
          <w:rFonts w:hint="eastAsia"/>
          <w:lang w:eastAsia="zh-CN"/>
        </w:rPr>
        <w:t>工业点胶喷嘴是各种行业中使用的专用设备，用于控制和精确地点胶或喷涂流体、粘合剂、涂料或其他材料。它们旨在以特定的模式或形式输送所需数量的材料，确保点胶过程的准确性和效率。</w:t>
      </w:r>
    </w:p>
    <w:p>
      <w:pPr>
        <w:pStyle w:val="148"/>
        <w:rPr>
          <w:lang w:eastAsia="zh-CN"/>
        </w:rPr>
      </w:pPr>
      <w:r>
        <w:rPr>
          <w:rFonts w:hint="eastAsia"/>
          <w:lang w:eastAsia="zh-CN"/>
        </w:rPr>
        <w:t>工业点胶喷嘴，产品图片</w:t>
      </w:r>
    </w:p>
    <w:p>
      <w:pPr>
        <w:pStyle w:val="145"/>
        <w:rPr>
          <w:lang w:eastAsia="zh-CN"/>
        </w:rPr>
      </w:pPr>
      <w:r>
        <w:drawing>
          <wp:inline distT="0" distB="0" distL="0" distR="0">
            <wp:extent cx="3543300" cy="2105025"/>
            <wp:effectExtent l="0" t="0" r="0" b="9525"/>
            <wp:docPr id="2" name="图片 2" descr="Innovating Dispensing Nozzles for Efficiency and Accurac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nnovating Dispensing Nozzles for Efficiency and Accuracy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543300" cy="2105025"/>
                    </a:xfrm>
                    <a:prstGeom prst="rect">
                      <a:avLst/>
                    </a:prstGeom>
                    <a:noFill/>
                    <a:ln>
                      <a:noFill/>
                    </a:ln>
                  </pic:spPr>
                </pic:pic>
              </a:graphicData>
            </a:graphic>
          </wp:inline>
        </w:drawing>
      </w:r>
    </w:p>
    <w:p>
      <w:pPr>
        <w:pStyle w:val="148"/>
        <w:rPr>
          <w:lang w:eastAsia="zh-CN"/>
        </w:rPr>
      </w:pPr>
      <w:r>
        <w:rPr>
          <w:lang w:eastAsia="zh-CN"/>
        </w:rPr>
        <w:t>工业点胶喷嘴</w:t>
      </w:r>
      <w:r>
        <w:rPr>
          <w:rFonts w:hint="eastAsia"/>
          <w:lang w:eastAsia="zh-CN"/>
        </w:rPr>
        <w:t>，全球市场总体规模</w:t>
      </w:r>
    </w:p>
    <w:p>
      <w:pPr>
        <w:pStyle w:val="145"/>
      </w:pPr>
      <w:r>
        <w:drawing>
          <wp:inline distT="0" distB="0" distL="0" distR="0">
            <wp:extent cx="6188710" cy="2936875"/>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工业点胶喷嘴</w:t>
      </w:r>
      <w:r>
        <w:rPr>
          <w:rFonts w:hint="eastAsia"/>
          <w:lang w:eastAsia="zh-CN"/>
        </w:rPr>
        <w:t>市场研究报告2023-2029</w:t>
      </w:r>
      <w:r>
        <w:rPr>
          <w:lang w:eastAsia="zh-CN"/>
        </w:rPr>
        <w:t>.</w:t>
      </w:r>
    </w:p>
    <w:p>
      <w:pPr>
        <w:pStyle w:val="145"/>
        <w:rPr>
          <w:lang w:eastAsia="zh-CN"/>
        </w:rPr>
      </w:pPr>
      <w:r>
        <w:rPr>
          <w:rFonts w:hint="eastAsia"/>
          <w:lang w:eastAsia="zh-CN"/>
        </w:rPr>
        <w:t>主要驱动因素</w:t>
      </w:r>
      <w:r>
        <w:rPr>
          <w:lang w:eastAsia="zh-CN"/>
        </w:rPr>
        <w:t>:</w:t>
      </w:r>
    </w:p>
    <w:p>
      <w:pPr>
        <w:pStyle w:val="145"/>
        <w:rPr>
          <w:rFonts w:hint="eastAsia"/>
          <w:lang w:eastAsia="zh-CN"/>
        </w:rPr>
      </w:pPr>
      <w:r>
        <w:rPr>
          <w:rFonts w:hint="eastAsia"/>
          <w:lang w:eastAsia="zh-CN"/>
        </w:rPr>
        <w:t>自动化程度不断提高：汽车、电子、包装和制药等各个行业的自动化趋势不断增长，推动了对工业点胶喷嘴的需求。 这些喷嘴在自动点胶系统中发挥着至关重要的作用，可确保精确且受控的材料应用、减少人为错误并提高生产效率。</w:t>
      </w: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初始成本高：工业点胶喷嘴的购买和安装成本较高。 这一成本因素可能会阻止一些潜在买家投资这些喷嘴。</w:t>
      </w:r>
    </w:p>
    <w:p>
      <w:pPr>
        <w:pStyle w:val="145"/>
        <w:rPr>
          <w:lang w:eastAsia="zh-CN"/>
        </w:rPr>
      </w:pPr>
      <w:r>
        <w:rPr>
          <w:rFonts w:hint="eastAsia"/>
          <w:lang w:eastAsia="zh-CN"/>
        </w:rPr>
        <w:t>行业发展机遇</w:t>
      </w:r>
      <w:r>
        <w:rPr>
          <w:lang w:eastAsia="zh-CN"/>
        </w:rPr>
        <w:t>:</w:t>
      </w:r>
    </w:p>
    <w:p>
      <w:pPr>
        <w:pStyle w:val="145"/>
        <w:rPr>
          <w:rFonts w:hint="eastAsia"/>
          <w:lang w:eastAsia="zh-CN"/>
        </w:rPr>
      </w:pPr>
      <w:r>
        <w:rPr>
          <w:rFonts w:hint="eastAsia"/>
          <w:lang w:eastAsia="zh-CN"/>
        </w:rPr>
        <w:t>自动化程度提高：工业过程自动化的趋势为工业点胶喷嘴的采用提供了机会。 这些喷嘴可以集成到自动化系统中，提供精确、高效的材料分配。 这可以提高生产率、减少浪费并加强质量控制。</w:t>
      </w:r>
    </w:p>
    <w:p>
      <w:pPr>
        <w:pStyle w:val="148"/>
        <w:rPr>
          <w:lang w:eastAsia="zh-CN"/>
        </w:rPr>
      </w:pPr>
      <w:r>
        <w:rPr>
          <w:rFonts w:hint="eastAsia"/>
          <w:lang w:eastAsia="zh-CN"/>
        </w:rPr>
        <w:t>全球</w:t>
      </w:r>
      <w:r>
        <w:rPr>
          <w:lang w:eastAsia="zh-CN"/>
        </w:rPr>
        <w:t>工业点胶喷嘴</w:t>
      </w:r>
      <w:r>
        <w:rPr>
          <w:rFonts w:hint="eastAsia"/>
          <w:lang w:eastAsia="zh-CN"/>
        </w:rPr>
        <w:t>市场前10强生产商排名及市场占有率（持续更新）</w:t>
      </w:r>
    </w:p>
    <w:p>
      <w:pPr>
        <w:widowControl/>
        <w:topLinePunct w:val="0"/>
        <w:spacing w:after="0"/>
        <w:jc w:val="center"/>
        <w:rPr>
          <w:rFonts w:ascii="宋体" w:hAnsi="宋体" w:cs="宋体"/>
          <w:kern w:val="0"/>
          <w:sz w:val="24"/>
          <w:szCs w:val="24"/>
        </w:rPr>
      </w:pPr>
      <w:r>
        <w:drawing>
          <wp:inline distT="0" distB="0" distL="0" distR="0">
            <wp:extent cx="4572000" cy="4399915"/>
            <wp:effectExtent l="0" t="0" r="0" b="63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工业点胶喷嘴</w:t>
      </w:r>
      <w:r>
        <w:rPr>
          <w:rFonts w:hint="eastAsia"/>
          <w:lang w:eastAsia="zh-CN"/>
        </w:rPr>
        <w:t>市场研究报告2023-2029</w:t>
      </w:r>
      <w:r>
        <w:rPr>
          <w:lang w:eastAsia="zh-CN"/>
        </w:rPr>
        <w:t>.</w:t>
      </w:r>
    </w:p>
    <w:p>
      <w:pPr>
        <w:pStyle w:val="145"/>
      </w:pPr>
      <w:r>
        <w:rPr>
          <w:rFonts w:hint="eastAsia"/>
        </w:rPr>
        <w:t>根据QYResearch头部企业研究中心调研，全球范围内工业点胶喷嘴生产商主要包括Nordson、Musashi Engineering、Techcon、Tecdia、Vimic、Toray Precision、Adamant Namiki、Fisnar、PVA、VERMES Microdispensing等。2022年，全球前十强厂商占有大约78.0%的市场份额。</w:t>
      </w:r>
    </w:p>
    <w:p>
      <w:pPr>
        <w:pStyle w:val="148"/>
        <w:rPr>
          <w:lang w:eastAsia="zh-CN"/>
        </w:rPr>
      </w:pPr>
      <w:r>
        <w:rPr>
          <w:lang w:eastAsia="zh-CN"/>
        </w:rPr>
        <w:t>工业点胶喷嘴</w:t>
      </w:r>
      <w:r>
        <w:rPr>
          <w:rFonts w:hint="eastAsia"/>
          <w:lang w:eastAsia="zh-CN"/>
        </w:rPr>
        <w:t>，全球市场规模，按产品类型细分，金属点胶喷嘴处于主导地位</w:t>
      </w:r>
    </w:p>
    <w:p>
      <w:pPr>
        <w:pStyle w:val="145"/>
        <w:rPr>
          <w:lang w:eastAsia="zh-CN"/>
        </w:rPr>
      </w:pPr>
      <w:r>
        <w:rPr>
          <w:lang w:val="en-US" w:eastAsia="zh-CN"/>
        </w:rPr>
        <w:drawing>
          <wp:inline distT="0" distB="0" distL="0" distR="0">
            <wp:extent cx="6143625" cy="17799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157466" cy="1784357"/>
                    </a:xfrm>
                    <a:prstGeom prst="rect">
                      <a:avLst/>
                    </a:prstGeom>
                    <a:noFill/>
                  </pic:spPr>
                </pic:pic>
              </a:graphicData>
            </a:graphic>
          </wp:inline>
        </w:drawing>
      </w:r>
    </w:p>
    <w:p>
      <w:pPr>
        <w:pStyle w:val="145"/>
        <w:rPr>
          <w:lang w:eastAsia="zh-CN"/>
        </w:rPr>
      </w:pPr>
      <w:r>
        <w:drawing>
          <wp:inline distT="0" distB="0" distL="0" distR="0">
            <wp:extent cx="6188710" cy="2922270"/>
            <wp:effectExtent l="0" t="0" r="254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143"/>
        <w:rPr>
          <w:lang w:eastAsia="zh-CN"/>
        </w:rPr>
      </w:pPr>
      <w:r>
        <w:rPr>
          <w:rFonts w:hint="eastAsia"/>
          <w:lang w:eastAsia="zh-CN"/>
        </w:rPr>
        <w:t>如上图表/数据，摘自QYResearch最新报告“全球</w:t>
      </w:r>
      <w:r>
        <w:rPr>
          <w:lang w:eastAsia="zh-CN"/>
        </w:rPr>
        <w:t>工业点胶喷嘴</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就产品类型而言，目前金属点胶喷嘴是最主要的细分产品，占据大约48.6%的份额。</w:t>
      </w:r>
    </w:p>
    <w:p>
      <w:pPr>
        <w:pStyle w:val="148"/>
        <w:rPr>
          <w:lang w:eastAsia="zh-CN"/>
        </w:rPr>
      </w:pPr>
      <w:r>
        <w:rPr>
          <w:lang w:eastAsia="zh-CN"/>
        </w:rPr>
        <w:t>工业点胶喷嘴</w:t>
      </w:r>
      <w:r>
        <w:rPr>
          <w:rFonts w:hint="eastAsia"/>
          <w:lang w:eastAsia="zh-CN"/>
        </w:rPr>
        <w:t>，全球市场规模，按应用细分，电子及半导体是最大的下游市场，占有</w:t>
      </w:r>
      <w:r>
        <w:rPr>
          <w:lang w:eastAsia="zh-CN"/>
        </w:rPr>
        <w:t>54.4%</w:t>
      </w:r>
      <w:r>
        <w:rPr>
          <w:rFonts w:hint="eastAsia"/>
          <w:lang w:eastAsia="zh-CN"/>
        </w:rPr>
        <w:t>份额。</w:t>
      </w:r>
    </w:p>
    <w:p>
      <w:pPr>
        <w:pStyle w:val="145"/>
      </w:pPr>
      <w:r>
        <w:rPr>
          <w:lang w:val="en-US" w:eastAsia="zh-CN"/>
        </w:rPr>
        <w:drawing>
          <wp:inline distT="0" distB="0" distL="0" distR="0">
            <wp:extent cx="5165090" cy="23812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175534" cy="2386042"/>
                    </a:xfrm>
                    <a:prstGeom prst="rect">
                      <a:avLst/>
                    </a:prstGeom>
                    <a:noFill/>
                  </pic:spPr>
                </pic:pic>
              </a:graphicData>
            </a:graphic>
          </wp:inline>
        </w:drawing>
      </w:r>
    </w:p>
    <w:p>
      <w:pPr>
        <w:pStyle w:val="145"/>
      </w:pPr>
      <w:r>
        <w:drawing>
          <wp:inline distT="0" distB="0" distL="0" distR="0">
            <wp:extent cx="6188710" cy="2922270"/>
            <wp:effectExtent l="0" t="0" r="2540" b="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143"/>
        <w:rPr>
          <w:lang w:eastAsia="zh-CN"/>
        </w:rPr>
      </w:pPr>
      <w:r>
        <w:rPr>
          <w:rFonts w:hint="eastAsia"/>
          <w:lang w:eastAsia="zh-CN"/>
        </w:rPr>
        <w:t>如上图表/数据，摘自QYResearch最新报告“全球</w:t>
      </w:r>
      <w:r>
        <w:rPr>
          <w:lang w:eastAsia="zh-CN"/>
        </w:rPr>
        <w:t>工业点胶喷嘴</w:t>
      </w:r>
      <w:r>
        <w:rPr>
          <w:rFonts w:hint="eastAsia"/>
          <w:lang w:eastAsia="zh-CN"/>
        </w:rPr>
        <w:t>市场研究报告2023-2029</w:t>
      </w:r>
      <w:r>
        <w:rPr>
          <w:lang w:eastAsia="zh-CN"/>
        </w:rPr>
        <w:t>.</w:t>
      </w:r>
    </w:p>
    <w:p>
      <w:pPr>
        <w:pStyle w:val="145"/>
        <w:rPr>
          <w:lang w:eastAsia="zh-CN"/>
        </w:rPr>
      </w:pPr>
      <w:r>
        <w:rPr>
          <w:rFonts w:hint="eastAsia"/>
          <w:lang w:eastAsia="zh-CN"/>
        </w:rPr>
        <w:t>就产品应用而言，目前电子及半导体是最主要的需求来源，占据大约54.4%的份额。</w:t>
      </w:r>
    </w:p>
    <w:p>
      <w:pPr>
        <w:pStyle w:val="148"/>
        <w:rPr>
          <w:lang w:eastAsia="zh-CN"/>
        </w:rPr>
      </w:pPr>
      <w:r>
        <w:rPr>
          <w:rFonts w:hint="eastAsia"/>
          <w:lang w:eastAsia="zh-CN"/>
        </w:rPr>
        <w:t>全球</w:t>
      </w:r>
      <w:r>
        <w:rPr>
          <w:lang w:eastAsia="zh-CN"/>
        </w:rPr>
        <w:t>工业点胶喷嘴</w:t>
      </w:r>
      <w:r>
        <w:rPr>
          <w:rFonts w:hint="eastAsia"/>
          <w:lang w:eastAsia="zh-CN"/>
        </w:rPr>
        <w:t>规模，主要生产地区份额（按产值）</w:t>
      </w:r>
    </w:p>
    <w:p>
      <w:pPr>
        <w:pStyle w:val="145"/>
        <w:rPr>
          <w:lang w:val="en-US" w:eastAsia="zh-CN"/>
        </w:rPr>
      </w:pPr>
      <w:r>
        <w:drawing>
          <wp:inline distT="0" distB="0" distL="0" distR="0">
            <wp:extent cx="6188710" cy="2922270"/>
            <wp:effectExtent l="0" t="0" r="2540" b="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145"/>
        <w:rPr>
          <w:lang w:val="en-US" w:eastAsia="zh-CN"/>
        </w:rPr>
      </w:pPr>
      <w:r>
        <w:drawing>
          <wp:inline distT="0" distB="0" distL="0" distR="0">
            <wp:extent cx="6188710" cy="2922270"/>
            <wp:effectExtent l="0" t="0" r="2540" b="0"/>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pStyle w:val="143"/>
        <w:rPr>
          <w:lang w:eastAsia="zh-CN"/>
        </w:rPr>
      </w:pPr>
      <w:r>
        <w:rPr>
          <w:rFonts w:hint="eastAsia"/>
          <w:lang w:eastAsia="zh-CN"/>
        </w:rPr>
        <w:t>如上图表/数据，摘自QYResearch最新报告“全球</w:t>
      </w:r>
      <w:r>
        <w:rPr>
          <w:lang w:eastAsia="zh-CN"/>
        </w:rPr>
        <w:t>工业点胶喷嘴</w:t>
      </w:r>
      <w:r>
        <w:rPr>
          <w:rFonts w:hint="eastAsia"/>
          <w:lang w:eastAsia="zh-CN"/>
        </w:rPr>
        <w:t>市场研究报告2023-2029</w:t>
      </w:r>
      <w:r>
        <w:rPr>
          <w:lang w:eastAsia="zh-CN"/>
        </w:rPr>
        <w:t>.</w:t>
      </w:r>
    </w:p>
    <w:p>
      <w:pPr>
        <w:pStyle w:val="148"/>
        <w:rPr>
          <w:lang w:eastAsia="zh-CN"/>
        </w:rPr>
      </w:pPr>
      <w:r>
        <w:rPr>
          <w:rFonts w:hint="eastAsia"/>
          <w:lang w:eastAsia="zh-CN"/>
        </w:rPr>
        <w:t>全球主要市场</w:t>
      </w:r>
      <w:r>
        <w:rPr>
          <w:lang w:eastAsia="zh-CN"/>
        </w:rPr>
        <w:t>工业点胶喷嘴</w:t>
      </w:r>
      <w:r>
        <w:rPr>
          <w:rFonts w:hint="eastAsia"/>
          <w:lang w:eastAsia="zh-CN"/>
        </w:rPr>
        <w:t>规模</w:t>
      </w:r>
    </w:p>
    <w:p>
      <w:pPr>
        <w:pStyle w:val="145"/>
        <w:rPr>
          <w:lang w:val="en-US" w:eastAsia="zh-CN"/>
        </w:rPr>
      </w:pPr>
      <w:r>
        <w:drawing>
          <wp:inline distT="0" distB="0" distL="0" distR="0">
            <wp:extent cx="6188710" cy="2922270"/>
            <wp:effectExtent l="0" t="0" r="2540" b="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pPr>
        <w:pStyle w:val="145"/>
        <w:rPr>
          <w:lang w:val="en-US" w:eastAsia="zh-CN"/>
        </w:rPr>
      </w:pPr>
      <w:r>
        <w:drawing>
          <wp:inline distT="0" distB="0" distL="0" distR="0">
            <wp:extent cx="6188710" cy="2922270"/>
            <wp:effectExtent l="0" t="0" r="2540" b="0"/>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pPr>
        <w:pStyle w:val="143"/>
        <w:rPr>
          <w:lang w:eastAsia="zh-CN"/>
        </w:rPr>
      </w:pPr>
      <w:r>
        <w:rPr>
          <w:rFonts w:hint="eastAsia"/>
          <w:lang w:eastAsia="zh-CN"/>
        </w:rPr>
        <w:t>如上图表/数据，摘自QYResearch最新报告“全球</w:t>
      </w:r>
      <w:r>
        <w:rPr>
          <w:lang w:eastAsia="zh-CN"/>
        </w:rPr>
        <w:t>工业点胶喷嘴</w:t>
      </w:r>
      <w:r>
        <w:rPr>
          <w:rFonts w:hint="eastAsia"/>
          <w:lang w:eastAsia="zh-CN"/>
        </w:rPr>
        <w:t>市场研究报告2023-2029</w:t>
      </w:r>
      <w:r>
        <w:rPr>
          <w:lang w:eastAsia="zh-CN"/>
        </w:rPr>
        <w:t>.</w:t>
      </w:r>
      <w:r>
        <w:rPr>
          <w:lang w:eastAsia="zh-CN"/>
        </w:rPr>
        <w:br w:type="page"/>
      </w:r>
    </w:p>
    <w:p>
      <w:pPr>
        <w:pStyle w:val="143"/>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pPr>
        <w:keepNext/>
        <w:widowControl/>
        <w:pBdr>
          <w:bottom w:val="single" w:color="auto" w:sz="4" w:space="6"/>
        </w:pBdr>
        <w:topLinePunct w:val="0"/>
        <w:spacing w:before="100" w:beforeAutospacing="1" w:after="120"/>
        <w:jc w:val="left"/>
        <w:rPr>
          <w:rFonts w:cs="Calibri"/>
          <w:b/>
          <w:color w:val="FF8200"/>
          <w:spacing w:val="-3"/>
          <w:kern w:val="0"/>
          <w:sz w:val="24"/>
          <w:szCs w:val="24"/>
        </w:rPr>
      </w:pPr>
      <w:r>
        <w:rPr>
          <w:rFonts w:cs="Calibri"/>
          <w:b/>
          <w:color w:val="FF8200"/>
          <w:spacing w:val="-3"/>
          <w:kern w:val="0"/>
          <w:sz w:val="24"/>
          <w:szCs w:val="24"/>
        </w:rPr>
        <w:t>QYResearch</w:t>
      </w:r>
    </w:p>
    <w:p>
      <w:r>
        <w:rPr>
          <w:rFonts w:hint="eastAsia"/>
        </w:rPr>
        <w:t>调研团队最新发布的</w:t>
      </w:r>
      <w:r>
        <w:rPr>
          <w:rFonts w:hint="eastAsia"/>
          <w:b w:val="0"/>
          <w:bCs w:val="0"/>
          <w:color w:val="0000FF"/>
          <w:lang w:eastAsia="zh-CN"/>
        </w:rPr>
        <w:t>工业点胶喷嘴</w:t>
      </w:r>
      <w:r>
        <w:rPr>
          <w:rFonts w:hint="eastAsia"/>
          <w:color w:val="0000FF"/>
        </w:rPr>
        <w:t>行业研究报告</w:t>
      </w:r>
      <w:r>
        <w:rPr>
          <w:rFonts w:hint="eastAsia"/>
        </w:rPr>
        <w:t>，</w:t>
      </w:r>
      <w:r>
        <w:t>本文侧重研究全球</w:t>
      </w:r>
      <w:r>
        <w:rPr>
          <w:rFonts w:hint="eastAsia"/>
          <w:b w:val="0"/>
          <w:bCs w:val="0"/>
          <w:lang w:eastAsia="zh-CN"/>
        </w:rPr>
        <w:t>工业点胶喷嘴</w:t>
      </w:r>
      <w:r>
        <w:t>总体规模及主要厂商占有率和排名，主要统计指标包括</w:t>
      </w:r>
      <w:r>
        <w:rPr>
          <w:rFonts w:hint="eastAsia"/>
          <w:b w:val="0"/>
          <w:bCs w:val="0"/>
          <w:lang w:eastAsia="zh-CN"/>
        </w:rPr>
        <w:t>工业点胶喷嘴</w:t>
      </w:r>
      <w:r>
        <w:t>产能、销量、销售收入、价格、市场份额及排名等，企业数据主要侧重近三年行业内主要厂商的市场销售情况。地区层面，主要分析过去五年和未来五年行业内主要生产地区和主要消费地区的规模及趋势。</w:t>
      </w:r>
    </w:p>
    <w:p>
      <w:pPr>
        <w:pStyle w:val="7"/>
      </w:pPr>
      <w:r>
        <w:rPr>
          <w:rFonts w:hint="eastAsia"/>
          <w:b w:val="0"/>
          <w:bCs w:val="0"/>
          <w:lang w:eastAsia="zh-CN"/>
        </w:rPr>
        <w:t>工业点胶喷嘴</w:t>
      </w:r>
      <w:r>
        <w:rPr>
          <w:rFonts w:hint="eastAsia"/>
        </w:rPr>
        <w:t>报告主要研究内容以下几点：</w:t>
      </w:r>
    </w:p>
    <w:p>
      <w:r>
        <w:t>第1章：报告统计范围、所属行业、产品细分及主要的下游市场，行业现状及进入壁垒等</w:t>
      </w:r>
    </w:p>
    <w:p>
      <w:r>
        <w:t>第2章：国内外主要企业市场占有率及排名</w:t>
      </w:r>
    </w:p>
    <w:p>
      <w:r>
        <w:t>第3章：全球总体规模（产能、产量、销量、需求量、销售收入等数据，2019-2030年）</w:t>
      </w:r>
    </w:p>
    <w:p>
      <w:r>
        <w:t>第4章：全球</w:t>
      </w:r>
      <w:r>
        <w:rPr>
          <w:rFonts w:hint="eastAsia"/>
          <w:b w:val="0"/>
          <w:bCs w:val="0"/>
          <w:lang w:eastAsia="zh-CN"/>
        </w:rPr>
        <w:t>工业点胶喷嘴</w:t>
      </w:r>
      <w:r>
        <w:t>主要地区分析，包括销量、销售收入等</w:t>
      </w:r>
    </w:p>
    <w:p>
      <w:r>
        <w:t>第5章：全球</w:t>
      </w:r>
      <w:r>
        <w:rPr>
          <w:rFonts w:hint="eastAsia"/>
          <w:b w:val="0"/>
          <w:bCs w:val="0"/>
          <w:lang w:eastAsia="zh-CN"/>
        </w:rPr>
        <w:t>工业点胶喷嘴</w:t>
      </w:r>
      <w:r>
        <w:t>主要厂商基本情况介绍，包括公司简介、</w:t>
      </w:r>
      <w:r>
        <w:rPr>
          <w:rFonts w:hint="eastAsia"/>
          <w:b w:val="0"/>
          <w:bCs w:val="0"/>
          <w:lang w:eastAsia="zh-CN"/>
        </w:rPr>
        <w:t>工业点胶喷嘴</w:t>
      </w:r>
      <w:r>
        <w:t>产品型号、销量、收入、价格及最新动态等</w:t>
      </w:r>
    </w:p>
    <w:p>
      <w:r>
        <w:t>第6章：全球不同产品类型</w:t>
      </w:r>
      <w:r>
        <w:rPr>
          <w:rFonts w:hint="eastAsia"/>
          <w:b w:val="0"/>
          <w:bCs w:val="0"/>
          <w:lang w:eastAsia="zh-CN"/>
        </w:rPr>
        <w:t>工业点胶喷嘴</w:t>
      </w:r>
      <w:r>
        <w:t>销量、收入、价格及份额等</w:t>
      </w:r>
    </w:p>
    <w:p>
      <w:r>
        <w:t>第7章：全球不同应用</w:t>
      </w:r>
      <w:r>
        <w:rPr>
          <w:rFonts w:hint="eastAsia"/>
          <w:b w:val="0"/>
          <w:bCs w:val="0"/>
          <w:lang w:eastAsia="zh-CN"/>
        </w:rPr>
        <w:t>工业点胶喷嘴</w:t>
      </w:r>
      <w:r>
        <w:t>销量、收入、价格及份额等</w:t>
      </w:r>
    </w:p>
    <w:p>
      <w:r>
        <w:t>第8章：行业发展趋势、驱动因素、行业政策等</w:t>
      </w:r>
    </w:p>
    <w:p>
      <w:r>
        <w:t>第9章：产业链、上下游分析、生产模式、销售模式及销售渠道分析等</w:t>
      </w:r>
    </w:p>
    <w:p>
      <w:pPr>
        <w:bidi w:val="0"/>
        <w:rPr>
          <w:rFonts w:hint="eastAsia"/>
          <w:lang w:val="en-US" w:eastAsia="zh-CN"/>
        </w:rPr>
      </w:pPr>
      <w:r>
        <w:rPr>
          <w:rFonts w:hint="default"/>
        </w:rPr>
        <w:t>第</w:t>
      </w:r>
      <w:r>
        <w:rPr>
          <w:rFonts w:hint="eastAsia"/>
          <w:lang w:val="en-US" w:eastAsia="zh-CN"/>
        </w:rPr>
        <w:t>10</w:t>
      </w:r>
      <w:r>
        <w:rPr>
          <w:rFonts w:hint="default"/>
        </w:rPr>
        <w:t>章：</w:t>
      </w:r>
      <w:r>
        <w:rPr>
          <w:rFonts w:hint="eastAsia"/>
          <w:lang w:val="en-US" w:eastAsia="zh-CN"/>
        </w:rPr>
        <w:t>报告结论</w:t>
      </w:r>
    </w:p>
    <w:p>
      <w:pPr>
        <w:bidi w:val="0"/>
      </w:pPr>
      <w:r>
        <w:rPr>
          <w:rFonts w:hint="default"/>
        </w:rPr>
        <w:t>第</w:t>
      </w:r>
      <w:r>
        <w:rPr>
          <w:rFonts w:hint="eastAsia"/>
          <w:lang w:val="en-US" w:eastAsia="zh-CN"/>
        </w:rPr>
        <w:t>11</w:t>
      </w:r>
      <w:r>
        <w:rPr>
          <w:rFonts w:hint="default"/>
        </w:rPr>
        <w:t>章：</w:t>
      </w:r>
      <w:r>
        <w:t>研究方法与数据来源</w:t>
      </w:r>
    </w:p>
    <w:p>
      <w:pPr>
        <w:rPr>
          <w:rFonts w:hint="eastAsia"/>
          <w:b/>
          <w:bCs/>
        </w:rPr>
      </w:pPr>
    </w:p>
    <w:p>
      <w:r>
        <w:rPr>
          <w:rFonts w:hint="eastAsia"/>
          <w:b/>
          <w:bCs/>
        </w:rPr>
        <w:t>竞争分析：</w:t>
      </w:r>
      <w:r>
        <w:rPr>
          <w:rFonts w:hint="eastAsia"/>
        </w:rPr>
        <w:t>主要企业情况、新入企业、收购、并购和扩张、市场份额、机遇和挑战等</w:t>
      </w:r>
    </w:p>
    <w:p>
      <w:r>
        <w:rPr>
          <w:rFonts w:hint="eastAsia"/>
          <w:b/>
          <w:bCs/>
        </w:rPr>
        <w:t>行业分析：</w:t>
      </w:r>
      <w:r>
        <w:rPr>
          <w:rFonts w:hint="eastAsia"/>
        </w:rPr>
        <w:t>原材料、市场应用、产品种类、市场需求、市场供给,下游市场分析、供应链分析等</w:t>
      </w:r>
    </w:p>
    <w:p>
      <w:r>
        <w:rPr>
          <w:rFonts w:hint="eastAsia"/>
          <w:b/>
          <w:bCs/>
        </w:rPr>
        <w:t>市场规模：</w:t>
      </w:r>
      <w:r>
        <w:rPr>
          <w:rFonts w:hint="eastAsia"/>
        </w:rPr>
        <w:t>产能、产量、销售、产值、价格、成本、利润等</w:t>
      </w:r>
    </w:p>
    <w:p>
      <w:r>
        <w:rPr>
          <w:rFonts w:hint="eastAsia"/>
          <w:b/>
          <w:bCs/>
        </w:rPr>
        <w:t>定制信息：</w:t>
      </w:r>
      <w:r>
        <w:rPr>
          <w:rFonts w:hint="eastAsia"/>
        </w:rPr>
        <w:t>我们可以提供定制的调查和信息，以满足客户的需要</w:t>
      </w:r>
    </w:p>
    <w:p/>
    <w:p>
      <w:pPr>
        <w:rPr>
          <w:b/>
          <w:bCs/>
        </w:rPr>
      </w:pPr>
      <w:r>
        <w:rPr>
          <w:rFonts w:hint="eastAsia"/>
          <w:b/>
          <w:bCs/>
        </w:rPr>
        <w:t>我们通过丰富的专家资源、完备的数据库、专业的研究团队、精准完善的调查分析为您提供深入的市场调研、销售数据、市场环境分析、市场发展预测...为确保市场调研的准确性，我们所有的信息均通过多重验证审核</w:t>
      </w:r>
    </w:p>
    <w:p/>
    <w:p>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2D"/>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11A"/>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2FC8"/>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701"/>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2DE"/>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61F"/>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139"/>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6D0"/>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EC"/>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0C04"/>
    <w:rsid w:val="009D1372"/>
    <w:rsid w:val="009D1493"/>
    <w:rsid w:val="009D15A4"/>
    <w:rsid w:val="009D1A19"/>
    <w:rsid w:val="009D1AF6"/>
    <w:rsid w:val="009D1B29"/>
    <w:rsid w:val="009D1E07"/>
    <w:rsid w:val="009D1EA7"/>
    <w:rsid w:val="009D20D6"/>
    <w:rsid w:val="009D21CD"/>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411"/>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65C"/>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6F75"/>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2D"/>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B2827A1"/>
    <w:rsid w:val="5A5F46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清单表 2 - 着色 41"/>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清单表 1 浅色 - 着色 1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清单表 2 - 着色 21"/>
    <w:basedOn w:val="34"/>
    <w:qFormat/>
    <w:uiPriority w:val="47"/>
    <w:rPr>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sz w:val="22"/>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网格表 21"/>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网格表 2 - 着色 41"/>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网格表 2 - 着色 51"/>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清单表 2 - 着色 51"/>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清单表 1 浅色 - 着色 51"/>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jpe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image" Target="media/image5.png"/><Relationship Id="rId12" Type="http://schemas.openxmlformats.org/officeDocument/2006/relationships/chart" Target="charts/chart3.xml"/><Relationship Id="rId11" Type="http://schemas.openxmlformats.org/officeDocument/2006/relationships/image" Target="media/image4.png"/><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_rels/chart8.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package" Target="../embeddings/Workbook8.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zh-CN" altLang="en-US" sz="1100">
                <a:latin typeface="Book Antiqua" panose="02040602050305030304" pitchFamily="1" charset="0"/>
              </a:rPr>
              <a:t>全球市场规模</a:t>
            </a:r>
            <a:r>
              <a:rPr lang="en-US" altLang="zh-CN" sz="1100">
                <a:latin typeface="Book Antiqua" panose="02040602050305030304" pitchFamily="1" charset="0"/>
              </a:rPr>
              <a:t> ($ </a:t>
            </a:r>
            <a:r>
              <a:rPr lang="zh-CN" altLang="en-US" sz="1100">
                <a:latin typeface="Book Antiqua" panose="02040602050305030304" pitchFamily="1" charset="0"/>
              </a:rPr>
              <a:t>百万</a:t>
            </a:r>
            <a:r>
              <a:rPr lang="en-US" altLang="zh-CN" sz="1100">
                <a:latin typeface="Book Antiqua" panose="02040602050305030304" pitchFamily="1" charset="0"/>
              </a:rPr>
              <a:t>)</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3395.9</c:v>
                </c:pt>
                <c:pt idx="1">
                  <c:v>4001.44</c:v>
                </c:pt>
                <c:pt idx="2">
                  <c:v>5726.24</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Lbls>
            <c:delete val="1"/>
          </c:dLbls>
          <c:cat>
            <c:strRef>
              <c:extLst>
                <c:ext xmlns:c15="http://schemas.microsoft.com/office/drawing/2012/chart" uri="{02D57815-91ED-43cb-92C2-25804820EDAC}">
                  <c15:fullRef>
                    <c15:sqref>企业排序!$F$2:$F$18</c15:sqref>
                  </c15:fullRef>
                </c:ext>
              </c:extLst>
              <c:f>企业排序!$F$2:$F$13</c:f>
              <c:strCache>
                <c:ptCount val="12"/>
                <c:pt idx="0">
                  <c:v>Suntech</c:v>
                </c:pt>
                <c:pt idx="1">
                  <c:v>FUTA-Q,Ltd.</c:v>
                </c:pt>
                <c:pt idx="2">
                  <c:v>Naka Liquid Control</c:v>
                </c:pt>
                <c:pt idx="3">
                  <c:v>Crafts Technology</c:v>
                </c:pt>
                <c:pt idx="4">
                  <c:v>The Lee Company</c:v>
                </c:pt>
                <c:pt idx="5">
                  <c:v>Martin GmbH (Finetech)</c:v>
                </c:pt>
                <c:pt idx="6">
                  <c:v>VERMES Microdispensing</c:v>
                </c:pt>
                <c:pt idx="7">
                  <c:v>PVA</c:v>
                </c:pt>
                <c:pt idx="8">
                  <c:v>GPD Global</c:v>
                </c:pt>
                <c:pt idx="9">
                  <c:v>Fisnar</c:v>
                </c:pt>
                <c:pt idx="10">
                  <c:v>Adamant Namiki</c:v>
                </c:pt>
                <c:pt idx="11">
                  <c:v>Toray Precision</c:v>
                </c:pt>
              </c:strCache>
            </c:strRef>
          </c:cat>
          <c:val>
            <c:numRef>
              <c:extLst>
                <c:ext xmlns:c15="http://schemas.microsoft.com/office/drawing/2012/chart" uri="{02D57815-91ED-43cb-92C2-25804820EDAC}">
                  <c15:fullRef>
                    <c15:sqref>企业排序!$G$2:$G$18</c15:sqref>
                  </c15:fullRef>
                </c:ext>
              </c:extLst>
              <c:f>企业排序!$G$2:$G$13</c:f>
              <c:numCache>
                <c:formatCode>#,##0.00_ </c:formatCode>
                <c:ptCount val="12"/>
                <c:pt idx="0">
                  <c:v>3.49</c:v>
                </c:pt>
                <c:pt idx="1">
                  <c:v>4.76</c:v>
                </c:pt>
                <c:pt idx="2">
                  <c:v>4.81</c:v>
                </c:pt>
                <c:pt idx="3">
                  <c:v>4.94</c:v>
                </c:pt>
                <c:pt idx="4">
                  <c:v>5.45</c:v>
                </c:pt>
                <c:pt idx="5">
                  <c:v>5.59</c:v>
                </c:pt>
                <c:pt idx="6">
                  <c:v>5.72</c:v>
                </c:pt>
                <c:pt idx="7">
                  <c:v>6.6</c:v>
                </c:pt>
                <c:pt idx="8">
                  <c:v>6.93</c:v>
                </c:pt>
                <c:pt idx="9">
                  <c:v>7.49</c:v>
                </c:pt>
                <c:pt idx="10">
                  <c:v>8.74</c:v>
                </c:pt>
                <c:pt idx="11">
                  <c:v>10.45</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分类!$A$2</c:f>
              <c:strCache>
                <c:ptCount val="1"/>
                <c:pt idx="0">
                  <c:v>金属点胶喷嘴</c:v>
                </c:pt>
              </c:strCache>
            </c:strRef>
          </c:tx>
          <c:spPr>
            <a:solidFill>
              <a:srgbClr val="002060"/>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分类!$B$2:$M$2</c:f>
              <c:numCache>
                <c:formatCode>#,##0.00</c:formatCode>
                <c:ptCount val="12"/>
                <c:pt idx="0">
                  <c:v>96.87</c:v>
                </c:pt>
                <c:pt idx="1">
                  <c:v>103.4</c:v>
                </c:pt>
                <c:pt idx="2">
                  <c:v>111.56</c:v>
                </c:pt>
                <c:pt idx="3">
                  <c:v>101.95</c:v>
                </c:pt>
                <c:pt idx="4">
                  <c:v>111.2</c:v>
                </c:pt>
                <c:pt idx="5">
                  <c:v>120.48</c:v>
                </c:pt>
                <c:pt idx="6">
                  <c:v>128.83</c:v>
                </c:pt>
                <c:pt idx="7">
                  <c:v>138.95</c:v>
                </c:pt>
                <c:pt idx="8">
                  <c:v>142.14</c:v>
                </c:pt>
                <c:pt idx="9">
                  <c:v>151.07</c:v>
                </c:pt>
                <c:pt idx="10">
                  <c:v>161.01</c:v>
                </c:pt>
                <c:pt idx="11">
                  <c:v>173.4</c:v>
                </c:pt>
              </c:numCache>
            </c:numRef>
          </c:val>
        </c:ser>
        <c:ser>
          <c:idx val="1"/>
          <c:order val="1"/>
          <c:tx>
            <c:strRef>
              <c:f>分类!$A$3</c:f>
              <c:strCache>
                <c:ptCount val="1"/>
                <c:pt idx="0">
                  <c:v>塑料点胶喷嘴</c:v>
                </c:pt>
              </c:strCache>
            </c:strRef>
          </c:tx>
          <c:spPr>
            <a:solidFill>
              <a:schemeClr val="bg1">
                <a:lumMod val="5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分类!$B$3:$M$3</c:f>
              <c:numCache>
                <c:formatCode>#,##0.00</c:formatCode>
                <c:ptCount val="12"/>
                <c:pt idx="0">
                  <c:v>6.66</c:v>
                </c:pt>
                <c:pt idx="1">
                  <c:v>6.95</c:v>
                </c:pt>
                <c:pt idx="2">
                  <c:v>7.4</c:v>
                </c:pt>
                <c:pt idx="3">
                  <c:v>6.79</c:v>
                </c:pt>
                <c:pt idx="4">
                  <c:v>7.41</c:v>
                </c:pt>
                <c:pt idx="5">
                  <c:v>7.94</c:v>
                </c:pt>
                <c:pt idx="6">
                  <c:v>8.35</c:v>
                </c:pt>
                <c:pt idx="7">
                  <c:v>8.96</c:v>
                </c:pt>
                <c:pt idx="8">
                  <c:v>9.13</c:v>
                </c:pt>
                <c:pt idx="9">
                  <c:v>9.61</c:v>
                </c:pt>
                <c:pt idx="10">
                  <c:v>10.28</c:v>
                </c:pt>
                <c:pt idx="11">
                  <c:v>11.01</c:v>
                </c:pt>
              </c:numCache>
            </c:numRef>
          </c:val>
        </c:ser>
        <c:ser>
          <c:idx val="2"/>
          <c:order val="2"/>
          <c:tx>
            <c:strRef>
              <c:f>分类!$A$4</c:f>
              <c:strCache>
                <c:ptCount val="1"/>
                <c:pt idx="0">
                  <c:v>陶瓷点胶喷嘴</c:v>
                </c:pt>
              </c:strCache>
            </c:strRef>
          </c:tx>
          <c:spPr>
            <a:solidFill>
              <a:schemeClr val="accent6">
                <a:lumMod val="75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分类!$B$4:$M$4</c:f>
              <c:numCache>
                <c:formatCode>General</c:formatCode>
                <c:ptCount val="12"/>
                <c:pt idx="0">
                  <c:v>48.82</c:v>
                </c:pt>
                <c:pt idx="1">
                  <c:v>51.91</c:v>
                </c:pt>
                <c:pt idx="2">
                  <c:v>55.56</c:v>
                </c:pt>
                <c:pt idx="3">
                  <c:v>51.07</c:v>
                </c:pt>
                <c:pt idx="4">
                  <c:v>56.26</c:v>
                </c:pt>
                <c:pt idx="5">
                  <c:v>61.32</c:v>
                </c:pt>
                <c:pt idx="6">
                  <c:v>65.21</c:v>
                </c:pt>
                <c:pt idx="7">
                  <c:v>70.26</c:v>
                </c:pt>
                <c:pt idx="8" c:formatCode="#,##0.00">
                  <c:v>72.14</c:v>
                </c:pt>
                <c:pt idx="9" c:formatCode="#,##0.00">
                  <c:v>76.7</c:v>
                </c:pt>
                <c:pt idx="10" c:formatCode="#,##0.00">
                  <c:v>82.57</c:v>
                </c:pt>
                <c:pt idx="11" c:formatCode="#,##0.00">
                  <c:v>89.2</c:v>
                </c:pt>
              </c:numCache>
            </c:numRef>
          </c:val>
        </c:ser>
        <c:ser>
          <c:idx val="3"/>
          <c:order val="3"/>
          <c:tx>
            <c:strRef>
              <c:f>分类!$A$5</c:f>
              <c:strCache>
                <c:ptCount val="1"/>
                <c:pt idx="0">
                  <c:v>其他</c:v>
                </c:pt>
              </c:strCache>
            </c:strRef>
          </c:tx>
          <c:spPr>
            <a:solidFill>
              <a:schemeClr val="tx2">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分类!$B$5:$M$5</c:f>
              <c:numCache>
                <c:formatCode>General</c:formatCode>
                <c:ptCount val="12"/>
                <c:pt idx="0">
                  <c:v>44.21</c:v>
                </c:pt>
                <c:pt idx="1">
                  <c:v>47.72</c:v>
                </c:pt>
                <c:pt idx="2">
                  <c:v>52.02</c:v>
                </c:pt>
                <c:pt idx="3">
                  <c:v>48.34</c:v>
                </c:pt>
                <c:pt idx="4">
                  <c:v>53.91</c:v>
                </c:pt>
                <c:pt idx="5">
                  <c:v>59.44</c:v>
                </c:pt>
                <c:pt idx="6">
                  <c:v>64.46</c:v>
                </c:pt>
                <c:pt idx="7">
                  <c:v>70.4</c:v>
                </c:pt>
                <c:pt idx="8">
                  <c:v>73.2</c:v>
                </c:pt>
                <c:pt idx="9">
                  <c:v>78.8</c:v>
                </c:pt>
                <c:pt idx="10">
                  <c:v>85.86</c:v>
                </c:pt>
                <c:pt idx="11" c:formatCode="#,##0.00">
                  <c:v>94.02</c:v>
                </c:pt>
              </c:numCache>
            </c:numRef>
          </c:val>
        </c:ser>
        <c:dLbls>
          <c:showLegendKey val="0"/>
          <c:showVal val="0"/>
          <c:showCatName val="0"/>
          <c:showSerName val="0"/>
          <c:showPercent val="0"/>
          <c:showBubbleSize val="0"/>
        </c:dLbls>
        <c:gapWidth val="25"/>
        <c:overlap val="100"/>
        <c:axId val="2101581920"/>
        <c:axId val="2101559456"/>
        <c:extLst>
          <c:ext xmlns:c15="http://schemas.microsoft.com/office/drawing/2012/chart" uri="{02D57815-91ED-43cb-92C2-25804820EDAC}">
            <c15:filteredBarSeries>
              <c15:ser>
                <c:idx val="4"/>
                <c:order val="4"/>
                <c:tx>
                  <c:strRef>
                    <c:extLst>
                      <c:ext uri="{02D57815-91ED-43cb-92C2-25804820EDAC}">
                        <c15:formulaRef>
                          <c15:sqref>分类!$A$6</c15:sqref>
                        </c15:formulaRef>
                      </c:ext>
                    </c:extLst>
                    <c:strCache>
                      <c:ptCount val="1"/>
                      <c:pt idx="0">
                        <c:v/>
                      </c:pt>
                    </c:strCache>
                  </c:strRef>
                </c:tx>
                <c:spPr>
                  <a:solidFill>
                    <a:schemeClr val="accent1">
                      <a:lumMod val="75000"/>
                    </a:schemeClr>
                  </a:solidFill>
                  <a:ln>
                    <a:noFill/>
                  </a:ln>
                  <a:effectLst/>
                </c:spPr>
                <c:invertIfNegative val="0"/>
                <c:dLbls>
                  <c:delete val="1"/>
                </c:dLbls>
                <c:cat>
                  <c:numRef>
                    <c:extLst>
                      <c:ext uri="{02D57815-91ED-43cb-92C2-25804820EDAC}">
                        <c15:fullRef>
                          <c15:sqref/>
                        </c15:fullRef>
                        <c15:formulaRef>
                          <c15:sqref>分类!$B$1:$M$1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分类!$B$6:$M$6</c15:sqref>
                        </c15:formulaRef>
                      </c:ext>
                    </c:extLst>
                    <c:numCache>
                      <c:formatCode>General</c:formatCode>
                      <c:ptCount val="12"/>
                    </c:numCache>
                  </c:numRef>
                </c:val>
              </c15:ser>
            </c15:filteredBarSeries>
            <c15:filteredBarSeries>
              <c15:ser>
                <c:idx val="5"/>
                <c:order val="5"/>
                <c:tx>
                  <c:strRef>
                    <c:extLst>
                      <c:ext uri="{02D57815-91ED-43cb-92C2-25804820EDAC}">
                        <c15:formulaRef>
                          <c15:sqref>分类!$A$7</c15:sqref>
                        </c15:formulaRef>
                      </c:ext>
                    </c:extLst>
                    <c:strCache>
                      <c:ptCount val="1"/>
                      <c:pt idx="0">
                        <c:v/>
                      </c:pt>
                    </c:strCache>
                  </c:strRef>
                </c:tx>
                <c:spPr>
                  <a:solidFill>
                    <a:schemeClr val="accent4">
                      <a:lumMod val="60000"/>
                      <a:lumOff val="40000"/>
                    </a:schemeClr>
                  </a:solidFill>
                  <a:ln>
                    <a:noFill/>
                  </a:ln>
                  <a:effectLst/>
                </c:spPr>
                <c:invertIfNegative val="0"/>
                <c:dLbls>
                  <c:delete val="1"/>
                </c:dLbls>
                <c:cat>
                  <c:numRef>
                    <c:extLst>
                      <c:ext uri="{02D57815-91ED-43cb-92C2-25804820EDAC}">
                        <c15:fullRef>
                          <c15:sqref/>
                        </c15:fullRef>
                        <c15:formulaRef>
                          <c15:sqref>分类!$B$1:$M$1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分类!$B$7:$M$7</c15:sqref>
                        </c15:formulaRef>
                      </c:ext>
                    </c:extLst>
                    <c:numCache>
                      <c:formatCode>General</c:formatCode>
                      <c:ptCount val="12"/>
                    </c:numCache>
                  </c:numRef>
                </c:val>
              </c15:ser>
            </c15:filteredBarSeries>
            <c15:filteredBarSeries>
              <c15:ser>
                <c:idx val="6"/>
                <c:order val="6"/>
                <c:tx>
                  <c:strRef>
                    <c:extLst>
                      <c:ext uri="{02D57815-91ED-43cb-92C2-25804820EDAC}">
                        <c15:formulaRef>
                          <c15:sqref>分类!$A$8</c15:sqref>
                        </c15:formulaRef>
                      </c:ext>
                    </c:extLst>
                    <c:strCache>
                      <c:ptCount val="1"/>
                      <c:pt idx="0">
                        <c:v/>
                      </c:pt>
                    </c:strCache>
                  </c:strRef>
                </c:tx>
                <c:spPr>
                  <a:solidFill>
                    <a:schemeClr val="accent2">
                      <a:lumMod val="60000"/>
                      <a:lumOff val="40000"/>
                    </a:schemeClr>
                  </a:solidFill>
                  <a:ln>
                    <a:noFill/>
                  </a:ln>
                  <a:effectLst/>
                </c:spPr>
                <c:invertIfNegative val="0"/>
                <c:dLbls>
                  <c:delete val="1"/>
                </c:dLbls>
                <c:cat>
                  <c:numRef>
                    <c:extLst>
                      <c:ext uri="{02D57815-91ED-43cb-92C2-25804820EDAC}">
                        <c15:fullRef>
                          <c15:sqref/>
                        </c15:fullRef>
                        <c15:formulaRef>
                          <c15:sqref>分类!$B$1:$M$1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分类!$B$8:$M$8</c15:sqref>
                        </c15:formulaRef>
                      </c:ext>
                    </c:extLst>
                    <c:numCache>
                      <c:formatCode>General</c:formatCode>
                      <c:ptCount val="12"/>
                    </c:numCache>
                  </c:numRef>
                </c:val>
              </c15:ser>
            </c15:filteredBarSeries>
            <c15:filteredBarSeries>
              <c15:ser>
                <c:idx val="7"/>
                <c:order val="7"/>
                <c:tx>
                  <c:strRef>
                    <c:extLst>
                      <c:ext uri="{02D57815-91ED-43cb-92C2-25804820EDAC}">
                        <c15:formulaRef>
                          <c15:sqref>分类!$A$9</c15:sqref>
                        </c15:formulaRef>
                      </c:ext>
                    </c:extLst>
                    <c:strCache>
                      <c:ptCount val="1"/>
                      <c:pt idx="0">
                        <c:v/>
                      </c:pt>
                    </c:strCache>
                  </c:strRef>
                </c:tx>
                <c:spPr>
                  <a:solidFill>
                    <a:schemeClr val="bg2">
                      <a:lumMod val="50000"/>
                    </a:schemeClr>
                  </a:solidFill>
                  <a:ln>
                    <a:noFill/>
                  </a:ln>
                  <a:effectLst/>
                </c:spPr>
                <c:invertIfNegative val="0"/>
                <c:dLbls>
                  <c:delete val="1"/>
                </c:dLbls>
                <c:cat>
                  <c:numRef>
                    <c:extLst>
                      <c:ext uri="{02D57815-91ED-43cb-92C2-25804820EDAC}">
                        <c15:fullRef>
                          <c15:sqref/>
                        </c15:fullRef>
                        <c15:formulaRef>
                          <c15:sqref>分类!$B$1:$M$1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分类!$B$9:$M$9</c15:sqref>
                        </c15:formulaRef>
                      </c:ext>
                    </c:extLst>
                    <c:numCache>
                      <c:formatCode>General</c:formatCode>
                      <c:ptCount val="12"/>
                    </c:numCache>
                  </c:numRef>
                </c:val>
              </c15:ser>
            </c15:filteredBarSeries>
            <c15:filteredBarSeries>
              <c15:ser>
                <c:idx val="8"/>
                <c:order val="8"/>
                <c:tx>
                  <c:strRef>
                    <c:extLst>
                      <c:ext uri="{02D57815-91ED-43cb-92C2-25804820EDAC}">
                        <c15:formulaRef>
                          <c15:sqref>分类!$A$10</c15:sqref>
                        </c15:formulaRef>
                      </c:ext>
                    </c:extLst>
                    <c:strCache>
                      <c:ptCount val="1"/>
                      <c:pt idx="0">
                        <c:v/>
                      </c:pt>
                    </c:strCache>
                  </c:strRef>
                </c:tx>
                <c:spPr>
                  <a:solidFill>
                    <a:schemeClr val="accent5">
                      <a:lumMod val="60000"/>
                      <a:lumOff val="40000"/>
                    </a:schemeClr>
                  </a:solidFill>
                  <a:ln>
                    <a:noFill/>
                  </a:ln>
                  <a:effectLst/>
                </c:spPr>
                <c:invertIfNegative val="0"/>
                <c:dLbls>
                  <c:delete val="1"/>
                </c:dLbls>
                <c:cat>
                  <c:numRef>
                    <c:extLst>
                      <c:ext uri="{02D57815-91ED-43cb-92C2-25804820EDAC}">
                        <c15:fullRef>
                          <c15:sqref/>
                        </c15:fullRef>
                        <c15:formulaRef>
                          <c15:sqref>分类!$B$1:$M$1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分类!$B$10:$M$10</c15:sqref>
                        </c15:formulaRef>
                      </c:ext>
                    </c:extLst>
                    <c:numCache>
                      <c:formatCode>General</c:formatCode>
                      <c:ptCount val="12"/>
                    </c:numCache>
                  </c:numRef>
                </c:val>
              </c15:ser>
            </c15:filteredBarSeries>
          </c:ext>
        </c:extLst>
      </c:barChart>
      <c:lineChart>
        <c:grouping val="stacked"/>
        <c:varyColors val="0"/>
        <c:ser>
          <c:idx val="9"/>
          <c:order val="9"/>
          <c:tx>
            <c:strRef>
              <c:f>分类!$A$11</c:f>
              <c:strCache>
                <c:ptCount val="1"/>
                <c:pt idx="0">
                  <c:v>总计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分类!$B$11:$M$11</c:f>
              <c:numCache>
                <c:formatCode>#,##0_);[Red]\(#,##0\)</c:formatCode>
                <c:ptCount val="12"/>
                <c:pt idx="0">
                  <c:v>196.56</c:v>
                </c:pt>
                <c:pt idx="1">
                  <c:v>209.98</c:v>
                </c:pt>
                <c:pt idx="2">
                  <c:v>226.54</c:v>
                </c:pt>
                <c:pt idx="3">
                  <c:v>208.15</c:v>
                </c:pt>
                <c:pt idx="4">
                  <c:v>228.78</c:v>
                </c:pt>
                <c:pt idx="5">
                  <c:v>249.18</c:v>
                </c:pt>
                <c:pt idx="6">
                  <c:v>266.85</c:v>
                </c:pt>
                <c:pt idx="7">
                  <c:v>288.57</c:v>
                </c:pt>
                <c:pt idx="8">
                  <c:v>296.61</c:v>
                </c:pt>
                <c:pt idx="9">
                  <c:v>316.18</c:v>
                </c:pt>
                <c:pt idx="10">
                  <c:v>339.72</c:v>
                </c:pt>
                <c:pt idx="11">
                  <c:v>367.63</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电子及半导体</c:v>
                </c:pt>
              </c:strCache>
            </c:strRef>
          </c:tx>
          <c:spPr>
            <a:solidFill>
              <a:srgbClr val="002060"/>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应用!$B$2:$M$2</c:f>
              <c:numCache>
                <c:formatCode>#,##0_);[Red]\(#,##0\)</c:formatCode>
                <c:ptCount val="12"/>
                <c:pt idx="0">
                  <c:v>103.65</c:v>
                </c:pt>
                <c:pt idx="1">
                  <c:v>111.67</c:v>
                </c:pt>
                <c:pt idx="2">
                  <c:v>121.33</c:v>
                </c:pt>
                <c:pt idx="3">
                  <c:v>112.34</c:v>
                </c:pt>
                <c:pt idx="4">
                  <c:v>124.48</c:v>
                </c:pt>
                <c:pt idx="5">
                  <c:v>136.39</c:v>
                </c:pt>
                <c:pt idx="6">
                  <c:v>146.83</c:v>
                </c:pt>
                <c:pt idx="7">
                  <c:v>159.47</c:v>
                </c:pt>
                <c:pt idx="8">
                  <c:v>164.67</c:v>
                </c:pt>
                <c:pt idx="9">
                  <c:v>176.36</c:v>
                </c:pt>
                <c:pt idx="10">
                  <c:v>190.15</c:v>
                </c:pt>
                <c:pt idx="11">
                  <c:v>206.19</c:v>
                </c:pt>
              </c:numCache>
            </c:numRef>
          </c:val>
        </c:ser>
        <c:ser>
          <c:idx val="1"/>
          <c:order val="1"/>
          <c:tx>
            <c:strRef>
              <c:f>应用!$A$3</c:f>
              <c:strCache>
                <c:ptCount val="1"/>
                <c:pt idx="0">
                  <c:v>汽车</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应用!$B$3:$M$3</c:f>
              <c:numCache>
                <c:formatCode>#,##0_);[Red]\(#,##0\)</c:formatCode>
                <c:ptCount val="12"/>
                <c:pt idx="0">
                  <c:v>36.16</c:v>
                </c:pt>
                <c:pt idx="1">
                  <c:v>38.35</c:v>
                </c:pt>
                <c:pt idx="2">
                  <c:v>41.16</c:v>
                </c:pt>
                <c:pt idx="3">
                  <c:v>37.44</c:v>
                </c:pt>
                <c:pt idx="4">
                  <c:v>40.58</c:v>
                </c:pt>
                <c:pt idx="5">
                  <c:v>44</c:v>
                </c:pt>
                <c:pt idx="6">
                  <c:v>47.01</c:v>
                </c:pt>
                <c:pt idx="7">
                  <c:v>50.62</c:v>
                </c:pt>
                <c:pt idx="8">
                  <c:v>51.73</c:v>
                </c:pt>
                <c:pt idx="9">
                  <c:v>54.76</c:v>
                </c:pt>
                <c:pt idx="10">
                  <c:v>58.61</c:v>
                </c:pt>
                <c:pt idx="11">
                  <c:v>63.33</c:v>
                </c:pt>
              </c:numCache>
            </c:numRef>
          </c:val>
        </c:ser>
        <c:ser>
          <c:idx val="2"/>
          <c:order val="2"/>
          <c:tx>
            <c:strRef>
              <c:f>应用!$A$4</c:f>
              <c:strCache>
                <c:ptCount val="1"/>
                <c:pt idx="0">
                  <c:v>医疗</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应用!$B$4:$M$4</c:f>
              <c:numCache>
                <c:formatCode>#,##0_);[Red]\(#,##0\)</c:formatCode>
                <c:ptCount val="12"/>
                <c:pt idx="0">
                  <c:v>41.11</c:v>
                </c:pt>
                <c:pt idx="1">
                  <c:v>43.66</c:v>
                </c:pt>
                <c:pt idx="2">
                  <c:v>46.84</c:v>
                </c:pt>
                <c:pt idx="3">
                  <c:v>42.79</c:v>
                </c:pt>
                <c:pt idx="4">
                  <c:v>47</c:v>
                </c:pt>
                <c:pt idx="5">
                  <c:v>50.93</c:v>
                </c:pt>
                <c:pt idx="6">
                  <c:v>54.34</c:v>
                </c:pt>
                <c:pt idx="7">
                  <c:v>58.64</c:v>
                </c:pt>
                <c:pt idx="8">
                  <c:v>60.18</c:v>
                </c:pt>
                <c:pt idx="9">
                  <c:v>64.22</c:v>
                </c:pt>
                <c:pt idx="10">
                  <c:v>68.99</c:v>
                </c:pt>
                <c:pt idx="11">
                  <c:v>74.73</c:v>
                </c:pt>
              </c:numCache>
            </c:numRef>
          </c:val>
        </c:ser>
        <c:ser>
          <c:idx val="3"/>
          <c:order val="3"/>
          <c:tx>
            <c:strRef>
              <c:f>应用!$A$5</c:f>
              <c:strCache>
                <c:ptCount val="1"/>
                <c:pt idx="0">
                  <c:v>其他</c:v>
                </c:pt>
              </c:strCache>
            </c:strRef>
          </c:tx>
          <c:spPr>
            <a:solidFill>
              <a:schemeClr val="tx2">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应用!$B$5:$M$5</c:f>
              <c:numCache>
                <c:formatCode>#,##0_);[Red]\(#,##0\)</c:formatCode>
                <c:ptCount val="12"/>
                <c:pt idx="0">
                  <c:v>15.64</c:v>
                </c:pt>
                <c:pt idx="1">
                  <c:v>16.3</c:v>
                </c:pt>
                <c:pt idx="2">
                  <c:v>17.21</c:v>
                </c:pt>
                <c:pt idx="3">
                  <c:v>15.58</c:v>
                </c:pt>
                <c:pt idx="4">
                  <c:v>16.72</c:v>
                </c:pt>
                <c:pt idx="5">
                  <c:v>17.86</c:v>
                </c:pt>
                <c:pt idx="6">
                  <c:v>18.67</c:v>
                </c:pt>
                <c:pt idx="7">
                  <c:v>19.84</c:v>
                </c:pt>
                <c:pt idx="8">
                  <c:v>20.03</c:v>
                </c:pt>
                <c:pt idx="9">
                  <c:v>20.84</c:v>
                </c:pt>
                <c:pt idx="10">
                  <c:v>21.97</c:v>
                </c:pt>
                <c:pt idx="11">
                  <c:v>23.38</c:v>
                </c:pt>
              </c:numCache>
            </c:numRef>
          </c:val>
        </c:ser>
        <c:dLbls>
          <c:showLegendKey val="0"/>
          <c:showVal val="0"/>
          <c:showCatName val="0"/>
          <c:showSerName val="0"/>
          <c:showPercent val="0"/>
          <c:showBubbleSize val="0"/>
        </c:dLbls>
        <c:gapWidth val="25"/>
        <c:overlap val="100"/>
        <c:axId val="2101581920"/>
        <c:axId val="2101559456"/>
        <c:extLst>
          <c:ext xmlns:c15="http://schemas.microsoft.com/office/drawing/2012/chart" uri="{02D57815-91ED-43cb-92C2-25804820EDAC}">
            <c15:filteredBarSeries>
              <c15:ser>
                <c:idx val="4"/>
                <c:order val="4"/>
                <c:tx>
                  <c:strRef>
                    <c:extLst>
                      <c:ext uri="{02D57815-91ED-43cb-92C2-25804820EDAC}">
                        <c15:formulaRef>
                          <c15:sqref>应用!$A$6</c15:sqref>
                        </c15:formulaRef>
                      </c:ext>
                    </c:extLst>
                    <c:strCache>
                      <c:ptCount val="1"/>
                      <c:pt idx="0">
                        <c:v/>
                      </c:pt>
                    </c:strCache>
                  </c:strRef>
                </c:tx>
                <c:spPr>
                  <a:solidFill>
                    <a:schemeClr val="accent1">
                      <a:lumMod val="75000"/>
                    </a:schemeClr>
                  </a:solidFill>
                  <a:ln>
                    <a:noFill/>
                  </a:ln>
                  <a:effectLst/>
                </c:spPr>
                <c:invertIfNegative val="0"/>
                <c:dLbls>
                  <c:delete val="1"/>
                </c:dLbls>
                <c:cat>
                  <c:numRef>
                    <c:extLst>
                      <c:ext uri="{02D57815-91ED-43cb-92C2-25804820EDAC}">
                        <c15:fullRef>
                          <c15:sqref/>
                        </c15:fullRef>
                        <c15:formulaRef>
                          <c15:sqref>应用!$B$1:$M$1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应用!$B$6:$M$6</c15:sqref>
                        </c15:formulaRef>
                      </c:ext>
                    </c:extLst>
                    <c:numCache>
                      <c:formatCode>General</c:formatCode>
                      <c:ptCount val="12"/>
                    </c:numCache>
                  </c:numRef>
                </c:val>
              </c15:ser>
            </c15:filteredBarSeries>
            <c15:filteredBarSeries>
              <c15:ser>
                <c:idx val="5"/>
                <c:order val="5"/>
                <c:tx>
                  <c:strRef>
                    <c:extLst>
                      <c:ext uri="{02D57815-91ED-43cb-92C2-25804820EDAC}">
                        <c15:formulaRef>
                          <c15:sqref>应用!$A$7</c15:sqref>
                        </c15:formulaRef>
                      </c:ext>
                    </c:extLst>
                    <c:strCache>
                      <c:ptCount val="1"/>
                      <c:pt idx="0">
                        <c:v/>
                      </c:pt>
                    </c:strCache>
                  </c:strRef>
                </c:tx>
                <c:spPr>
                  <a:solidFill>
                    <a:schemeClr val="accent4">
                      <a:lumMod val="60000"/>
                      <a:lumOff val="40000"/>
                    </a:schemeClr>
                  </a:solidFill>
                  <a:ln>
                    <a:noFill/>
                  </a:ln>
                  <a:effectLst/>
                </c:spPr>
                <c:invertIfNegative val="0"/>
                <c:dLbls>
                  <c:delete val="1"/>
                </c:dLbls>
                <c:cat>
                  <c:numRef>
                    <c:extLst>
                      <c:ext uri="{02D57815-91ED-43cb-92C2-25804820EDAC}">
                        <c15:fullRef>
                          <c15:sqref/>
                        </c15:fullRef>
                        <c15:formulaRef>
                          <c15:sqref>应用!$B$1:$M$1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应用!$B$7:$M$7</c15:sqref>
                        </c15:formulaRef>
                      </c:ext>
                    </c:extLst>
                    <c:numCache>
                      <c:formatCode>General</c:formatCode>
                      <c:ptCount val="12"/>
                    </c:numCache>
                  </c:numRef>
                </c:val>
              </c15:ser>
            </c15:filteredBarSeries>
            <c15:filteredBarSeries>
              <c15:ser>
                <c:idx val="6"/>
                <c:order val="6"/>
                <c:tx>
                  <c:strRef>
                    <c:extLst>
                      <c:ext uri="{02D57815-91ED-43cb-92C2-25804820EDAC}">
                        <c15:formulaRef>
                          <c15:sqref>应用!$A$8</c15:sqref>
                        </c15:formulaRef>
                      </c:ext>
                    </c:extLst>
                    <c:strCache>
                      <c:ptCount val="1"/>
                      <c:pt idx="0">
                        <c:v/>
                      </c:pt>
                    </c:strCache>
                  </c:strRef>
                </c:tx>
                <c:spPr>
                  <a:solidFill>
                    <a:schemeClr val="accent2">
                      <a:lumMod val="60000"/>
                      <a:lumOff val="40000"/>
                    </a:schemeClr>
                  </a:solidFill>
                  <a:ln>
                    <a:noFill/>
                  </a:ln>
                  <a:effectLst/>
                </c:spPr>
                <c:invertIfNegative val="0"/>
                <c:dLbls>
                  <c:delete val="1"/>
                </c:dLbls>
                <c:cat>
                  <c:numRef>
                    <c:extLst>
                      <c:ext uri="{02D57815-91ED-43cb-92C2-25804820EDAC}">
                        <c15:fullRef>
                          <c15:sqref/>
                        </c15:fullRef>
                        <c15:formulaRef>
                          <c15:sqref>应用!$B$1:$M$1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应用!$B$8:$M$8</c15:sqref>
                        </c15:formulaRef>
                      </c:ext>
                    </c:extLst>
                    <c:numCache>
                      <c:formatCode>General</c:formatCode>
                      <c:ptCount val="12"/>
                    </c:numCache>
                  </c:numRef>
                </c:val>
              </c15:ser>
            </c15:filteredBarSeries>
            <c15:filteredBarSeries>
              <c15:ser>
                <c:idx val="7"/>
                <c:order val="7"/>
                <c:tx>
                  <c:strRef>
                    <c:extLst>
                      <c:ext uri="{02D57815-91ED-43cb-92C2-25804820EDAC}">
                        <c15:formulaRef>
                          <c15:sqref>应用!$A$9</c15:sqref>
                        </c15:formulaRef>
                      </c:ext>
                    </c:extLst>
                    <c:strCache>
                      <c:ptCount val="1"/>
                      <c:pt idx="0">
                        <c:v/>
                      </c:pt>
                    </c:strCache>
                  </c:strRef>
                </c:tx>
                <c:spPr>
                  <a:solidFill>
                    <a:schemeClr val="bg2">
                      <a:lumMod val="50000"/>
                    </a:schemeClr>
                  </a:solidFill>
                  <a:ln>
                    <a:noFill/>
                  </a:ln>
                  <a:effectLst/>
                </c:spPr>
                <c:invertIfNegative val="0"/>
                <c:dLbls>
                  <c:delete val="1"/>
                </c:dLbls>
                <c:cat>
                  <c:numRef>
                    <c:extLst>
                      <c:ext uri="{02D57815-91ED-43cb-92C2-25804820EDAC}">
                        <c15:fullRef>
                          <c15:sqref/>
                        </c15:fullRef>
                        <c15:formulaRef>
                          <c15:sqref>应用!$B$1:$M$1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应用!$B$9:$M$9</c15:sqref>
                        </c15:formulaRef>
                      </c:ext>
                    </c:extLst>
                    <c:numCache>
                      <c:formatCode>General</c:formatCode>
                      <c:ptCount val="12"/>
                    </c:numCache>
                  </c:numRef>
                </c:val>
              </c15:ser>
            </c15:filteredBarSeries>
            <c15:filteredBarSeries>
              <c15:ser>
                <c:idx val="8"/>
                <c:order val="8"/>
                <c:tx>
                  <c:strRef>
                    <c:extLst>
                      <c:ext uri="{02D57815-91ED-43cb-92C2-25804820EDAC}">
                        <c15:formulaRef>
                          <c15:sqref>应用!$A$10</c15:sqref>
                        </c15:formulaRef>
                      </c:ext>
                    </c:extLst>
                    <c:strCache>
                      <c:ptCount val="1"/>
                      <c:pt idx="0">
                        <c:v/>
                      </c:pt>
                    </c:strCache>
                  </c:strRef>
                </c:tx>
                <c:spPr>
                  <a:solidFill>
                    <a:schemeClr val="accent5">
                      <a:lumMod val="60000"/>
                      <a:lumOff val="40000"/>
                    </a:schemeClr>
                  </a:solidFill>
                  <a:ln>
                    <a:noFill/>
                  </a:ln>
                  <a:effectLst/>
                </c:spPr>
                <c:invertIfNegative val="0"/>
                <c:dLbls>
                  <c:delete val="1"/>
                </c:dLbls>
                <c:cat>
                  <c:numRef>
                    <c:extLst>
                      <c:ext uri="{02D57815-91ED-43cb-92C2-25804820EDAC}">
                        <c15:fullRef>
                          <c15:sqref/>
                        </c15:fullRef>
                        <c15:formulaRef>
                          <c15:sqref>应用!$B$1:$M$1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应用!$B$10:$M$10</c15:sqref>
                        </c15:formulaRef>
                      </c:ext>
                    </c:extLst>
                    <c:numCache>
                      <c:formatCode>General</c:formatCode>
                      <c:ptCount val="12"/>
                    </c:numCache>
                  </c:numRef>
                </c:val>
              </c15:ser>
            </c15:filteredBarSeries>
          </c:ext>
        </c:extLst>
      </c:barChart>
      <c:lineChart>
        <c:grouping val="stacked"/>
        <c:varyColors val="0"/>
        <c:ser>
          <c:idx val="9"/>
          <c:order val="9"/>
          <c:tx>
            <c:strRef>
              <c:f>应用!$A$11</c:f>
              <c:strCache>
                <c:ptCount val="1"/>
                <c:pt idx="0">
                  <c:v>总计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应用!$B$11:$M$11</c:f>
              <c:numCache>
                <c:formatCode>#,##0_);[Red]\(#,##0\)</c:formatCode>
                <c:ptCount val="12"/>
                <c:pt idx="0">
                  <c:v>196.56</c:v>
                </c:pt>
                <c:pt idx="1">
                  <c:v>209.98</c:v>
                </c:pt>
                <c:pt idx="2">
                  <c:v>226.54</c:v>
                </c:pt>
                <c:pt idx="3">
                  <c:v>208.15</c:v>
                </c:pt>
                <c:pt idx="4">
                  <c:v>228.78</c:v>
                </c:pt>
                <c:pt idx="5">
                  <c:v>249.18</c:v>
                </c:pt>
                <c:pt idx="6">
                  <c:v>266.85</c:v>
                </c:pt>
                <c:pt idx="7">
                  <c:v>288.57</c:v>
                </c:pt>
                <c:pt idx="8">
                  <c:v>296.61</c:v>
                </c:pt>
                <c:pt idx="9">
                  <c:v>316.18</c:v>
                </c:pt>
                <c:pt idx="10">
                  <c:v>339.72</c:v>
                </c:pt>
                <c:pt idx="11">
                  <c:v>367.63</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'地区-生产'!$A$2</c:f>
              <c:strCache>
                <c:ptCount val="1"/>
                <c:pt idx="0">
                  <c:v>北美</c:v>
                </c:pt>
              </c:strCache>
            </c:strRef>
          </c:tx>
          <c:spPr>
            <a:solidFill>
              <a:srgbClr val="00206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'地区-生产'!$B$2:$M$2</c:f>
              <c:numCache>
                <c:formatCode>#,##0.00</c:formatCode>
                <c:ptCount val="12"/>
                <c:pt idx="0">
                  <c:v>67.59</c:v>
                </c:pt>
                <c:pt idx="1">
                  <c:v>67.28</c:v>
                </c:pt>
                <c:pt idx="2">
                  <c:v>71.07</c:v>
                </c:pt>
                <c:pt idx="3">
                  <c:v>69.59</c:v>
                </c:pt>
                <c:pt idx="4">
                  <c:v>78.1</c:v>
                </c:pt>
                <c:pt idx="5">
                  <c:v>83.89</c:v>
                </c:pt>
                <c:pt idx="6">
                  <c:v>83.68</c:v>
                </c:pt>
                <c:pt idx="7">
                  <c:v>90.68</c:v>
                </c:pt>
                <c:pt idx="8">
                  <c:v>91.72</c:v>
                </c:pt>
                <c:pt idx="9">
                  <c:v>98.45</c:v>
                </c:pt>
                <c:pt idx="10">
                  <c:v>105.91</c:v>
                </c:pt>
                <c:pt idx="11">
                  <c:v>112.84</c:v>
                </c:pt>
              </c:numCache>
            </c:numRef>
          </c:val>
        </c:ser>
        <c:ser>
          <c:idx val="1"/>
          <c:order val="1"/>
          <c:tx>
            <c:strRef>
              <c:f>'地区-生产'!$A$3</c:f>
              <c:strCache>
                <c:ptCount val="1"/>
                <c:pt idx="0">
                  <c:v>欧洲</c:v>
                </c:pt>
              </c:strCache>
            </c:strRef>
          </c:tx>
          <c:spPr>
            <a:solidFill>
              <a:schemeClr val="bg1">
                <a:lumMod val="5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'地区-生产'!$B$3:$M$3</c:f>
              <c:numCache>
                <c:formatCode>#,##0_);[Red]\(#,##0\)</c:formatCode>
                <c:ptCount val="12"/>
                <c:pt idx="0">
                  <c:v>47.38</c:v>
                </c:pt>
                <c:pt idx="1">
                  <c:v>51.62</c:v>
                </c:pt>
                <c:pt idx="2">
                  <c:v>56.83</c:v>
                </c:pt>
                <c:pt idx="3">
                  <c:v>50.45</c:v>
                </c:pt>
                <c:pt idx="4">
                  <c:v>53.7</c:v>
                </c:pt>
                <c:pt idx="5">
                  <c:v>56.47</c:v>
                </c:pt>
                <c:pt idx="6">
                  <c:v>60.24</c:v>
                </c:pt>
                <c:pt idx="7">
                  <c:v>64.15</c:v>
                </c:pt>
                <c:pt idx="8">
                  <c:v>66.54</c:v>
                </c:pt>
                <c:pt idx="9">
                  <c:v>69.73</c:v>
                </c:pt>
                <c:pt idx="10">
                  <c:v>74.33</c:v>
                </c:pt>
                <c:pt idx="11">
                  <c:v>80.56</c:v>
                </c:pt>
              </c:numCache>
            </c:numRef>
          </c:val>
        </c:ser>
        <c:ser>
          <c:idx val="2"/>
          <c:order val="2"/>
          <c:tx>
            <c:strRef>
              <c:f>'地区-生产'!$A$4</c:f>
              <c:strCache>
                <c:ptCount val="1"/>
                <c:pt idx="0">
                  <c:v>中国</c:v>
                </c:pt>
              </c:strCache>
            </c:strRef>
          </c:tx>
          <c:spPr>
            <a:solidFill>
              <a:srgbClr val="0070C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'地区-生产'!$B$4:$M$4</c:f>
              <c:numCache>
                <c:formatCode>#,##0_);[Red]\(#,##0\)</c:formatCode>
                <c:ptCount val="12"/>
                <c:pt idx="0">
                  <c:v>74.98</c:v>
                </c:pt>
                <c:pt idx="1">
                  <c:v>84.14</c:v>
                </c:pt>
                <c:pt idx="2">
                  <c:v>91.21</c:v>
                </c:pt>
                <c:pt idx="3">
                  <c:v>81.35</c:v>
                </c:pt>
                <c:pt idx="4">
                  <c:v>89.88</c:v>
                </c:pt>
                <c:pt idx="5">
                  <c:v>101.18</c:v>
                </c:pt>
                <c:pt idx="6">
                  <c:v>114.83</c:v>
                </c:pt>
                <c:pt idx="7">
                  <c:v>125.19</c:v>
                </c:pt>
                <c:pt idx="8">
                  <c:v>129.72</c:v>
                </c:pt>
                <c:pt idx="9">
                  <c:v>138.85</c:v>
                </c:pt>
                <c:pt idx="10">
                  <c:v>149.71</c:v>
                </c:pt>
                <c:pt idx="11">
                  <c:v>163.54</c:v>
                </c:pt>
              </c:numCache>
            </c:numRef>
          </c:val>
        </c:ser>
        <c:ser>
          <c:idx val="3"/>
          <c:order val="3"/>
          <c:tx>
            <c:strRef>
              <c:f>'地区-生产'!$A$5</c:f>
              <c:strCache>
                <c:ptCount val="1"/>
                <c:pt idx="0">
                  <c:v>其他</c:v>
                </c:pt>
              </c:strCache>
            </c:strRef>
          </c:tx>
          <c:spPr>
            <a:solidFill>
              <a:srgbClr val="FFC00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'地区-生产'!$B$5:$M$5</c:f>
              <c:numCache>
                <c:formatCode>#,##0_);[Red]\(#,##0\)</c:formatCode>
                <c:ptCount val="12"/>
                <c:pt idx="0">
                  <c:v>5</c:v>
                </c:pt>
                <c:pt idx="1">
                  <c:v>7</c:v>
                </c:pt>
                <c:pt idx="2">
                  <c:v>3</c:v>
                </c:pt>
                <c:pt idx="3">
                  <c:v>8</c:v>
                </c:pt>
                <c:pt idx="4">
                  <c:v>5</c:v>
                </c:pt>
                <c:pt idx="5">
                  <c:v>4</c:v>
                </c:pt>
                <c:pt idx="6">
                  <c:v>3</c:v>
                </c:pt>
                <c:pt idx="7">
                  <c:v>3</c:v>
                </c:pt>
                <c:pt idx="8">
                  <c:v>6</c:v>
                </c:pt>
                <c:pt idx="9">
                  <c:v>8</c:v>
                </c:pt>
                <c:pt idx="10">
                  <c:v>4</c:v>
                </c:pt>
                <c:pt idx="11">
                  <c:v>7</c:v>
                </c:pt>
              </c:numCache>
            </c:numRef>
          </c:val>
        </c:ser>
        <c:dLbls>
          <c:showLegendKey val="0"/>
          <c:showVal val="0"/>
          <c:showCatName val="0"/>
          <c:showSerName val="0"/>
          <c:showPercent val="0"/>
          <c:showBubbleSize val="0"/>
        </c:dLbls>
        <c:gapWidth val="45"/>
        <c:overlap val="100"/>
        <c:axId val="1897692240"/>
        <c:axId val="1897707216"/>
        <c:extLst>
          <c:ext xmlns:c15="http://schemas.microsoft.com/office/drawing/2012/chart" uri="{02D57815-91ED-43cb-92C2-25804820EDAC}">
            <c15:filteredBarSeries>
              <c15:ser>
                <c:idx val="4"/>
                <c:order val="4"/>
                <c:tx>
                  <c:strRef>
                    <c:extLst>
                      <c:ext uri="{02D57815-91ED-43cb-92C2-25804820EDAC}">
                        <c15:formulaRef>
                          <c15:sqref>'地区-生产'!$A$6</c15:sqref>
                        </c15:formulaRef>
                      </c:ext>
                    </c:extLst>
                    <c:strCache>
                      <c:ptCount val="1"/>
                      <c:pt idx="0">
                        <c:v/>
                      </c:pt>
                    </c:strCache>
                  </c:strRef>
                </c:tx>
                <c:spPr>
                  <a:solidFill>
                    <a:schemeClr val="tx1">
                      <a:lumMod val="65000"/>
                      <a:lumOff val="35000"/>
                    </a:schemeClr>
                  </a:solidFill>
                  <a:ln>
                    <a:noFill/>
                  </a:ln>
                  <a:effectLst/>
                </c:spPr>
                <c:invertIfNegative val="0"/>
                <c:dLbls>
                  <c:delete val="1"/>
                </c:dLbls>
                <c:cat>
                  <c:numRef>
                    <c:extLst>
                      <c:ext uri="{02D57815-91ED-43cb-92C2-25804820EDAC}">
                        <c15:fullRef>
                          <c15:sqref/>
                        </c15:fullRef>
                        <c15:formulaRef>
                          <c15:sqref>'地区-生产'!$B$1:$M$1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'地区-生产'!$B$6:$M$6</c15:sqref>
                        </c15:formulaRef>
                      </c:ext>
                    </c:extLst>
                    <c:numCache>
                      <c:formatCode>General</c:formatCode>
                      <c:ptCount val="12"/>
                    </c:numCache>
                  </c:numRef>
                </c:val>
              </c15:ser>
            </c15:filteredBarSeries>
            <c15:filteredBarSeries>
              <c15:ser>
                <c:idx val="5"/>
                <c:order val="5"/>
                <c:tx>
                  <c:strRef>
                    <c:extLst>
                      <c:ext uri="{02D57815-91ED-43cb-92C2-25804820EDAC}">
                        <c15:formulaRef>
                          <c15:sqref>'地区-生产'!$A$7</c15:sqref>
                        </c15:formulaRef>
                      </c:ext>
                    </c:extLst>
                    <c:strCache>
                      <c:ptCount val="1"/>
                      <c:pt idx="0">
                        <c:v/>
                      </c:pt>
                    </c:strCache>
                  </c:strRef>
                </c:tx>
                <c:spPr>
                  <a:solidFill>
                    <a:srgbClr val="C00000"/>
                  </a:solidFill>
                  <a:ln>
                    <a:noFill/>
                  </a:ln>
                  <a:effectLst/>
                </c:spPr>
                <c:invertIfNegative val="0"/>
                <c:dLbls>
                  <c:delete val="1"/>
                </c:dLbls>
                <c:cat>
                  <c:numRef>
                    <c:extLst>
                      <c:ext uri="{02D57815-91ED-43cb-92C2-25804820EDAC}">
                        <c15:fullRef>
                          <c15:sqref/>
                        </c15:fullRef>
                        <c15:formulaRef>
                          <c15:sqref>'地区-生产'!$B$1:$M$1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'地区-生产'!$B$7:$M$7</c15:sqref>
                        </c15:formulaRef>
                      </c:ext>
                    </c:extLst>
                    <c:numCache>
                      <c:formatCode>General</c:formatCode>
                      <c:ptCount val="12"/>
                    </c:numCache>
                  </c:numRef>
                </c:val>
              </c15:ser>
            </c15:filteredBarSeries>
            <c15:filteredBarSeries>
              <c15:ser>
                <c:idx val="6"/>
                <c:order val="6"/>
                <c:tx>
                  <c:strRef>
                    <c:extLst>
                      <c:ext uri="{02D57815-91ED-43cb-92C2-25804820EDAC}">
                        <c15:formulaRef>
                          <c15:sqref>'地区-生产'!$A$8</c15:sqref>
                        </c15:formulaRef>
                      </c:ext>
                    </c:extLst>
                    <c:strCache>
                      <c:ptCount val="1"/>
                      <c:pt idx="0">
                        <c:v/>
                      </c:pt>
                    </c:strCache>
                  </c:strRef>
                </c:tx>
                <c:spPr>
                  <a:solidFill>
                    <a:srgbClr val="7030A0"/>
                  </a:solidFill>
                  <a:ln>
                    <a:noFill/>
                  </a:ln>
                  <a:effectLst/>
                </c:spPr>
                <c:invertIfNegative val="0"/>
                <c:dLbls>
                  <c:delete val="1"/>
                </c:dLbls>
                <c:cat>
                  <c:numRef>
                    <c:extLst>
                      <c:ext uri="{02D57815-91ED-43cb-92C2-25804820EDAC}">
                        <c15:fullRef>
                          <c15:sqref/>
                        </c15:fullRef>
                        <c15:formulaRef>
                          <c15:sqref>'地区-生产'!$B$1:$M$1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'地区-生产'!$B$8:$M$8</c15:sqref>
                        </c15:formulaRef>
                      </c:ext>
                    </c:extLst>
                    <c:numCache>
                      <c:formatCode>General</c:formatCode>
                      <c:ptCount val="12"/>
                    </c:numCache>
                  </c:numRef>
                </c:val>
              </c15:ser>
            </c15:filteredBarSeries>
            <c15:filteredBarSeries>
              <c15:ser>
                <c:idx val="7"/>
                <c:order val="7"/>
                <c:tx>
                  <c:strRef>
                    <c:extLst>
                      <c:ext uri="{02D57815-91ED-43cb-92C2-25804820EDAC}">
                        <c15:formulaRef>
                          <c15:sqref>'地区-生产'!$A$9</c15:sqref>
                        </c15:formulaRef>
                      </c:ext>
                    </c:extLst>
                    <c:strCache>
                      <c:ptCount val="1"/>
                      <c:pt idx="0">
                        <c:v/>
                      </c:pt>
                    </c:strCache>
                  </c:strRef>
                </c:tx>
                <c:spPr>
                  <a:solidFill>
                    <a:schemeClr val="tx2">
                      <a:lumMod val="60000"/>
                      <a:lumOff val="40000"/>
                    </a:schemeClr>
                  </a:solidFill>
                  <a:ln>
                    <a:noFill/>
                  </a:ln>
                  <a:effectLst/>
                </c:spPr>
                <c:invertIfNegative val="0"/>
                <c:dLbls>
                  <c:delete val="1"/>
                </c:dLbls>
                <c:cat>
                  <c:numRef>
                    <c:extLst>
                      <c:ext uri="{02D57815-91ED-43cb-92C2-25804820EDAC}">
                        <c15:fullRef>
                          <c15:sqref/>
                        </c15:fullRef>
                        <c15:formulaRef>
                          <c15:sqref>'地区-生产'!$B$1:$M$1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'地区-生产'!$B$9:$M$9</c15:sqref>
                        </c15:formulaRef>
                      </c:ext>
                    </c:extLst>
                    <c:numCache>
                      <c:formatCode>General</c:formatCode>
                      <c:ptCount val="12"/>
                    </c:numCache>
                  </c:numRef>
                </c:val>
              </c15:ser>
            </c15:filteredBarSeries>
            <c15:filteredBarSeries>
              <c15:ser>
                <c:idx val="8"/>
                <c:order val="8"/>
                <c:tx>
                  <c:strRef>
                    <c:extLst>
                      <c:ext uri="{02D57815-91ED-43cb-92C2-25804820EDAC}">
                        <c15:formulaRef>
                          <c15:sqref>'地区-生产'!$A$10</c15:sqref>
                        </c15:formulaRef>
                      </c:ext>
                    </c:extLst>
                    <c:strCache>
                      <c:ptCount val="1"/>
                      <c:pt idx="0">
                        <c:v/>
                      </c:pt>
                    </c:strCache>
                  </c:strRef>
                </c:tx>
                <c:spPr>
                  <a:solidFill>
                    <a:schemeClr val="accent6">
                      <a:lumMod val="75000"/>
                    </a:schemeClr>
                  </a:solidFill>
                  <a:ln>
                    <a:noFill/>
                  </a:ln>
                  <a:effectLst/>
                </c:spPr>
                <c:invertIfNegative val="0"/>
                <c:dLbls>
                  <c:delete val="1"/>
                </c:dLbls>
                <c:cat>
                  <c:numRef>
                    <c:extLst>
                      <c:ext uri="{02D57815-91ED-43cb-92C2-25804820EDAC}">
                        <c15:fullRef>
                          <c15:sqref/>
                        </c15:fullRef>
                        <c15:formulaRef>
                          <c15:sqref>'地区-生产'!$B$1:$M$1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'地区-生产'!$B$10:$M$10</c15:sqref>
                        </c15:formulaRef>
                      </c:ext>
                    </c:extLst>
                    <c:numCache>
                      <c:formatCode>General</c:formatCode>
                      <c:ptCount val="12"/>
                    </c:numCache>
                  </c:numRef>
                </c:val>
              </c15:ser>
            </c15:filteredBarSeries>
          </c:ext>
        </c:extLst>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200">
                <a:latin typeface="Book Antiqua" panose="02040602050305030304" pitchFamily="1" charset="0"/>
              </a:rPr>
              <a:t>地区市场规模</a:t>
            </a:r>
            <a:r>
              <a:rPr lang="en-US" altLang="zh-CN" sz="1200">
                <a:latin typeface="Book Antiqua" panose="02040602050305030304" pitchFamily="1" charset="0"/>
              </a:rPr>
              <a:t>,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'地区-生产'!$AE$1</c:f>
              <c:strCache>
                <c:ptCount val="1"/>
                <c:pt idx="0">
                  <c:v>2018</c:v>
                </c:pt>
              </c:strCache>
            </c:strRef>
          </c:tx>
          <c:spPr>
            <a:solidFill>
              <a:srgbClr val="FFC000"/>
            </a:solidFill>
            <a:ln>
              <a:noFill/>
            </a:ln>
            <a:effectLst/>
          </c:spPr>
          <c:invertIfNegative val="0"/>
          <c:dLbls>
            <c:delete val="1"/>
          </c:dLbls>
          <c:cat>
            <c:strRef>
              <c:extLst>
                <c:ext xmlns:c15="http://schemas.microsoft.com/office/drawing/2012/chart" uri="{02D57815-91ED-43cb-92C2-25804820EDAC}">
                  <c15:fullRef>
                    <c15:sqref>'地区-生产'!$AD$2:$AD$10</c15:sqref>
                  </c15:fullRef>
                </c:ext>
              </c:extLst>
              <c:f>'地区-生产'!$AD$2:$AD$5</c:f>
              <c:strCache>
                <c:ptCount val="4"/>
                <c:pt idx="0">
                  <c:v>北美</c:v>
                </c:pt>
                <c:pt idx="1">
                  <c:v>欧洲</c:v>
                </c:pt>
                <c:pt idx="2">
                  <c:v>中国</c:v>
                </c:pt>
                <c:pt idx="3">
                  <c:v>其他</c:v>
                </c:pt>
              </c:strCache>
            </c:strRef>
          </c:cat>
          <c:val>
            <c:numRef>
              <c:extLst>
                <c:ext xmlns:c15="http://schemas.microsoft.com/office/drawing/2012/chart" uri="{02D57815-91ED-43cb-92C2-25804820EDAC}">
                  <c15:fullRef>
                    <c15:sqref>'地区-生产'!$AE$2:$AE$10</c15:sqref>
                  </c15:fullRef>
                </c:ext>
              </c:extLst>
              <c:f>'地区-生产'!$AE$2:$AE$5</c:f>
              <c:numCache>
                <c:formatCode>#,##0_);[Red]\(#,##0\)</c:formatCode>
                <c:ptCount val="4"/>
                <c:pt idx="0">
                  <c:v>67.59</c:v>
                </c:pt>
                <c:pt idx="1">
                  <c:v>47.38</c:v>
                </c:pt>
                <c:pt idx="2">
                  <c:v>74.98</c:v>
                </c:pt>
                <c:pt idx="3">
                  <c:v>5</c:v>
                </c:pt>
              </c:numCache>
            </c:numRef>
          </c:val>
        </c:ser>
        <c:ser>
          <c:idx val="1"/>
          <c:order val="1"/>
          <c:tx>
            <c:strRef>
              <c:f>'地区-生产'!$AF$1</c:f>
              <c:strCache>
                <c:ptCount val="1"/>
                <c:pt idx="0">
                  <c:v>2022</c:v>
                </c:pt>
              </c:strCache>
            </c:strRef>
          </c:tx>
          <c:spPr>
            <a:solidFill>
              <a:schemeClr val="bg1">
                <a:lumMod val="50000"/>
              </a:schemeClr>
            </a:solidFill>
            <a:ln>
              <a:noFill/>
            </a:ln>
            <a:effectLst/>
          </c:spPr>
          <c:invertIfNegative val="0"/>
          <c:dLbls>
            <c:delete val="1"/>
          </c:dLbls>
          <c:cat>
            <c:strRef>
              <c:extLst>
                <c:ext xmlns:c15="http://schemas.microsoft.com/office/drawing/2012/chart" uri="{02D57815-91ED-43cb-92C2-25804820EDAC}">
                  <c15:fullRef>
                    <c15:sqref>'地区-生产'!$AD$2:$AD$10</c15:sqref>
                  </c15:fullRef>
                </c:ext>
              </c:extLst>
              <c:f>'地区-生产'!$AD$2:$AD$5</c:f>
              <c:strCache>
                <c:ptCount val="4"/>
                <c:pt idx="0">
                  <c:v>北美</c:v>
                </c:pt>
                <c:pt idx="1">
                  <c:v>欧洲</c:v>
                </c:pt>
                <c:pt idx="2">
                  <c:v>中国</c:v>
                </c:pt>
                <c:pt idx="3">
                  <c:v>其他</c:v>
                </c:pt>
              </c:strCache>
            </c:strRef>
          </c:cat>
          <c:val>
            <c:numRef>
              <c:extLst>
                <c:ext xmlns:c15="http://schemas.microsoft.com/office/drawing/2012/chart" uri="{02D57815-91ED-43cb-92C2-25804820EDAC}">
                  <c15:fullRef>
                    <c15:sqref>'地区-生产'!$AF$2:$AF$10</c15:sqref>
                  </c15:fullRef>
                </c:ext>
              </c:extLst>
              <c:f>'地区-生产'!$AF$2:$AF$5</c:f>
              <c:numCache>
                <c:formatCode>#,##0_);[Red]\(#,##0\)</c:formatCode>
                <c:ptCount val="4"/>
                <c:pt idx="0">
                  <c:v>78.1</c:v>
                </c:pt>
                <c:pt idx="1">
                  <c:v>53.7</c:v>
                </c:pt>
                <c:pt idx="2">
                  <c:v>89.88</c:v>
                </c:pt>
                <c:pt idx="3">
                  <c:v>5</c:v>
                </c:pt>
              </c:numCache>
            </c:numRef>
          </c:val>
        </c:ser>
        <c:ser>
          <c:idx val="2"/>
          <c:order val="2"/>
          <c:tx>
            <c:strRef>
              <c:f>'地区-生产'!$AG$1</c:f>
              <c:strCache>
                <c:ptCount val="1"/>
                <c:pt idx="0">
                  <c:v>2029</c:v>
                </c:pt>
              </c:strCache>
            </c:strRef>
          </c:tx>
          <c:spPr>
            <a:solidFill>
              <a:srgbClr val="002060"/>
            </a:solidFill>
            <a:ln>
              <a:noFill/>
            </a:ln>
            <a:effectLst/>
          </c:spPr>
          <c:invertIfNegative val="0"/>
          <c:dLbls>
            <c:delete val="1"/>
          </c:dLbls>
          <c:cat>
            <c:strRef>
              <c:extLst>
                <c:ext xmlns:c15="http://schemas.microsoft.com/office/drawing/2012/chart" uri="{02D57815-91ED-43cb-92C2-25804820EDAC}">
                  <c15:fullRef>
                    <c15:sqref>'地区-生产'!$AD$2:$AD$10</c15:sqref>
                  </c15:fullRef>
                </c:ext>
              </c:extLst>
              <c:f>'地区-生产'!$AD$2:$AD$5</c:f>
              <c:strCache>
                <c:ptCount val="4"/>
                <c:pt idx="0">
                  <c:v>北美</c:v>
                </c:pt>
                <c:pt idx="1">
                  <c:v>欧洲</c:v>
                </c:pt>
                <c:pt idx="2">
                  <c:v>中国</c:v>
                </c:pt>
                <c:pt idx="3">
                  <c:v>其他</c:v>
                </c:pt>
              </c:strCache>
            </c:strRef>
          </c:cat>
          <c:val>
            <c:numRef>
              <c:extLst>
                <c:ext xmlns:c15="http://schemas.microsoft.com/office/drawing/2012/chart" uri="{02D57815-91ED-43cb-92C2-25804820EDAC}">
                  <c15:fullRef>
                    <c15:sqref>'地区-生产'!$AG$2:$AG$10</c15:sqref>
                  </c15:fullRef>
                </c:ext>
              </c:extLst>
              <c:f>'地区-生产'!$AG$2:$AG$5</c:f>
              <c:numCache>
                <c:formatCode>#,##0_);[Red]\(#,##0\)</c:formatCode>
                <c:ptCount val="4"/>
                <c:pt idx="0">
                  <c:v>112.84</c:v>
                </c:pt>
                <c:pt idx="1">
                  <c:v>80.56</c:v>
                </c:pt>
                <c:pt idx="2">
                  <c:v>163.54</c:v>
                </c:pt>
                <c:pt idx="3">
                  <c:v>7</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北美</c:v>
                </c:pt>
              </c:strCache>
            </c:strRef>
          </c:tx>
          <c:spPr>
            <a:solidFill>
              <a:srgbClr val="00206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'地区-消费'!$B$2:$M$2</c:f>
              <c:numCache>
                <c:formatCode>#,##0_);[Red]\(#,##0\)</c:formatCode>
                <c:ptCount val="12"/>
                <c:pt idx="0">
                  <c:v>67.59</c:v>
                </c:pt>
                <c:pt idx="1">
                  <c:v>67.28</c:v>
                </c:pt>
                <c:pt idx="2">
                  <c:v>71.07</c:v>
                </c:pt>
                <c:pt idx="3">
                  <c:v>69.59</c:v>
                </c:pt>
                <c:pt idx="4">
                  <c:v>78.1</c:v>
                </c:pt>
                <c:pt idx="5">
                  <c:v>83.89</c:v>
                </c:pt>
                <c:pt idx="6">
                  <c:v>83.68</c:v>
                </c:pt>
                <c:pt idx="7">
                  <c:v>90.68</c:v>
                </c:pt>
                <c:pt idx="8">
                  <c:v>91.72</c:v>
                </c:pt>
                <c:pt idx="9">
                  <c:v>98.45</c:v>
                </c:pt>
                <c:pt idx="10">
                  <c:v>105.91</c:v>
                </c:pt>
                <c:pt idx="11">
                  <c:v>112.84</c:v>
                </c:pt>
              </c:numCache>
            </c:numRef>
          </c:val>
        </c:ser>
        <c:ser>
          <c:idx val="1"/>
          <c:order val="1"/>
          <c:tx>
            <c:strRef>
              <c:f>'地区-消费'!$A$3</c:f>
              <c:strCache>
                <c:ptCount val="1"/>
                <c:pt idx="0">
                  <c:v>欧洲</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'地区-消费'!$B$3:$M$3</c:f>
              <c:numCache>
                <c:formatCode>#,##0_);[Red]\(#,##0\)</c:formatCode>
                <c:ptCount val="12"/>
                <c:pt idx="0">
                  <c:v>47.38</c:v>
                </c:pt>
                <c:pt idx="1">
                  <c:v>51.62</c:v>
                </c:pt>
                <c:pt idx="2">
                  <c:v>56.83</c:v>
                </c:pt>
                <c:pt idx="3">
                  <c:v>50.45</c:v>
                </c:pt>
                <c:pt idx="4">
                  <c:v>53.7</c:v>
                </c:pt>
                <c:pt idx="5">
                  <c:v>56.47</c:v>
                </c:pt>
                <c:pt idx="6">
                  <c:v>60.24</c:v>
                </c:pt>
                <c:pt idx="7">
                  <c:v>64.15</c:v>
                </c:pt>
                <c:pt idx="8">
                  <c:v>66.54</c:v>
                </c:pt>
                <c:pt idx="9">
                  <c:v>69.73</c:v>
                </c:pt>
                <c:pt idx="10">
                  <c:v>74.33</c:v>
                </c:pt>
                <c:pt idx="11">
                  <c:v>80.56</c:v>
                </c:pt>
              </c:numCache>
            </c:numRef>
          </c:val>
        </c:ser>
        <c:ser>
          <c:idx val="2"/>
          <c:order val="2"/>
          <c:tx>
            <c:strRef>
              <c:f>'地区-消费'!$A$4</c:f>
              <c:strCache>
                <c:ptCount val="1"/>
                <c:pt idx="0">
                  <c:v>亚太</c:v>
                </c:pt>
              </c:strCache>
            </c:strRef>
          </c:tx>
          <c:spPr>
            <a:solidFill>
              <a:srgbClr val="0070C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'地区-消费'!$B$4:$M$4</c:f>
              <c:numCache>
                <c:formatCode>#,##0_);[Red]\(#,##0\)</c:formatCode>
                <c:ptCount val="12"/>
                <c:pt idx="0">
                  <c:v>74.98</c:v>
                </c:pt>
                <c:pt idx="1">
                  <c:v>84.14</c:v>
                </c:pt>
                <c:pt idx="2">
                  <c:v>91.21</c:v>
                </c:pt>
                <c:pt idx="3">
                  <c:v>81.35</c:v>
                </c:pt>
                <c:pt idx="4">
                  <c:v>89.88</c:v>
                </c:pt>
                <c:pt idx="5">
                  <c:v>101.18</c:v>
                </c:pt>
                <c:pt idx="6">
                  <c:v>114.83</c:v>
                </c:pt>
                <c:pt idx="7">
                  <c:v>125.19</c:v>
                </c:pt>
                <c:pt idx="8">
                  <c:v>129.72</c:v>
                </c:pt>
                <c:pt idx="9">
                  <c:v>138.85</c:v>
                </c:pt>
                <c:pt idx="10">
                  <c:v>149.71</c:v>
                </c:pt>
                <c:pt idx="11">
                  <c:v>163.54</c:v>
                </c:pt>
              </c:numCache>
            </c:numRef>
          </c:val>
        </c:ser>
        <c:ser>
          <c:idx val="3"/>
          <c:order val="3"/>
          <c:tx>
            <c:strRef>
              <c:f>'地区-消费'!$A$5</c:f>
              <c:strCache>
                <c:ptCount val="1"/>
                <c:pt idx="0">
                  <c:v>拉美</c:v>
                </c:pt>
              </c:strCache>
            </c:strRef>
          </c:tx>
          <c:spPr>
            <a:solidFill>
              <a:srgbClr val="FFC00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'地区-消费'!$B$5:$M$5</c:f>
              <c:numCache>
                <c:formatCode>#,##0_);[Red]\(#,##0\)</c:formatCode>
                <c:ptCount val="12"/>
                <c:pt idx="0">
                  <c:v>4.81</c:v>
                </c:pt>
                <c:pt idx="1">
                  <c:v>5.1</c:v>
                </c:pt>
                <c:pt idx="2">
                  <c:v>5.46</c:v>
                </c:pt>
                <c:pt idx="3">
                  <c:v>4.97</c:v>
                </c:pt>
                <c:pt idx="4">
                  <c:v>5.21</c:v>
                </c:pt>
                <c:pt idx="5">
                  <c:v>5.59</c:v>
                </c:pt>
                <c:pt idx="6">
                  <c:v>5.98</c:v>
                </c:pt>
                <c:pt idx="7">
                  <c:v>6.27</c:v>
                </c:pt>
                <c:pt idx="8">
                  <c:v>6.25</c:v>
                </c:pt>
                <c:pt idx="9">
                  <c:v>6.7</c:v>
                </c:pt>
                <c:pt idx="10">
                  <c:v>7.13</c:v>
                </c:pt>
                <c:pt idx="11">
                  <c:v>7.92</c:v>
                </c:pt>
              </c:numCache>
            </c:numRef>
          </c:val>
        </c:ser>
        <c:ser>
          <c:idx val="4"/>
          <c:order val="4"/>
          <c:tx>
            <c:strRef>
              <c:f>'地区-消费'!$A$6</c:f>
              <c:strCache>
                <c:ptCount val="1"/>
                <c:pt idx="0">
                  <c:v>中东和非洲</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'地区-消费'!$B$6:$M$6</c:f>
              <c:numCache>
                <c:formatCode>#,##0_);[Red]\(#,##0\)</c:formatCode>
                <c:ptCount val="12"/>
                <c:pt idx="0">
                  <c:v>1.8</c:v>
                </c:pt>
                <c:pt idx="1">
                  <c:v>1.84</c:v>
                </c:pt>
                <c:pt idx="2">
                  <c:v>1.97</c:v>
                </c:pt>
                <c:pt idx="3">
                  <c:v>1.79</c:v>
                </c:pt>
                <c:pt idx="4">
                  <c:v>1.89</c:v>
                </c:pt>
                <c:pt idx="5">
                  <c:v>2.05</c:v>
                </c:pt>
                <c:pt idx="6">
                  <c:v>2.12</c:v>
                </c:pt>
                <c:pt idx="7">
                  <c:v>2.28</c:v>
                </c:pt>
                <c:pt idx="8">
                  <c:v>2.38</c:v>
                </c:pt>
                <c:pt idx="9">
                  <c:v>2.45</c:v>
                </c:pt>
                <c:pt idx="10">
                  <c:v>2.64</c:v>
                </c:pt>
                <c:pt idx="11">
                  <c:v>2.77</c:v>
                </c:pt>
              </c:numCache>
            </c:numRef>
          </c:val>
        </c:ser>
        <c:dLbls>
          <c:showLegendKey val="0"/>
          <c:showVal val="0"/>
          <c:showCatName val="0"/>
          <c:showSerName val="0"/>
          <c:showPercent val="0"/>
          <c:showBubbleSize val="0"/>
        </c:dLbls>
        <c:gapWidth val="45"/>
        <c:overlap val="100"/>
        <c:axId val="1897692240"/>
        <c:axId val="1897707216"/>
        <c:extLst>
          <c:ext xmlns:c15="http://schemas.microsoft.com/office/drawing/2012/chart" uri="{02D57815-91ED-43cb-92C2-25804820EDAC}">
            <c15:filteredBarSeries>
              <c15:ser>
                <c:idx val="5"/>
                <c:order val="5"/>
                <c:tx>
                  <c:strRef>
                    <c:extLst>
                      <c:ext uri="{02D57815-91ED-43cb-92C2-25804820EDAC}">
                        <c15:formulaRef>
                          <c15:sqref>'地区-消费'!$A$7</c15:sqref>
                        </c15:formulaRef>
                      </c:ext>
                    </c:extLst>
                    <c:strCache>
                      <c:ptCount val="1"/>
                      <c:pt idx="0">
                        <c:v/>
                      </c:pt>
                    </c:strCache>
                  </c:strRef>
                </c:tx>
                <c:spPr>
                  <a:solidFill>
                    <a:srgbClr val="C00000"/>
                  </a:solidFill>
                  <a:ln>
                    <a:noFill/>
                  </a:ln>
                  <a:effectLst/>
                </c:spPr>
                <c:invertIfNegative val="0"/>
                <c:dLbls>
                  <c:delete val="1"/>
                </c:dLbls>
                <c:cat>
                  <c:numRef>
                    <c:extLst>
                      <c:ext uri="{02D57815-91ED-43cb-92C2-25804820EDAC}">
                        <c15:fullRef>
                          <c15:sqref/>
                        </c15:fullRef>
                        <c15:formulaRef>
                          <c15:sqref>'地区-消费'!$B$1:$M$1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'地区-消费'!$B$7:$M$7</c15:sqref>
                        </c15:formulaRef>
                      </c:ext>
                    </c:extLst>
                    <c:numCache>
                      <c:formatCode>General</c:formatCode>
                      <c:ptCount val="12"/>
                    </c:numCache>
                  </c:numRef>
                </c:val>
              </c15:ser>
            </c15:filteredBarSeries>
            <c15:filteredBarSeries>
              <c15:ser>
                <c:idx val="6"/>
                <c:order val="6"/>
                <c:tx>
                  <c:strRef>
                    <c:extLst>
                      <c:ext uri="{02D57815-91ED-43cb-92C2-25804820EDAC}">
                        <c15:formulaRef>
                          <c15:sqref>'地区-消费'!$A$8</c15:sqref>
                        </c15:formulaRef>
                      </c:ext>
                    </c:extLst>
                    <c:strCache>
                      <c:ptCount val="1"/>
                      <c:pt idx="0">
                        <c:v/>
                      </c:pt>
                    </c:strCache>
                  </c:strRef>
                </c:tx>
                <c:spPr>
                  <a:solidFill>
                    <a:srgbClr val="7030A0"/>
                  </a:solidFill>
                  <a:ln>
                    <a:noFill/>
                  </a:ln>
                  <a:effectLst/>
                </c:spPr>
                <c:invertIfNegative val="0"/>
                <c:dLbls>
                  <c:delete val="1"/>
                </c:dLbls>
                <c:cat>
                  <c:numRef>
                    <c:extLst>
                      <c:ext uri="{02D57815-91ED-43cb-92C2-25804820EDAC}">
                        <c15:fullRef>
                          <c15:sqref/>
                        </c15:fullRef>
                        <c15:formulaRef>
                          <c15:sqref>'地区-消费'!$B$1:$M$1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'地区-消费'!$B$8:$M$8</c15:sqref>
                        </c15:formulaRef>
                      </c:ext>
                    </c:extLst>
                    <c:numCache>
                      <c:formatCode>General</c:formatCode>
                      <c:ptCount val="12"/>
                    </c:numCache>
                  </c:numRef>
                </c:val>
              </c15:ser>
            </c15:filteredBarSeries>
            <c15:filteredBarSeries>
              <c15:ser>
                <c:idx val="7"/>
                <c:order val="7"/>
                <c:tx>
                  <c:strRef>
                    <c:extLst>
                      <c:ext uri="{02D57815-91ED-43cb-92C2-25804820EDAC}">
                        <c15:formulaRef>
                          <c15:sqref>'地区-消费'!$A$9</c15:sqref>
                        </c15:formulaRef>
                      </c:ext>
                    </c:extLst>
                    <c:strCache>
                      <c:ptCount val="1"/>
                      <c:pt idx="0">
                        <c:v/>
                      </c:pt>
                    </c:strCache>
                  </c:strRef>
                </c:tx>
                <c:spPr>
                  <a:solidFill>
                    <a:schemeClr val="tx2">
                      <a:lumMod val="60000"/>
                      <a:lumOff val="40000"/>
                    </a:schemeClr>
                  </a:solidFill>
                  <a:ln>
                    <a:noFill/>
                  </a:ln>
                  <a:effectLst/>
                </c:spPr>
                <c:invertIfNegative val="0"/>
                <c:dLbls>
                  <c:delete val="1"/>
                </c:dLbls>
                <c:cat>
                  <c:numRef>
                    <c:extLst>
                      <c:ext uri="{02D57815-91ED-43cb-92C2-25804820EDAC}">
                        <c15:fullRef>
                          <c15:sqref/>
                        </c15:fullRef>
                        <c15:formulaRef>
                          <c15:sqref>'地区-消费'!$B$1:$M$1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'地区-消费'!$B$9:$M$9</c15:sqref>
                        </c15:formulaRef>
                      </c:ext>
                    </c:extLst>
                    <c:numCache>
                      <c:formatCode>General</c:formatCode>
                      <c:ptCount val="12"/>
                    </c:numCache>
                  </c:numRef>
                </c:val>
              </c15:ser>
            </c15:filteredBarSeries>
            <c15:filteredBarSeries>
              <c15:ser>
                <c:idx val="8"/>
                <c:order val="8"/>
                <c:tx>
                  <c:strRef>
                    <c:extLst>
                      <c:ext uri="{02D57815-91ED-43cb-92C2-25804820EDAC}">
                        <c15:formulaRef>
                          <c15:sqref>'地区-消费'!$A$10</c15:sqref>
                        </c15:formulaRef>
                      </c:ext>
                    </c:extLst>
                    <c:strCache>
                      <c:ptCount val="1"/>
                      <c:pt idx="0">
                        <c:v/>
                      </c:pt>
                    </c:strCache>
                  </c:strRef>
                </c:tx>
                <c:spPr>
                  <a:solidFill>
                    <a:schemeClr val="accent6">
                      <a:lumMod val="75000"/>
                    </a:schemeClr>
                  </a:solidFill>
                  <a:ln>
                    <a:noFill/>
                  </a:ln>
                  <a:effectLst/>
                </c:spPr>
                <c:invertIfNegative val="0"/>
                <c:dLbls>
                  <c:delete val="1"/>
                </c:dLbls>
                <c:cat>
                  <c:numRef>
                    <c:extLst>
                      <c:ext uri="{02D57815-91ED-43cb-92C2-25804820EDAC}">
                        <c15:fullRef>
                          <c15:sqref/>
                        </c15:fullRef>
                        <c15:formulaRef>
                          <c15:sqref>'地区-消费'!$B$1:$M$1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'地区-消费'!$B$10:$M$10</c15:sqref>
                        </c15:formulaRef>
                      </c:ext>
                    </c:extLst>
                    <c:numCache>
                      <c:formatCode>General</c:formatCode>
                      <c:ptCount val="12"/>
                    </c:numCache>
                  </c:numRef>
                </c:val>
              </c15:ser>
            </c15:filteredBarSeries>
          </c:ext>
        </c:extLst>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200">
                <a:latin typeface="Book Antiqua" panose="02040602050305030304" pitchFamily="1" charset="0"/>
              </a:rPr>
              <a:t>地区市场规模</a:t>
            </a:r>
            <a:r>
              <a:rPr lang="en-US" altLang="zh-CN" sz="1200">
                <a:latin typeface="Book Antiqua" panose="02040602050305030304" pitchFamily="1" charset="0"/>
              </a:rPr>
              <a:t>,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2018</c:v>
                </c:pt>
              </c:strCache>
            </c:strRef>
          </c:tx>
          <c:spPr>
            <a:solidFill>
              <a:srgbClr val="FFC000"/>
            </a:solidFill>
            <a:ln>
              <a:noFill/>
            </a:ln>
            <a:effectLst/>
          </c:spPr>
          <c:invertIfNegative val="0"/>
          <c:dLbls>
            <c:delete val="1"/>
          </c:dLbls>
          <c:cat>
            <c:strRef>
              <c:extLst>
                <c:ext xmlns:c15="http://schemas.microsoft.com/office/drawing/2012/chart" uri="{02D57815-91ED-43cb-92C2-25804820EDAC}">
                  <c15:fullRef>
                    <c15:sqref>'地区-消费'!$AD$2:$AD$10</c15:sqref>
                  </c15:fullRef>
                </c:ext>
              </c:extLst>
              <c:f>'地区-消费'!$AD$2:$AD$6</c:f>
              <c:strCache>
                <c:ptCount val="5"/>
                <c:pt idx="0">
                  <c:v>北美</c:v>
                </c:pt>
                <c:pt idx="1">
                  <c:v>欧洲</c:v>
                </c:pt>
                <c:pt idx="2">
                  <c:v>亚太</c:v>
                </c:pt>
                <c:pt idx="3">
                  <c:v>拉美</c:v>
                </c:pt>
                <c:pt idx="4">
                  <c:v>中东和非洲</c:v>
                </c:pt>
              </c:strCache>
            </c:strRef>
          </c:cat>
          <c:val>
            <c:numRef>
              <c:extLst>
                <c:ext xmlns:c15="http://schemas.microsoft.com/office/drawing/2012/chart" uri="{02D57815-91ED-43cb-92C2-25804820EDAC}">
                  <c15:fullRef>
                    <c15:sqref>'地区-消费'!$AE$2:$AE$10</c15:sqref>
                  </c15:fullRef>
                </c:ext>
              </c:extLst>
              <c:f>'地区-消费'!$AE$2:$AE$6</c:f>
              <c:numCache>
                <c:formatCode>#,##0_);[Red]\(#,##0\)</c:formatCode>
                <c:ptCount val="5"/>
                <c:pt idx="0">
                  <c:v>67.59</c:v>
                </c:pt>
                <c:pt idx="1">
                  <c:v>47.38</c:v>
                </c:pt>
                <c:pt idx="2">
                  <c:v>74.98</c:v>
                </c:pt>
                <c:pt idx="3">
                  <c:v>4.81</c:v>
                </c:pt>
                <c:pt idx="4">
                  <c:v>1.8</c:v>
                </c:pt>
              </c:numCache>
            </c:numRef>
          </c:val>
        </c:ser>
        <c:ser>
          <c:idx val="1"/>
          <c:order val="1"/>
          <c:tx>
            <c:strRef>
              <c:f>'地区-消费'!$AF$1</c:f>
              <c:strCache>
                <c:ptCount val="1"/>
                <c:pt idx="0">
                  <c:v>2022</c:v>
                </c:pt>
              </c:strCache>
            </c:strRef>
          </c:tx>
          <c:spPr>
            <a:solidFill>
              <a:schemeClr val="bg1">
                <a:lumMod val="50000"/>
              </a:schemeClr>
            </a:solidFill>
            <a:ln>
              <a:noFill/>
            </a:ln>
            <a:effectLst/>
          </c:spPr>
          <c:invertIfNegative val="0"/>
          <c:dLbls>
            <c:delete val="1"/>
          </c:dLbls>
          <c:cat>
            <c:strRef>
              <c:extLst>
                <c:ext xmlns:c15="http://schemas.microsoft.com/office/drawing/2012/chart" uri="{02D57815-91ED-43cb-92C2-25804820EDAC}">
                  <c15:fullRef>
                    <c15:sqref>'地区-消费'!$AD$2:$AD$10</c15:sqref>
                  </c15:fullRef>
                </c:ext>
              </c:extLst>
              <c:f>'地区-消费'!$AD$2:$AD$6</c:f>
              <c:strCache>
                <c:ptCount val="5"/>
                <c:pt idx="0">
                  <c:v>北美</c:v>
                </c:pt>
                <c:pt idx="1">
                  <c:v>欧洲</c:v>
                </c:pt>
                <c:pt idx="2">
                  <c:v>亚太</c:v>
                </c:pt>
                <c:pt idx="3">
                  <c:v>拉美</c:v>
                </c:pt>
                <c:pt idx="4">
                  <c:v>中东和非洲</c:v>
                </c:pt>
              </c:strCache>
            </c:strRef>
          </c:cat>
          <c:val>
            <c:numRef>
              <c:extLst>
                <c:ext xmlns:c15="http://schemas.microsoft.com/office/drawing/2012/chart" uri="{02D57815-91ED-43cb-92C2-25804820EDAC}">
                  <c15:fullRef>
                    <c15:sqref>'地区-消费'!$AF$2:$AF$10</c15:sqref>
                  </c15:fullRef>
                </c:ext>
              </c:extLst>
              <c:f>'地区-消费'!$AF$2:$AF$6</c:f>
              <c:numCache>
                <c:formatCode>#,##0_);[Red]\(#,##0\)</c:formatCode>
                <c:ptCount val="5"/>
                <c:pt idx="0">
                  <c:v>78.1</c:v>
                </c:pt>
                <c:pt idx="1">
                  <c:v>53.7</c:v>
                </c:pt>
                <c:pt idx="2">
                  <c:v>89.88</c:v>
                </c:pt>
                <c:pt idx="3">
                  <c:v>5.21</c:v>
                </c:pt>
                <c:pt idx="4">
                  <c:v>1.89</c:v>
                </c:pt>
              </c:numCache>
            </c:numRef>
          </c:val>
        </c:ser>
        <c:ser>
          <c:idx val="2"/>
          <c:order val="2"/>
          <c:tx>
            <c:strRef>
              <c:f>'地区-消费'!$AG$1</c:f>
              <c:strCache>
                <c:ptCount val="1"/>
                <c:pt idx="0">
                  <c:v>2029</c:v>
                </c:pt>
              </c:strCache>
            </c:strRef>
          </c:tx>
          <c:spPr>
            <a:solidFill>
              <a:srgbClr val="002060"/>
            </a:solidFill>
            <a:ln>
              <a:noFill/>
            </a:ln>
            <a:effectLst/>
          </c:spPr>
          <c:invertIfNegative val="0"/>
          <c:dLbls>
            <c:delete val="1"/>
          </c:dLbls>
          <c:cat>
            <c:strRef>
              <c:extLst>
                <c:ext xmlns:c15="http://schemas.microsoft.com/office/drawing/2012/chart" uri="{02D57815-91ED-43cb-92C2-25804820EDAC}">
                  <c15:fullRef>
                    <c15:sqref>'地区-消费'!$AD$2:$AD$10</c15:sqref>
                  </c15:fullRef>
                </c:ext>
              </c:extLst>
              <c:f>'地区-消费'!$AD$2:$AD$6</c:f>
              <c:strCache>
                <c:ptCount val="5"/>
                <c:pt idx="0">
                  <c:v>北美</c:v>
                </c:pt>
                <c:pt idx="1">
                  <c:v>欧洲</c:v>
                </c:pt>
                <c:pt idx="2">
                  <c:v>亚太</c:v>
                </c:pt>
                <c:pt idx="3">
                  <c:v>拉美</c:v>
                </c:pt>
                <c:pt idx="4">
                  <c:v>中东和非洲</c:v>
                </c:pt>
              </c:strCache>
            </c:strRef>
          </c:cat>
          <c:val>
            <c:numRef>
              <c:extLst>
                <c:ext xmlns:c15="http://schemas.microsoft.com/office/drawing/2012/chart" uri="{02D57815-91ED-43cb-92C2-25804820EDAC}">
                  <c15:fullRef>
                    <c15:sqref>'地区-消费'!$AG$2:$AG$10</c15:sqref>
                  </c15:fullRef>
                </c:ext>
              </c:extLst>
              <c:f>'地区-消费'!$AG$2:$AG$6</c:f>
              <c:numCache>
                <c:formatCode>#,##0_);[Red]\(#,##0\)</c:formatCode>
                <c:ptCount val="5"/>
                <c:pt idx="0">
                  <c:v>112.84</c:v>
                </c:pt>
                <c:pt idx="1">
                  <c:v>80.56</c:v>
                </c:pt>
                <c:pt idx="2">
                  <c:v>163.54</c:v>
                </c:pt>
                <c:pt idx="3">
                  <c:v>7.92</c:v>
                </c:pt>
                <c:pt idx="4">
                  <c:v>2.77</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0.54484</cdr:x>
      <cdr:y>0.28541</cdr:y>
    </cdr:from>
    <cdr:to>
      <cdr:x>0.76031</cdr:x>
      <cdr:y>0.47351</cdr:y>
    </cdr:to>
    <cdr:grpSp>
      <cdr:nvGrpSpPr>
        <cdr:cNvPr id="2" name="组合 1"/>
        <cdr:cNvGrpSpPr/>
      </cdr:nvGrpSpPr>
      <cdr:grpSpPr xmlns:a="http://schemas.openxmlformats.org/drawingml/2006/main">
        <a:xfrm rot="439955">
          <a:off x="3371857" y="838213"/>
          <a:ext cx="1333481" cy="552426"/>
          <a:chOff x="2747992" y="1316722"/>
          <a:chExt cx="873390" cy="435579"/>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747992" y="1316722"/>
            <a:ext cx="873390" cy="435579"/>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9865138">
            <a:off x="2880956" y="1463102"/>
            <a:ext cx="514788" cy="223661"/>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Book Antiqua" panose="02040602050305030304" pitchFamily="1" charset="0"/>
                <a:ea typeface="+mn-ea"/>
              </a:rPr>
              <a:t>5.0% </a:t>
            </a:r>
            <a:endParaRPr lang="zh-CN"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0.22248</cdr:x>
      <cdr:y>0.47551</cdr:y>
    </cdr:from>
    <cdr:to>
      <cdr:x>0.44411</cdr:x>
      <cdr:y>0.55929</cdr:y>
    </cdr:to>
    <cdr:grpSp>
      <cdr:nvGrpSpPr>
        <cdr:cNvPr id="5" name="组合 4"/>
        <cdr:cNvGrpSpPr/>
      </cdr:nvGrpSpPr>
      <cdr:grpSpPr xmlns:a="http://schemas.openxmlformats.org/drawingml/2006/main">
        <a:xfrm rot="1783323">
          <a:off x="1376864" y="1396513"/>
          <a:ext cx="1371604" cy="246051"/>
          <a:chOff x="2833839" y="1628091"/>
          <a:chExt cx="1090980" cy="248899"/>
        </a:xfrm>
      </cdr:grpSpPr>
      <cdr:cxnSp>
        <cdr:nvCxnSpPr>
          <cdr:cNvPr id="6" name="直接箭头连接符 5"/>
          <cdr:cNvCxnSpPr/>
        </cdr:nvCxnSpPr>
        <cdr:spPr xmlns:a="http://schemas.openxmlformats.org/drawingml/2006/main">
          <a:xfrm xmlns:a="http://schemas.openxmlformats.org/drawingml/2006/main" rot="19816677" flipV="1">
            <a:off x="2833839" y="1628091"/>
            <a:ext cx="1090980" cy="192714"/>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9300085">
            <a:off x="3010870" y="1654168"/>
            <a:ext cx="640744" cy="222822"/>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rPr>
              <a:t>4.2 %</a:t>
            </a:r>
            <a:endParaRPr lang="zh-CN">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30C4BC-D1CC-4142-A1F5-94D513CA277C}">
  <ds:schemaRefs/>
</ds:datastoreItem>
</file>

<file path=docProps/app.xml><?xml version="1.0" encoding="utf-8"?>
<Properties xmlns="http://schemas.openxmlformats.org/officeDocument/2006/extended-properties" xmlns:vt="http://schemas.openxmlformats.org/officeDocument/2006/docPropsVTypes">
  <Template>Normal</Template>
  <Pages>7</Pages>
  <Words>275</Words>
  <Characters>1573</Characters>
  <Lines>13</Lines>
  <Paragraphs>3</Paragraphs>
  <TotalTime>0</TotalTime>
  <ScaleCrop>false</ScaleCrop>
  <LinksUpToDate>false</LinksUpToDate>
  <CharactersWithSpaces>1845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2024-01-18T01:45:00Z</dcterms:created>
  <dc:creator>yangj</dc:creator>
  <cp:lastModifiedBy>鼕鼕</cp:lastModifiedBy>
  <dcterms:modified xsi:type="dcterms:W3CDTF">2024-03-25T10:33:09Z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52803C219640442685DB36D22FF2508C_13</vt:lpwstr>
  </property>
</Properties>
</file>