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bookmarkStart w:id="0" w:name="_Hlk23501351"/>
      <w:bookmarkStart w:id="1" w:name="_Toc453597319"/>
      <w:bookmarkStart w:id="2" w:name="_Toc517262917"/>
      <w:bookmarkStart w:id="3" w:name="_Toc438987549"/>
      <w:bookmarkStart w:id="4" w:name="_Toc481801204"/>
      <w:bookmarkStart w:id="5" w:name="OLE_LINK15"/>
      <w:bookmarkStart w:id="6" w:name="OLE_LINK13"/>
      <w:bookmarkStart w:id="7" w:name="_Toc418070112"/>
      <w:bookmarkStart w:id="8" w:name="_Toc415818939"/>
      <w:bookmarkStart w:id="9" w:name="OLE_LINK39"/>
      <w:bookmarkStart w:id="10" w:name="OLE_LINK40"/>
      <w:bookmarkStart w:id="11" w:name="OLE_LINK24"/>
      <w:bookmarkStart w:id="12" w:name="_Toc415142861"/>
      <w:bookmarkStart w:id="13" w:name="_Toc415143481"/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-133985</wp:posOffset>
                </wp:positionH>
                <wp:positionV relativeFrom="paragraph">
                  <wp:posOffset>3261360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0.55pt;margin-top:256.8pt;height:0pt;width:391.45pt;z-index:251661312;mso-width-relative:page;mso-height-relative:page;" filled="f" stroked="t" coordsize="21600,21600" o:gfxdata="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2b7M+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半导体隔膜阀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2024-2030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半导体隔膜阀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cs="Times New Roman"/>
        </w:r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8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半导体隔膜阀全球市场总体规模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半导体隔膜阀是一种用于半导体制造过程中的关键设备，用于控制和调节气体或液体在半导体工艺中的流动。它通常由一个隔膜或薄膜组成，该隔膜或薄膜作为阀门的关键部件，用于隔离流体和驱动机构。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据QYResearch调研团队最新报告“全球半导体隔膜阀市场报告2024-2030”显示，2023年全球半导体隔膜阀市场规模大约为</w:t>
      </w:r>
      <w:bookmarkStart w:id="14" w:name="_Hlk88493589"/>
      <w:r>
        <w:rPr>
          <w:rFonts w:ascii="Times New Roman" w:hAnsi="Times New Roman" w:cs="Times New Roman"/>
          <w:lang w:eastAsia="zh-CN"/>
        </w:rPr>
        <w:t>564百万美元</w:t>
      </w:r>
      <w:bookmarkEnd w:id="14"/>
      <w:r>
        <w:rPr>
          <w:rFonts w:ascii="Times New Roman" w:hAnsi="Times New Roman" w:cs="Times New Roman"/>
          <w:lang w:eastAsia="zh-CN"/>
        </w:rPr>
        <w:t>，预计2030年将达到759百万美元，2024-2030期间年复合增长率（CAGR）为3.76%。</w:t>
      </w:r>
    </w:p>
    <w:p>
      <w:pPr>
        <w:pStyle w:val="149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全球半导体隔膜阀市场总体规模（百万美元）&amp;（2019 VS 2023 VS 2030）</w:t>
      </w:r>
    </w:p>
    <w:p>
      <w:pPr>
        <w:pStyle w:val="146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128100095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pStyle w:val="144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如上图表/数据，摘自QYResearch最新报告“全球半导体隔膜阀市场研究报告2024-2030.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市场驱动力：半导体行业作为电子设备制造和信息技术发展的核心，持续增长驱动了半导体隔膜阀市场的需求。随着人们对智能手机、平板电脑、物联网等电子产品的需求增加，半导体制造业持续扩大，从而推动了半导体隔膜阀市场的增长。随着新兴技术的不断涌现，例如人工智能、云计算、5G通信等，对半导体产业提出了更高的要求。这些新兴技术的发展需要更高性能、更精密的半导体制造过程，进而带动了半导体隔膜阀的需求增长。</w:t>
      </w:r>
    </w:p>
    <w:p>
      <w:pPr>
        <w:pStyle w:val="149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全球半导体隔膜阀主要厂商排名，其中2023年前五大厂商占有全球大约84%的市场份额</w:t>
      </w:r>
    </w:p>
    <w:p>
      <w:pPr>
        <w:pStyle w:val="146"/>
        <w:jc w:val="center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572000" cy="4399915"/>
            <wp:effectExtent l="0" t="0" r="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4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如上图表/数据，摘自QYResearch最新报告“全球半导体隔膜阀市场研究报告2024-2030.</w:t>
      </w:r>
    </w:p>
    <w:p>
      <w:pPr>
        <w:pStyle w:val="146"/>
        <w:spacing w:line="360" w:lineRule="auto"/>
        <w:ind w:firstLine="420"/>
        <w:rPr>
          <w:rFonts w:ascii="Times New Roman" w:hAnsi="Times New Roman" w:cs="Times New Roman"/>
          <w:sz w:val="22"/>
          <w:lang w:eastAsia="zh-CN"/>
        </w:rPr>
      </w:pPr>
      <w:r>
        <w:rPr>
          <w:rFonts w:ascii="Times New Roman" w:hAnsi="Times New Roman" w:cs="Times New Roman"/>
          <w:lang w:eastAsia="zh-CN"/>
        </w:rPr>
        <w:t>全球范围内，半导体隔膜阀主要生产商包括</w:t>
      </w:r>
      <w:r>
        <w:rPr>
          <w:rFonts w:ascii="Times New Roman" w:hAnsi="Times New Roman" w:cs="Times New Roman"/>
          <w:sz w:val="22"/>
          <w:lang w:eastAsia="zh-CN"/>
        </w:rPr>
        <w:t>Ichor、</w:t>
      </w:r>
      <w:r>
        <w:rPr>
          <w:rFonts w:ascii="Times New Roman" w:hAnsi="Times New Roman" w:cs="Times New Roman"/>
          <w:sz w:val="22"/>
        </w:rPr>
        <w:t>Parker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KITZ SCT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Swagelok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GEMU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IHARA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AP Tech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Rotarex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TK-Fujikin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Hy-Lok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PRIMET JAPAN CO,LTD</w:t>
      </w:r>
      <w:r>
        <w:rPr>
          <w:rFonts w:ascii="Times New Roman" w:hAnsi="Times New Roman" w:cs="Times New Roman"/>
          <w:sz w:val="22"/>
          <w:lang w:eastAsia="zh-CN"/>
        </w:rPr>
        <w:t>、</w:t>
      </w:r>
      <w:r>
        <w:rPr>
          <w:rFonts w:ascii="Times New Roman" w:hAnsi="Times New Roman" w:cs="Times New Roman"/>
          <w:sz w:val="22"/>
        </w:rPr>
        <w:t>UNILOK</w:t>
      </w:r>
      <w:r>
        <w:rPr>
          <w:rFonts w:ascii="Times New Roman" w:hAnsi="Times New Roman" w:cs="Times New Roman"/>
          <w:sz w:val="22"/>
          <w:lang w:eastAsia="zh-CN"/>
        </w:rPr>
        <w:t>和</w:t>
      </w:r>
      <w:r>
        <w:rPr>
          <w:rFonts w:ascii="Times New Roman" w:hAnsi="Times New Roman" w:cs="Times New Roman"/>
          <w:sz w:val="22"/>
        </w:rPr>
        <w:t>GTC Products</w:t>
      </w:r>
      <w:r>
        <w:rPr>
          <w:rFonts w:ascii="Times New Roman" w:hAnsi="Times New Roman" w:cs="Times New Roman"/>
          <w:lang w:eastAsia="zh-CN"/>
        </w:rPr>
        <w:t>等。其中前五大厂商占有大约</w:t>
      </w:r>
      <w:r>
        <w:rPr>
          <w:rFonts w:ascii="Times New Roman" w:hAnsi="Times New Roman" w:cs="Times New Roman"/>
        </w:rPr>
        <w:t>84%</w:t>
      </w:r>
      <w:r>
        <w:rPr>
          <w:rFonts w:ascii="Times New Roman" w:hAnsi="Times New Roman" w:cs="Times New Roman"/>
          <w:lang w:eastAsia="zh-CN"/>
        </w:rPr>
        <w:t>的市场份额。</w:t>
      </w:r>
    </w:p>
    <w:p>
      <w:pPr>
        <w:pStyle w:val="146"/>
        <w:spacing w:line="360" w:lineRule="auto"/>
        <w:ind w:firstLine="420"/>
        <w:rPr>
          <w:rFonts w:ascii="Times New Roman" w:hAnsi="Times New Roman" w:cs="Times New Roman"/>
          <w:lang w:eastAsia="zh-CN"/>
        </w:rPr>
      </w:pP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49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全球半导体隔膜阀市场规模，按产品类型细分，不锈钢类型处于主导地位</w:t>
      </w:r>
    </w:p>
    <w:p>
      <w:pPr>
        <w:pStyle w:val="146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3086100" cy="3095625"/>
            <wp:effectExtent l="0" t="0" r="0" b="952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3086100" cy="3095625"/>
            <wp:effectExtent l="0" t="0" r="0" b="952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6188710" cy="2605405"/>
            <wp:effectExtent l="0" t="0" r="2540" b="4445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4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如上图表/数据，摘自QYResearch最新报告“全球半导体隔膜阀市场研究报告2024-2030.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就产品类型而言，目前不锈钢是最主要的细分产品，2023年不锈钢的消费市场占据全球半导体隔膜阀市场大约95.78%的份额。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49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全球半导体隔膜阀市场规模，按应用细分，Foundry是最大的下游市场，占有74.44%的份额。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3067050" cy="3095625"/>
            <wp:effectExtent l="0" t="0" r="0" b="9525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3067050" cy="3095625"/>
            <wp:effectExtent l="0" t="0" r="0" b="9525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6188710" cy="2570480"/>
            <wp:effectExtent l="0" t="0" r="2540" b="127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4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如上图表/数据，摘自QYResearch最新报告“全球半导体隔膜阀市场研究报告2024-2030.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就产品应用而言，目前Foundry是最主要的应用领域，2023年Foundry的消费市场占据全球半导体隔膜阀市场大约74.44%的份额。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br w:type="page"/>
      </w:r>
    </w:p>
    <w:p>
      <w:pPr>
        <w:pStyle w:val="149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全球半导体隔膜阀规模，主要消费地区份额（按消费值）</w:t>
      </w:r>
    </w:p>
    <w:p>
      <w:pPr>
        <w:pStyle w:val="144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>
        <w:rPr>
          <w:rFonts w:ascii="Times New Roman" w:hAnsi="Times New Roman" w:cs="Times New Roman"/>
          <w:lang w:val="en-US" w:eastAsia="zh-CN"/>
        </w:rPr>
        <w:drawing>
          <wp:inline distT="0" distB="0" distL="0" distR="0">
            <wp:extent cx="6188710" cy="3646170"/>
            <wp:effectExtent l="0" t="0" r="2540" b="0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>
        <w:rPr>
          <w:rFonts w:ascii="Times New Roman" w:hAnsi="Times New Roman" w:cs="Times New Roman"/>
          <w:lang w:eastAsia="zh-CN"/>
        </w:rPr>
        <w:t>如上图表/数据，摘自QYResearch最新报告“全球半导体隔膜阀市场研究报告2024-2030.</w:t>
      </w:r>
    </w:p>
    <w:p>
      <w:pPr>
        <w:pStyle w:val="146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就消费层面来说，目前亚太地区是全球最大的消费市场，2023年占有61.72%的市场份额，其次是北美及欧洲地区，预计未来几年，亚太地区增长最快。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8F8F8"/>
        <w:spacing w:before="0" w:beforeAutospacing="0" w:after="0" w:afterAutospacing="0" w:line="48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942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424F"/>
          <w:spacing w:val="0"/>
          <w:sz w:val="27"/>
          <w:szCs w:val="27"/>
          <w:bdr w:val="none" w:color="auto" w:sz="0" w:space="0"/>
          <w:shd w:val="clear" w:fill="F8F8F8"/>
        </w:rPr>
        <w:t>2024-2030全球与中国半导体隔膜阀市场现状及未来发展趋势</w:t>
      </w:r>
    </w:p>
    <w:p>
      <w:pPr>
        <w:pStyle w:val="168"/>
        <w:rPr>
          <w:rFonts w:ascii="Times New Roman" w:hAnsi="Times New Roman" w:cs="Times New Roman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报告研究全球与中国市场半导体隔膜阀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主要厂商包括：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Ichor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派克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KITZ SCT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世伟洛克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GEMU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南通伊原流体系统科技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AP Tech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罗达莱克斯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TK-Fujikin阀门株式会社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Hy-Lok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普莱美特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UNILOK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GTC Products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按照不同产品类型，包括如下几个类别：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塑料隔膜阀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不锈钢隔膜阀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按照不同应用，主要包括如下几个方面：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IDM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Foundry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重点关注如下几个地区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美国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日本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欧洲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 xml:space="preserve">    韩国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本文正文共10章，各章节主要内容如下：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第1章：报告统计范围、产品细分及主要的下游市场，行业背景、发展历史、现状及趋势等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第2章：全球总体规模（产能、产量、销量、需求量、销售收入等数据，2019-2030年）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第3章：全球范围内半导体隔膜阀主要厂商竞争分析，主要包括半导体隔膜阀产能、销量、收入、市场份额、价格、产地及行业集中度分析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第4章：全球半导体隔膜阀主要地区分析，包括销量、销售收入等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第5章：全球半导体隔膜阀主要厂商基本情况介绍，包括公司简介、半导体隔膜阀产品型号、销量、收入、价格及最新动态等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第6章：全球不同产品类型半导体隔膜阀销量、收入、价格及份额等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第7章：全球不同应用半导体隔膜阀销量、收入、价格及份额等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第8章：产业链、上下游分析、销售渠道分析等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第9章：行业动态、增长驱动因素、发展机遇、有利因素、不利及阻碍因素、行业政策等</w:t>
      </w:r>
    </w:p>
    <w:p>
      <w:pPr>
        <w:pStyle w:val="3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open sans" w:hAnsi="open sans" w:eastAsia="open sans" w:cs="open sans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第10章：报告结论</w:t>
      </w:r>
    </w:p>
    <w:p>
      <w:pPr>
        <w:pStyle w:val="146"/>
        <w:rPr>
          <w:rFonts w:ascii="Times New Roman" w:hAnsi="Times New Roman" w:cs="Times New Roman"/>
        </w:rPr>
      </w:pPr>
      <w:bookmarkStart w:id="15" w:name="_GoBack"/>
      <w:bookmarkEnd w:id="15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Calibr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9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2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64D"/>
    <w:rsid w:val="00000877"/>
    <w:rsid w:val="00000A89"/>
    <w:rsid w:val="00000CBB"/>
    <w:rsid w:val="00001917"/>
    <w:rsid w:val="00001B99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69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2D8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E37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1B2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158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2E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B2D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9A7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5A2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A2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C3E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06F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2DE6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66F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CFA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17C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9C8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C6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5D14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6F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8A6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91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7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89F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56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0C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B7D9F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57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0C4B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92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284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6DB4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44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6CCC"/>
    <w:rsid w:val="00BB735E"/>
    <w:rsid w:val="00BB79D4"/>
    <w:rsid w:val="00BB7FB4"/>
    <w:rsid w:val="00BB7FC1"/>
    <w:rsid w:val="00BC002D"/>
    <w:rsid w:val="00BC00A3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609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057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3E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1E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1C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AC2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55C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286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257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2E5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5C4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18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45C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B4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6FE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69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975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4FF4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AE4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73B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875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347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7F6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9BE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2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3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4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5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6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7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3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4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8">
    <w:name w:val="Default Paragraph Font"/>
    <w:autoRedefine/>
    <w:semiHidden/>
    <w:unhideWhenUsed/>
    <w:qFormat/>
    <w:uiPriority w:val="1"/>
  </w:style>
  <w:style w:type="table" w:default="1" w:styleId="3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2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7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3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9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1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1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5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9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2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8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3">
    <w:name w:val="Title"/>
    <w:basedOn w:val="1"/>
    <w:next w:val="1"/>
    <w:link w:val="99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4">
    <w:name w:val="annotation subject"/>
    <w:basedOn w:val="1"/>
    <w:next w:val="1"/>
    <w:link w:val="119"/>
    <w:autoRedefine/>
    <w:qFormat/>
    <w:uiPriority w:val="0"/>
    <w:pPr>
      <w:jc w:val="left"/>
    </w:pPr>
    <w:rPr>
      <w:b/>
      <w:bCs/>
    </w:rPr>
  </w:style>
  <w:style w:type="table" w:styleId="36">
    <w:name w:val="Table Grid"/>
    <w:basedOn w:val="35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7">
    <w:name w:val="Table Colorful 2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lassic 1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2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3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1">
    <w:name w:val="Table Columns 5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2">
    <w:name w:val="Table Grid 3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3">
    <w:name w:val="Table Grid 4"/>
    <w:basedOn w:val="3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4">
    <w:name w:val="Table Grid 8"/>
    <w:basedOn w:val="35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5">
    <w:name w:val="Light List"/>
    <w:basedOn w:val="35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6">
    <w:name w:val="Light List Accent 2"/>
    <w:basedOn w:val="35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7">
    <w:name w:val="Light List Accent 3"/>
    <w:basedOn w:val="35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8">
    <w:name w:val="Light List Accent 4"/>
    <w:basedOn w:val="35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9">
    <w:name w:val="Light List Accent 5"/>
    <w:basedOn w:val="35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50">
    <w:name w:val="Medium Shading 1"/>
    <w:basedOn w:val="35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1"/>
    <w:basedOn w:val="35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2"/>
    <w:basedOn w:val="35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3"/>
    <w:basedOn w:val="35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4"/>
    <w:basedOn w:val="35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1 Accent 5"/>
    <w:basedOn w:val="35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2 Accent 2"/>
    <w:basedOn w:val="35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35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5"/>
    <w:basedOn w:val="35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Grid 1 Accent 3"/>
    <w:basedOn w:val="35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0">
    <w:name w:val="Medium Grid 3 Accent 1"/>
    <w:basedOn w:val="35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1">
    <w:name w:val="Medium Grid 3 Accent 3"/>
    <w:basedOn w:val="35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2">
    <w:name w:val="Dark List Accent 3"/>
    <w:basedOn w:val="35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3">
    <w:name w:val="Dark List Accent 4"/>
    <w:basedOn w:val="35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4">
    <w:name w:val="Dark List Accent 5"/>
    <w:basedOn w:val="35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5">
    <w:name w:val="Colorful Grid"/>
    <w:basedOn w:val="35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6">
    <w:name w:val="Colorful Grid Accent 3"/>
    <w:basedOn w:val="35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7">
    <w:name w:val="Colorful Grid Accent 5"/>
    <w:basedOn w:val="35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9">
    <w:name w:val="Strong"/>
    <w:autoRedefine/>
    <w:qFormat/>
    <w:uiPriority w:val="22"/>
    <w:rPr>
      <w:b/>
      <w:bCs/>
    </w:rPr>
  </w:style>
  <w:style w:type="character" w:styleId="70">
    <w:name w:val="endnote reference"/>
    <w:basedOn w:val="68"/>
    <w:semiHidden/>
    <w:unhideWhenUsed/>
    <w:uiPriority w:val="99"/>
    <w:rPr>
      <w:vertAlign w:val="superscript"/>
    </w:rPr>
  </w:style>
  <w:style w:type="character" w:styleId="71">
    <w:name w:val="Emphasis"/>
    <w:autoRedefine/>
    <w:qFormat/>
    <w:uiPriority w:val="0"/>
    <w:rPr>
      <w:i/>
      <w:iCs/>
    </w:rPr>
  </w:style>
  <w:style w:type="character" w:styleId="72">
    <w:name w:val="Hyperlink"/>
    <w:autoRedefine/>
    <w:unhideWhenUsed/>
    <w:qFormat/>
    <w:uiPriority w:val="99"/>
    <w:rPr>
      <w:color w:val="0000FF"/>
      <w:u w:val="single"/>
    </w:rPr>
  </w:style>
  <w:style w:type="character" w:styleId="73">
    <w:name w:val="annotation reference"/>
    <w:autoRedefine/>
    <w:qFormat/>
    <w:uiPriority w:val="0"/>
    <w:rPr>
      <w:sz w:val="21"/>
      <w:szCs w:val="21"/>
    </w:rPr>
  </w:style>
  <w:style w:type="character" w:customStyle="1" w:styleId="74">
    <w:name w:val="页眉 字符"/>
    <w:basedOn w:val="68"/>
    <w:link w:val="22"/>
    <w:autoRedefine/>
    <w:qFormat/>
    <w:uiPriority w:val="99"/>
    <w:rPr>
      <w:sz w:val="18"/>
      <w:szCs w:val="18"/>
    </w:rPr>
  </w:style>
  <w:style w:type="character" w:customStyle="1" w:styleId="75">
    <w:name w:val="页脚 字符"/>
    <w:basedOn w:val="68"/>
    <w:link w:val="21"/>
    <w:autoRedefine/>
    <w:qFormat/>
    <w:uiPriority w:val="99"/>
    <w:rPr>
      <w:sz w:val="18"/>
      <w:szCs w:val="18"/>
    </w:rPr>
  </w:style>
  <w:style w:type="character" w:customStyle="1" w:styleId="76">
    <w:name w:val="标题 1 字符"/>
    <w:basedOn w:val="68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7">
    <w:name w:val="标题 2 字符"/>
    <w:basedOn w:val="68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8">
    <w:name w:val="标题 3 字符"/>
    <w:basedOn w:val="68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9">
    <w:name w:val="标题 4 字符"/>
    <w:basedOn w:val="68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80">
    <w:name w:val="标题 5 字符"/>
    <w:basedOn w:val="68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8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2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3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5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6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7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8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9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90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2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3">
    <w:name w:val="文档结构图 字符"/>
    <w:basedOn w:val="68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4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5">
    <w:name w:val="纯文本 字符"/>
    <w:basedOn w:val="68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6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7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8">
    <w:name w:val="标题 字符"/>
    <w:basedOn w:val="68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9">
    <w:name w:val="标题 字符1"/>
    <w:link w:val="33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100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1">
    <w:name w:val="副标题 字符"/>
    <w:basedOn w:val="68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2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3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4">
    <w:name w:val="批注框文本 字符"/>
    <w:basedOn w:val="68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5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6">
    <w:name w:val="网格表 4 - 着色 11"/>
    <w:basedOn w:val="35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7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8">
    <w:name w:val="样式 标题 5 + (中文) 宋体"/>
    <w:basedOn w:val="6"/>
    <w:autoRedefine/>
    <w:qFormat/>
    <w:uiPriority w:val="0"/>
  </w:style>
  <w:style w:type="character" w:customStyle="1" w:styleId="109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10">
    <w:name w:val="网格表 4 - 着色 12"/>
    <w:basedOn w:val="35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1">
    <w:name w:val="网格表 5 深色 - 着色 11"/>
    <w:basedOn w:val="35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2">
    <w:name w:val="正文文本 字符"/>
    <w:basedOn w:val="68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3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4">
    <w:name w:val="List Paragraph"/>
    <w:basedOn w:val="1"/>
    <w:link w:val="148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5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6">
    <w:name w:val="批注文字 字符"/>
    <w:basedOn w:val="68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8">
    <w:name w:val="批注主题 字符"/>
    <w:basedOn w:val="116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批注主题 字符1"/>
    <w:link w:val="34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20">
    <w:name w:val="日期 字符"/>
    <w:basedOn w:val="68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1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2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3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4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5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6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7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9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30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1">
    <w:name w:val="apple-converted-space"/>
    <w:autoRedefine/>
    <w:qFormat/>
    <w:uiPriority w:val="0"/>
  </w:style>
  <w:style w:type="paragraph" w:styleId="132">
    <w:name w:val="No Spacing"/>
    <w:link w:val="133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3">
    <w:name w:val="无间隔 字符"/>
    <w:link w:val="132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4">
    <w:name w:val="概述标题"/>
    <w:basedOn w:val="1"/>
    <w:autoRedefine/>
    <w:qFormat/>
    <w:uiPriority w:val="0"/>
    <w:rPr>
      <w:b/>
    </w:rPr>
  </w:style>
  <w:style w:type="table" w:customStyle="1" w:styleId="135">
    <w:name w:val="网格表 4 - 着色 13"/>
    <w:basedOn w:val="35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6">
    <w:name w:val="网格表 4 - 着色 51"/>
    <w:basedOn w:val="35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7">
    <w:name w:val="无格式表格 51"/>
    <w:basedOn w:val="35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8">
    <w:name w:val="未处理的提及1"/>
    <w:basedOn w:val="6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9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40">
    <w:name w:val="Style1"/>
    <w:link w:val="169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1">
    <w:name w:val="尾注文本 字符"/>
    <w:basedOn w:val="68"/>
    <w:link w:val="19"/>
    <w:autoRedefine/>
    <w:semiHidden/>
    <w:uiPriority w:val="99"/>
    <w:rPr>
      <w:rFonts w:ascii="Times New Roman" w:hAnsi="Times New Roman"/>
    </w:rPr>
  </w:style>
  <w:style w:type="character" w:customStyle="1" w:styleId="142">
    <w:name w:val="未处理的提及11"/>
    <w:basedOn w:val="68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3">
    <w:name w:val="未处理的提及2"/>
    <w:basedOn w:val="68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4">
    <w:name w:val="Source"/>
    <w:basedOn w:val="1"/>
    <w:link w:val="145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5">
    <w:name w:val="Source 字符"/>
    <w:basedOn w:val="68"/>
    <w:link w:val="144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6">
    <w:name w:val="正文-段落"/>
    <w:basedOn w:val="1"/>
    <w:link w:val="147"/>
    <w:autoRedefine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正文-段落 字符"/>
    <w:basedOn w:val="68"/>
    <w:link w:val="146"/>
    <w:autoRedefine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8">
    <w:name w:val="列出段落 字符"/>
    <w:basedOn w:val="68"/>
    <w:link w:val="114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9">
    <w:name w:val="Figure Style"/>
    <w:basedOn w:val="114"/>
    <w:link w:val="151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50">
    <w:name w:val="Figure Style Char"/>
    <w:basedOn w:val="148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1">
    <w:name w:val="Figure Style 字符"/>
    <w:basedOn w:val="148"/>
    <w:link w:val="149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2">
    <w:name w:val="Table Style"/>
    <w:basedOn w:val="114"/>
    <w:link w:val="153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3">
    <w:name w:val="Table Style Char"/>
    <w:basedOn w:val="68"/>
    <w:link w:val="152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4">
    <w:name w:val="Table of Contents"/>
    <w:basedOn w:val="140"/>
    <w:link w:val="155"/>
    <w:uiPriority w:val="0"/>
    <w:pPr>
      <w:pageBreakBefore/>
      <w:jc w:val="both"/>
    </w:pPr>
    <w:rPr>
      <w:szCs w:val="20"/>
    </w:rPr>
  </w:style>
  <w:style w:type="character" w:customStyle="1" w:styleId="155">
    <w:name w:val="Table of Contents Char"/>
    <w:basedOn w:val="68"/>
    <w:link w:val="154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6">
    <w:name w:val="Source Char"/>
    <w:basedOn w:val="68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7">
    <w:name w:val="目录2"/>
    <w:basedOn w:val="29"/>
    <w:next w:val="29"/>
    <w:link w:val="159"/>
    <w:uiPriority w:val="0"/>
    <w:pPr>
      <w:tabs>
        <w:tab w:val="right" w:pos="9736"/>
      </w:tabs>
    </w:pPr>
  </w:style>
  <w:style w:type="character" w:customStyle="1" w:styleId="158">
    <w:name w:val="目录 2 字符"/>
    <w:basedOn w:val="68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目录2 字符"/>
    <w:basedOn w:val="158"/>
    <w:link w:val="157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60">
    <w:name w:val="未处理的提及3"/>
    <w:basedOn w:val="68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61">
    <w:name w:val="List Table 2 Accent 4"/>
    <w:basedOn w:val="35"/>
    <w:autoRedefine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2">
    <w:name w:val="表格-lpi"/>
    <w:basedOn w:val="35"/>
    <w:autoRedefine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3">
    <w:name w:val="未处理的提及31"/>
    <w:basedOn w:val="68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4">
    <w:name w:val="Paragraph"/>
    <w:basedOn w:val="1"/>
    <w:link w:val="165"/>
    <w:autoRedefine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5">
    <w:name w:val="Paragraph Char"/>
    <w:basedOn w:val="68"/>
    <w:link w:val="164"/>
    <w:autoRedefine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6">
    <w:name w:val="List Table 1 Light Accent 1"/>
    <w:basedOn w:val="35"/>
    <w:autoRedefine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7">
    <w:name w:val="未处理的提及4"/>
    <w:basedOn w:val="68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8">
    <w:name w:val="概述"/>
    <w:basedOn w:val="140"/>
    <w:link w:val="170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9">
    <w:name w:val="Style1 字符"/>
    <w:basedOn w:val="68"/>
    <w:link w:val="140"/>
    <w:autoRedefine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70">
    <w:name w:val="概述 字符"/>
    <w:basedOn w:val="169"/>
    <w:link w:val="168"/>
    <w:autoRedefine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1">
    <w:name w:val="彩色网格 - 强调文字颜色 51"/>
    <w:basedOn w:val="35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2">
    <w:name w:val="彩色网格 - 强调文字颜色 31"/>
    <w:basedOn w:val="35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3">
    <w:name w:val="深色列表 - 强调文字颜色 31"/>
    <w:basedOn w:val="35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4">
    <w:name w:val="深色列表 - 强调文字颜色 41"/>
    <w:basedOn w:val="35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5">
    <w:name w:val="深色列表 - 强调文字颜色 51"/>
    <w:basedOn w:val="35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6">
    <w:name w:val="中等深浅底纹 1 - 强调文字颜色 41"/>
    <w:basedOn w:val="35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7">
    <w:name w:val="浅色列表 - 强调文字颜色 31"/>
    <w:basedOn w:val="35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8">
    <w:name w:val="浅色列表 - 强调文字颜色 21"/>
    <w:basedOn w:val="35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9">
    <w:name w:val="浅色列表 - 强调文字颜色 41"/>
    <w:basedOn w:val="35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80">
    <w:name w:val="中等深浅底纹 2 - 强调文字颜色 21"/>
    <w:basedOn w:val="35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1">
    <w:name w:val="中等深浅底纹 1 - 强调文字颜色 21"/>
    <w:basedOn w:val="35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2">
    <w:name w:val="中等深浅网格 3 - 强调文字颜色 11"/>
    <w:basedOn w:val="35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3">
    <w:name w:val="中等深浅底纹 2 - 强调文字颜色 31"/>
    <w:basedOn w:val="35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4">
    <w:name w:val="浅色列表 - 强调文字颜色 51"/>
    <w:basedOn w:val="35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5">
    <w:name w:val="中等深浅网格 3 - 强调文字颜色 31"/>
    <w:basedOn w:val="35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6">
    <w:name w:val="中等深浅网格 1 - 强调文字颜色 31"/>
    <w:basedOn w:val="35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7">
    <w:name w:val="中等深浅底纹 1 - 强调文字颜色 31"/>
    <w:basedOn w:val="35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8">
    <w:name w:val="中等深浅底纹 2 - 强调文字颜色 51"/>
    <w:basedOn w:val="35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9">
    <w:name w:val="中等深浅底纹 1 - 强调文字颜色 51"/>
    <w:basedOn w:val="35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中等深浅底纹 1 - 强调文字颜色 11"/>
    <w:basedOn w:val="35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1">
    <w:name w:val="网格表 4 - 着色 52"/>
    <w:basedOn w:val="35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2">
    <w:name w:val="未处理的提及41"/>
    <w:basedOn w:val="6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3">
    <w:name w:val="标题 7 字符"/>
    <w:basedOn w:val="68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4">
    <w:name w:val="标题 8 字符"/>
    <w:basedOn w:val="68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5">
    <w:name w:val="未处理的提及5"/>
    <w:basedOn w:val="68"/>
    <w:semiHidden/>
    <w:unhideWhenUsed/>
    <w:uiPriority w:val="99"/>
    <w:rPr>
      <w:color w:val="605E5C"/>
      <w:shd w:val="clear" w:color="auto" w:fill="E1DFDD"/>
    </w:rPr>
  </w:style>
  <w:style w:type="table" w:customStyle="1" w:styleId="196">
    <w:name w:val="List Table 2 Accent 2"/>
    <w:basedOn w:val="35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7">
    <w:name w:val="lpi 专用"/>
    <w:basedOn w:val="198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"/>
    <w:basedOn w:val="35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9">
    <w:name w:val="Grid Table 2 Accent 4"/>
    <w:basedOn w:val="35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200">
    <w:name w:val="Grid Table 2 Accent 5"/>
    <w:basedOn w:val="35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1">
    <w:name w:val="季度-样式"/>
    <w:basedOn w:val="35"/>
    <w:autoRedefine/>
    <w:qFormat/>
    <w:uiPriority w:val="99"/>
  </w:style>
  <w:style w:type="table" w:customStyle="1" w:styleId="202">
    <w:name w:val="List Table 2 Accent 5"/>
    <w:basedOn w:val="35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3">
    <w:name w:val="List Table 1 Light Accent 5"/>
    <w:basedOn w:val="35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4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5">
    <w:name w:val="Unresolved Mention"/>
    <w:basedOn w:val="6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10.xml"/><Relationship Id="rId16" Type="http://schemas.openxmlformats.org/officeDocument/2006/relationships/chart" Target="charts/chart9.xml"/><Relationship Id="rId15" Type="http://schemas.openxmlformats.org/officeDocument/2006/relationships/chart" Target="charts/chart8.xml"/><Relationship Id="rId14" Type="http://schemas.openxmlformats.org/officeDocument/2006/relationships/chart" Target="charts/chart7.xml"/><Relationship Id="rId13" Type="http://schemas.openxmlformats.org/officeDocument/2006/relationships/chart" Target="charts/chart6.xml"/><Relationship Id="rId12" Type="http://schemas.openxmlformats.org/officeDocument/2006/relationships/chart" Target="charts/chart5.xml"/><Relationship Id="rId11" Type="http://schemas.openxmlformats.org/officeDocument/2006/relationships/chart" Target="charts/chart4.xml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8.xml"/><Relationship Id="rId3" Type="http://schemas.microsoft.com/office/2011/relationships/chartStyle" Target="style8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chensirui\Desktop\0920&#26032;&#38395;&#31295;\&#23567;&#40736;&#27169;&#22411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&#20570;&#30446;&#24405;\&#35266;&#28857;&#25968;&#25454;&#22270;&#34920;&#27169;&#26495;-&#27169;&#26495;%2020231220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file:///C:\Users\Administrator\Desktop\&#20570;&#30446;&#24405;\&#26032;&#24314;%20Microsoft%20Excel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759646194441168"/>
          <c:y val="0.141981747066493"/>
          <c:w val="0.901462017124732"/>
          <c:h val="0.7635591509340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6826C8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2213</c:v>
                </c:pt>
                <c:pt idx="1">
                  <c:v>2495</c:v>
                </c:pt>
                <c:pt idx="2">
                  <c:v>3652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1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企业排序!$F$2:$F$14</c:f>
              <c:strCache>
                <c:ptCount val="13"/>
                <c:pt idx="0">
                  <c:v>GTC Products</c:v>
                </c:pt>
                <c:pt idx="1">
                  <c:v>UNILOK</c:v>
                </c:pt>
                <c:pt idx="2">
                  <c:v>PRIMET JAPAN CO,LTD</c:v>
                </c:pt>
                <c:pt idx="3">
                  <c:v>Hy-Lok</c:v>
                </c:pt>
                <c:pt idx="4">
                  <c:v>TK-Fujikin</c:v>
                </c:pt>
                <c:pt idx="5">
                  <c:v>Rotarex</c:v>
                </c:pt>
                <c:pt idx="6">
                  <c:v>AP Tech</c:v>
                </c:pt>
                <c:pt idx="7">
                  <c:v>IHARA</c:v>
                </c:pt>
                <c:pt idx="8">
                  <c:v>GEMU</c:v>
                </c:pt>
                <c:pt idx="9">
                  <c:v>Swagelok</c:v>
                </c:pt>
                <c:pt idx="10">
                  <c:v>KITZ SCT </c:v>
                </c:pt>
                <c:pt idx="11">
                  <c:v>Parker</c:v>
                </c:pt>
                <c:pt idx="12">
                  <c:v>Ichor</c:v>
                </c:pt>
              </c:strCache>
            </c:strRef>
          </c:cat>
          <c:val>
            <c:numRef>
              <c:f>企业排序!$G$2:$G$14</c:f>
              <c:numCache>
                <c:formatCode>#,##0.00_ </c:formatCode>
                <c:ptCount val="13"/>
                <c:pt idx="0">
                  <c:v>2.88</c:v>
                </c:pt>
                <c:pt idx="1">
                  <c:v>3.14</c:v>
                </c:pt>
                <c:pt idx="2">
                  <c:v>3.33</c:v>
                </c:pt>
                <c:pt idx="3">
                  <c:v>5.28</c:v>
                </c:pt>
                <c:pt idx="4">
                  <c:v>9.2</c:v>
                </c:pt>
                <c:pt idx="5">
                  <c:v>15.1</c:v>
                </c:pt>
                <c:pt idx="6">
                  <c:v>18.48</c:v>
                </c:pt>
                <c:pt idx="7">
                  <c:v>19.18</c:v>
                </c:pt>
                <c:pt idx="8">
                  <c:v>22.58</c:v>
                </c:pt>
                <c:pt idx="9">
                  <c:v>23.51</c:v>
                </c:pt>
                <c:pt idx="10">
                  <c:v>48.91</c:v>
                </c:pt>
                <c:pt idx="11">
                  <c:v>102.41</c:v>
                </c:pt>
                <c:pt idx="12">
                  <c:v>276.22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Sheet1!$X$25</c:f>
              <c:strCache>
                <c:ptCount val="1"/>
                <c:pt idx="0">
                  <c:v>2023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Sheet1!$W$26:$W$27</c:f>
              <c:strCache>
                <c:ptCount val="2"/>
                <c:pt idx="0">
                  <c:v>塑料</c:v>
                </c:pt>
                <c:pt idx="1">
                  <c:v>不锈钢</c:v>
                </c:pt>
              </c:strCache>
            </c:strRef>
          </c:cat>
          <c:val>
            <c:numRef>
              <c:f>Sheet1!$X$26:$X$27</c:f>
              <c:numCache>
                <c:formatCode>0.00%</c:formatCode>
                <c:ptCount val="2"/>
                <c:pt idx="0">
                  <c:v>0.0421765811783904</c:v>
                </c:pt>
                <c:pt idx="1">
                  <c:v>0.95782341882161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Sheet1!$Y$25</c:f>
              <c:strCache>
                <c:ptCount val="1"/>
                <c:pt idx="0">
                  <c:v>2030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Sheet1!$W$26:$W$27</c:f>
              <c:strCache>
                <c:ptCount val="2"/>
                <c:pt idx="0">
                  <c:v>塑料</c:v>
                </c:pt>
                <c:pt idx="1">
                  <c:v>不锈钢</c:v>
                </c:pt>
              </c:strCache>
            </c:strRef>
          </c:cat>
          <c:val>
            <c:numRef>
              <c:f>Sheet1!$Y$26:$Y$27</c:f>
              <c:numCache>
                <c:formatCode>0.00%</c:formatCode>
                <c:ptCount val="2"/>
                <c:pt idx="0">
                  <c:v>0.0355137639683837</c:v>
                </c:pt>
                <c:pt idx="1">
                  <c:v>0.964486236031616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395061729"/>
          <c:y val="0.0211666666666667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Sheet1!$E$26</c:f>
              <c:strCache>
                <c:ptCount val="1"/>
                <c:pt idx="0">
                  <c:v>塑料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Sheet1!$F$25:$Q$25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Sheet1!$F$26:$Q$26</c:f>
              <c:numCache>
                <c:formatCode>0.00</c:formatCode>
                <c:ptCount val="12"/>
                <c:pt idx="0">
                  <c:v>14.49</c:v>
                </c:pt>
                <c:pt idx="1">
                  <c:v>16.83</c:v>
                </c:pt>
                <c:pt idx="2">
                  <c:v>21.39</c:v>
                </c:pt>
                <c:pt idx="3">
                  <c:v>23.3600000000001</c:v>
                </c:pt>
                <c:pt idx="4">
                  <c:v>23.7800000000001</c:v>
                </c:pt>
                <c:pt idx="5">
                  <c:v>24.6399999999999</c:v>
                </c:pt>
                <c:pt idx="6">
                  <c:v>24.8199999999999</c:v>
                </c:pt>
                <c:pt idx="7">
                  <c:v>25.0999999999999</c:v>
                </c:pt>
                <c:pt idx="8">
                  <c:v>25.2299999999999</c:v>
                </c:pt>
                <c:pt idx="9">
                  <c:v>25.79</c:v>
                </c:pt>
                <c:pt idx="10">
                  <c:v>26.0599999999999</c:v>
                </c:pt>
                <c:pt idx="11">
                  <c:v>26.9486459999999</c:v>
                </c:pt>
              </c:numCache>
            </c:numRef>
          </c:val>
        </c:ser>
        <c:ser>
          <c:idx val="1"/>
          <c:order val="1"/>
          <c:tx>
            <c:strRef>
              <c:f>Sheet1!$E$27</c:f>
              <c:strCache>
                <c:ptCount val="1"/>
                <c:pt idx="0">
                  <c:v>不锈钢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Sheet1!$F$25:$Q$25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Sheet1!$F$27:$Q$27</c:f>
              <c:numCache>
                <c:formatCode>0.00</c:formatCode>
                <c:ptCount val="12"/>
                <c:pt idx="0">
                  <c:v>322.99</c:v>
                </c:pt>
                <c:pt idx="1">
                  <c:v>359.3</c:v>
                </c:pt>
                <c:pt idx="2">
                  <c:v>445.21</c:v>
                </c:pt>
                <c:pt idx="3">
                  <c:v>509.61</c:v>
                </c:pt>
                <c:pt idx="4">
                  <c:v>540.04</c:v>
                </c:pt>
                <c:pt idx="5">
                  <c:v>583.33</c:v>
                </c:pt>
                <c:pt idx="6">
                  <c:v>601.04</c:v>
                </c:pt>
                <c:pt idx="7">
                  <c:v>633.23</c:v>
                </c:pt>
                <c:pt idx="8">
                  <c:v>659.76</c:v>
                </c:pt>
                <c:pt idx="9">
                  <c:v>683.95</c:v>
                </c:pt>
                <c:pt idx="10">
                  <c:v>707.74</c:v>
                </c:pt>
                <c:pt idx="11">
                  <c:v>731.873934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3111229965534"/>
          <c:y val="0.87037677443622"/>
          <c:w val="0.669831736223714"/>
          <c:h val="0.068949823253840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Sheet1!$X$36</c:f>
              <c:strCache>
                <c:ptCount val="1"/>
                <c:pt idx="0">
                  <c:v>2023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Sheet1!$W$37:$W$39</c:f>
              <c:strCache>
                <c:ptCount val="3"/>
                <c:pt idx="0">
                  <c:v>IDM</c:v>
                </c:pt>
                <c:pt idx="1">
                  <c:v>Foundry</c:v>
                </c:pt>
                <c:pt idx="2">
                  <c:v>其他</c:v>
                </c:pt>
              </c:strCache>
            </c:strRef>
          </c:cat>
          <c:val>
            <c:numRef>
              <c:f>Sheet1!$X$37:$X$39</c:f>
              <c:numCache>
                <c:formatCode>0.00%</c:formatCode>
                <c:ptCount val="3"/>
                <c:pt idx="0">
                  <c:v>0.154784468538074</c:v>
                </c:pt>
                <c:pt idx="1">
                  <c:v>0.744394487469389</c:v>
                </c:pt>
                <c:pt idx="2">
                  <c:v>0.100821043992537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Sheet1!$Y$36</c:f>
              <c:strCache>
                <c:ptCount val="1"/>
                <c:pt idx="0">
                  <c:v>2030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Sheet1!$W$37:$W$39</c:f>
              <c:strCache>
                <c:ptCount val="3"/>
                <c:pt idx="0">
                  <c:v>IDM</c:v>
                </c:pt>
                <c:pt idx="1">
                  <c:v>Foundry</c:v>
                </c:pt>
                <c:pt idx="2">
                  <c:v>其他</c:v>
                </c:pt>
              </c:strCache>
            </c:strRef>
          </c:cat>
          <c:val>
            <c:numRef>
              <c:f>Sheet1!$Y$37:$Y$39</c:f>
              <c:numCache>
                <c:formatCode>0.00%</c:formatCode>
                <c:ptCount val="3"/>
                <c:pt idx="0">
                  <c:v>0.134648218670599</c:v>
                </c:pt>
                <c:pt idx="1">
                  <c:v>0.774152989122397</c:v>
                </c:pt>
                <c:pt idx="2">
                  <c:v>0.0911987922070038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Sheet1!$E$37</c:f>
              <c:strCache>
                <c:ptCount val="1"/>
                <c:pt idx="0">
                  <c:v>IDM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Sheet1!$F$36:$Q$36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Sheet1!$F$37:$Q$37</c:f>
              <c:numCache>
                <c:formatCode>0.00</c:formatCode>
                <c:ptCount val="12"/>
                <c:pt idx="0">
                  <c:v>55.6421061159883</c:v>
                </c:pt>
                <c:pt idx="1">
                  <c:v>61.3259527381751</c:v>
                </c:pt>
                <c:pt idx="2">
                  <c:v>75.5103221877259</c:v>
                </c:pt>
                <c:pt idx="3">
                  <c:v>84.2399708571979</c:v>
                </c:pt>
                <c:pt idx="4">
                  <c:v>87.2705790511369</c:v>
                </c:pt>
                <c:pt idx="5">
                  <c:v>91.9257763040549</c:v>
                </c:pt>
                <c:pt idx="6">
                  <c:v>92.6660996084349</c:v>
                </c:pt>
                <c:pt idx="7">
                  <c:v>95.1090906928654</c:v>
                </c:pt>
                <c:pt idx="8">
                  <c:v>96.381503435059</c:v>
                </c:pt>
                <c:pt idx="9">
                  <c:v>98.03451346599</c:v>
                </c:pt>
                <c:pt idx="10">
                  <c:v>98.8048628604857</c:v>
                </c:pt>
                <c:pt idx="11">
                  <c:v>102.174108684028</c:v>
                </c:pt>
              </c:numCache>
            </c:numRef>
          </c:val>
        </c:ser>
        <c:ser>
          <c:idx val="1"/>
          <c:order val="1"/>
          <c:tx>
            <c:strRef>
              <c:f>Sheet1!$E$38</c:f>
              <c:strCache>
                <c:ptCount val="1"/>
                <c:pt idx="0">
                  <c:v>Foundry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Sheet1!$F$36:$Q$36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Sheet1!$F$38:$Q$38</c:f>
              <c:numCache>
                <c:formatCode>0.00</c:formatCode>
                <c:ptCount val="12"/>
                <c:pt idx="0">
                  <c:v>244.168823462437</c:v>
                </c:pt>
                <c:pt idx="1">
                  <c:v>273.852023360564</c:v>
                </c:pt>
                <c:pt idx="2">
                  <c:v>341.634935437338</c:v>
                </c:pt>
                <c:pt idx="3">
                  <c:v>393.018139203113</c:v>
                </c:pt>
                <c:pt idx="4">
                  <c:v>419.704499924991</c:v>
                </c:pt>
                <c:pt idx="5">
                  <c:v>455.803746727528</c:v>
                </c:pt>
                <c:pt idx="6">
                  <c:v>473.08647211328</c:v>
                </c:pt>
                <c:pt idx="7">
                  <c:v>501.487806111525</c:v>
                </c:pt>
                <c:pt idx="8">
                  <c:v>524.549066521986</c:v>
                </c:pt>
                <c:pt idx="9">
                  <c:v>546.210021641965</c:v>
                </c:pt>
                <c:pt idx="10">
                  <c:v>568.073463418015</c:v>
                </c:pt>
                <c:pt idx="11">
                  <c:v>587.444768520569</c:v>
                </c:pt>
              </c:numCache>
            </c:numRef>
          </c:val>
        </c:ser>
        <c:ser>
          <c:idx val="2"/>
          <c:order val="2"/>
          <c:tx>
            <c:strRef>
              <c:f>Sheet1!$E$39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Sheet1!$F$36:$Q$36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Sheet1!$F$39:$Q$39</c:f>
              <c:numCache>
                <c:formatCode>0.00</c:formatCode>
                <c:ptCount val="12"/>
                <c:pt idx="0">
                  <c:v>37.6690704215745</c:v>
                </c:pt>
                <c:pt idx="1">
                  <c:v>40.9520239012609</c:v>
                </c:pt>
                <c:pt idx="2">
                  <c:v>49.4547423749357</c:v>
                </c:pt>
                <c:pt idx="3">
                  <c:v>55.7118899396897</c:v>
                </c:pt>
                <c:pt idx="4">
                  <c:v>56.8449210238721</c:v>
                </c:pt>
                <c:pt idx="5">
                  <c:v>60.2404769684168</c:v>
                </c:pt>
                <c:pt idx="6">
                  <c:v>60.1074282782852</c:v>
                </c:pt>
                <c:pt idx="7">
                  <c:v>61.7331031956096</c:v>
                </c:pt>
                <c:pt idx="8">
                  <c:v>64.0594300429549</c:v>
                </c:pt>
                <c:pt idx="9">
                  <c:v>65.4954648920449</c:v>
                </c:pt>
                <c:pt idx="10">
                  <c:v>66.9216737214994</c:v>
                </c:pt>
                <c:pt idx="11">
                  <c:v>69.2037027954025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17855578949409"/>
          <c:y val="0.891577780287242"/>
          <c:w val="0.214184313505348"/>
          <c:h val="0.068949823253840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Sheet1!$E$16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Sheet1!$F$15:$Q$15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Sheet1!$F$16:$Q$16</c:f>
              <c:numCache>
                <c:formatCode>0</c:formatCode>
                <c:ptCount val="12"/>
                <c:pt idx="0">
                  <c:v>89.613388658305</c:v>
                </c:pt>
                <c:pt idx="1">
                  <c:v>92.7656617599123</c:v>
                </c:pt>
                <c:pt idx="2">
                  <c:v>114.415508220582</c:v>
                </c:pt>
                <c:pt idx="3">
                  <c:v>130.785167002928</c:v>
                </c:pt>
                <c:pt idx="4">
                  <c:v>135.273476407422</c:v>
                </c:pt>
                <c:pt idx="5">
                  <c:v>144</c:v>
                </c:pt>
                <c:pt idx="6">
                  <c:v>146.77</c:v>
                </c:pt>
                <c:pt idx="7">
                  <c:v>152.46</c:v>
                </c:pt>
                <c:pt idx="8">
                  <c:v>158.31</c:v>
                </c:pt>
                <c:pt idx="9">
                  <c:v>163.95</c:v>
                </c:pt>
                <c:pt idx="10" c:formatCode="0.00">
                  <c:v>169.43</c:v>
                </c:pt>
                <c:pt idx="11" c:formatCode="0.00">
                  <c:v>175.207563</c:v>
                </c:pt>
              </c:numCache>
            </c:numRef>
          </c:val>
        </c:ser>
        <c:ser>
          <c:idx val="1"/>
          <c:order val="1"/>
          <c:tx>
            <c:strRef>
              <c:f>Sheet1!$E$17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Sheet1!$F$15:$Q$15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Sheet1!$F$17:$Q$17</c:f>
              <c:numCache>
                <c:formatCode>0</c:formatCode>
                <c:ptCount val="12"/>
                <c:pt idx="0">
                  <c:v>45.661560215891</c:v>
                </c:pt>
                <c:pt idx="1">
                  <c:v>49.2054067457853</c:v>
                </c:pt>
                <c:pt idx="2">
                  <c:v>61.8890288526454</c:v>
                </c:pt>
                <c:pt idx="3">
                  <c:v>71.2447557466597</c:v>
                </c:pt>
                <c:pt idx="4">
                  <c:v>74.3629272389705</c:v>
                </c:pt>
                <c:pt idx="5">
                  <c:v>78.02</c:v>
                </c:pt>
                <c:pt idx="6">
                  <c:v>77.55</c:v>
                </c:pt>
                <c:pt idx="7">
                  <c:v>79.5</c:v>
                </c:pt>
                <c:pt idx="8">
                  <c:v>80.87</c:v>
                </c:pt>
                <c:pt idx="9">
                  <c:v>81.8</c:v>
                </c:pt>
                <c:pt idx="10" c:formatCode="0.00">
                  <c:v>82.95</c:v>
                </c:pt>
                <c:pt idx="11" c:formatCode="0.00">
                  <c:v>85.778595</c:v>
                </c:pt>
              </c:numCache>
            </c:numRef>
          </c:val>
        </c:ser>
        <c:ser>
          <c:idx val="2"/>
          <c:order val="2"/>
          <c:tx>
            <c:strRef>
              <c:f>Sheet1!$E$18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Sheet1!$F$15:$Q$15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Sheet1!$F$18:$Q$18</c:f>
              <c:numCache>
                <c:formatCode>0</c:formatCode>
                <c:ptCount val="12"/>
                <c:pt idx="0">
                  <c:v>198.084785380141</c:v>
                </c:pt>
                <c:pt idx="1">
                  <c:v>230.098451145261</c:v>
                </c:pt>
                <c:pt idx="2">
                  <c:v>285.086769268614</c:v>
                </c:pt>
                <c:pt idx="3">
                  <c:v>325.163300195458</c:v>
                </c:pt>
                <c:pt idx="4">
                  <c:v>348.004399272682</c:v>
                </c:pt>
                <c:pt idx="5">
                  <c:v>379.31</c:v>
                </c:pt>
                <c:pt idx="6">
                  <c:v>394.59</c:v>
                </c:pt>
                <c:pt idx="7">
                  <c:v>419.05</c:v>
                </c:pt>
                <c:pt idx="8">
                  <c:v>438.14</c:v>
                </c:pt>
                <c:pt idx="9">
                  <c:v>456.04</c:v>
                </c:pt>
                <c:pt idx="10" c:formatCode="0.00">
                  <c:v>473.18</c:v>
                </c:pt>
                <c:pt idx="11" c:formatCode="0.00">
                  <c:v>489.315438</c:v>
                </c:pt>
              </c:numCache>
            </c:numRef>
          </c:val>
        </c:ser>
        <c:ser>
          <c:idx val="3"/>
          <c:order val="3"/>
          <c:tx>
            <c:strRef>
              <c:f>Sheet1!$E$19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Sheet1!$F$15:$Q$15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Sheet1!$F$19:$Q$19</c:f>
              <c:numCache>
                <c:formatCode>0</c:formatCode>
                <c:ptCount val="12"/>
                <c:pt idx="0">
                  <c:v>1.57029043459756</c:v>
                </c:pt>
                <c:pt idx="1">
                  <c:v>1.46707532987024</c:v>
                </c:pt>
                <c:pt idx="2">
                  <c:v>1.94720085486735</c:v>
                </c:pt>
                <c:pt idx="3">
                  <c:v>2.04279812840804</c:v>
                </c:pt>
                <c:pt idx="4">
                  <c:v>2.1146485259126</c:v>
                </c:pt>
                <c:pt idx="5">
                  <c:v>2.25</c:v>
                </c:pt>
                <c:pt idx="6">
                  <c:v>2.3</c:v>
                </c:pt>
                <c:pt idx="7">
                  <c:v>2.4</c:v>
                </c:pt>
                <c:pt idx="8">
                  <c:v>2.5</c:v>
                </c:pt>
                <c:pt idx="9">
                  <c:v>2.57</c:v>
                </c:pt>
                <c:pt idx="10" c:formatCode="0.00">
                  <c:v>2.64</c:v>
                </c:pt>
                <c:pt idx="11" c:formatCode="0.00">
                  <c:v>2.730024</c:v>
                </c:pt>
              </c:numCache>
            </c:numRef>
          </c:val>
        </c:ser>
        <c:ser>
          <c:idx val="4"/>
          <c:order val="4"/>
          <c:tx>
            <c:strRef>
              <c:f>Sheet1!$E$20</c:f>
              <c:strCache>
                <c:ptCount val="1"/>
                <c:pt idx="0">
                  <c:v>中东和非洲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Sheet1!$F$15:$Q$15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Sheet1!$F$20:$Q$20</c:f>
              <c:numCache>
                <c:formatCode>0</c:formatCode>
                <c:ptCount val="12"/>
                <c:pt idx="0">
                  <c:v>2.54997531106605</c:v>
                </c:pt>
                <c:pt idx="1">
                  <c:v>2.59340501917148</c:v>
                </c:pt>
                <c:pt idx="2">
                  <c:v>3.26149280329132</c:v>
                </c:pt>
                <c:pt idx="3">
                  <c:v>3.73397892654575</c:v>
                </c:pt>
                <c:pt idx="4">
                  <c:v>4.06454855501336</c:v>
                </c:pt>
                <c:pt idx="5">
                  <c:v>4.39</c:v>
                </c:pt>
                <c:pt idx="6">
                  <c:v>4.65</c:v>
                </c:pt>
                <c:pt idx="7">
                  <c:v>4.92</c:v>
                </c:pt>
                <c:pt idx="8">
                  <c:v>5.17</c:v>
                </c:pt>
                <c:pt idx="9">
                  <c:v>5.38</c:v>
                </c:pt>
                <c:pt idx="10" c:formatCode="0.00">
                  <c:v>5.6</c:v>
                </c:pt>
                <c:pt idx="11" c:formatCode="0.00">
                  <c:v>5.79096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2019 Vs 2023 VS 2030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Sheet1!$F$15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Sheet1!$E$16:$E$20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Sheet1!$F$16:$F$20</c:f>
              <c:numCache>
                <c:formatCode>0</c:formatCode>
                <c:ptCount val="5"/>
                <c:pt idx="0">
                  <c:v>89.613388658305</c:v>
                </c:pt>
                <c:pt idx="1">
                  <c:v>45.661560215891</c:v>
                </c:pt>
                <c:pt idx="2">
                  <c:v>198.084785380141</c:v>
                </c:pt>
                <c:pt idx="3">
                  <c:v>1.57029043459756</c:v>
                </c:pt>
                <c:pt idx="4">
                  <c:v>2.54997531106605</c:v>
                </c:pt>
              </c:numCache>
            </c:numRef>
          </c:val>
        </c:ser>
        <c:ser>
          <c:idx val="1"/>
          <c:order val="1"/>
          <c:tx>
            <c:strRef>
              <c:f>Sheet1!$J$15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Sheet1!$E$16:$E$20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Sheet1!$J$16:$J$20</c:f>
              <c:numCache>
                <c:formatCode>0</c:formatCode>
                <c:ptCount val="5"/>
                <c:pt idx="0">
                  <c:v>135.273476407422</c:v>
                </c:pt>
                <c:pt idx="1">
                  <c:v>74.3629272389705</c:v>
                </c:pt>
                <c:pt idx="2">
                  <c:v>348.004399272682</c:v>
                </c:pt>
                <c:pt idx="3">
                  <c:v>2.1146485259126</c:v>
                </c:pt>
                <c:pt idx="4">
                  <c:v>4.06454855501336</c:v>
                </c:pt>
              </c:numCache>
            </c:numRef>
          </c:val>
        </c:ser>
        <c:ser>
          <c:idx val="2"/>
          <c:order val="2"/>
          <c:tx>
            <c:strRef>
              <c:f>Sheet1!$Q$15</c:f>
              <c:strCache>
                <c:ptCount val="1"/>
                <c:pt idx="0">
                  <c:v>2030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Sheet1!$E$16:$E$20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Sheet1!$Q$16:$Q$20</c:f>
              <c:numCache>
                <c:formatCode>0.00</c:formatCode>
                <c:ptCount val="5"/>
                <c:pt idx="0">
                  <c:v>175.207563</c:v>
                </c:pt>
                <c:pt idx="1">
                  <c:v>85.778595</c:v>
                </c:pt>
                <c:pt idx="2">
                  <c:v>489.315438</c:v>
                </c:pt>
                <c:pt idx="3">
                  <c:v>2.730024</c:v>
                </c:pt>
                <c:pt idx="4">
                  <c:v>5.79096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0.54061</cdr:x>
      <cdr:y>0.21015</cdr:y>
    </cdr:from>
    <cdr:to>
      <cdr:x>0.777</cdr:x>
      <cdr:y>0.38563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45679" y="614115"/>
          <a:ext cx="1462949" cy="512800"/>
          <a:chOff x="2637044" y="971900"/>
          <a:chExt cx="1049114" cy="598763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637044" y="971900"/>
            <a:ext cx="1049114" cy="598763"/>
          </a:xfrm>
          <a:prstGeom xmlns:a="http://schemas.openxmlformats.org/drawingml/2006/main" prst="straightConnector1">
            <a:avLst/>
          </a:prstGeom>
          <a:ln w="15875">
            <a:solidFill>
              <a:srgbClr val="6826C8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122497">
            <a:off x="2871548" y="1136024"/>
            <a:ext cx="568770" cy="262720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solidFill>
              <a:srgbClr val="FF0000"/>
            </a:solidFill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3.76%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0.24234</cdr:x>
      <cdr:y>0.37921</cdr:y>
    </cdr:from>
    <cdr:to>
      <cdr:x>0.48131</cdr:x>
      <cdr:y>0.48427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99772" y="1108154"/>
          <a:ext cx="1478916" cy="307014"/>
          <a:chOff x="2829716" y="1154151"/>
          <a:chExt cx="1170371" cy="31056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2829716" y="1154151"/>
            <a:ext cx="1170371" cy="233258"/>
          </a:xfrm>
          <a:prstGeom xmlns:a="http://schemas.openxmlformats.org/drawingml/2006/main" prst="straightConnector1">
            <a:avLst/>
          </a:prstGeom>
          <a:ln w="15875">
            <a:solidFill>
              <a:srgbClr val="6826C8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9393375">
            <a:off x="2998496" y="1187219"/>
            <a:ext cx="595486" cy="277500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/>
              <a:t>13.69%</a:t>
            </a:r>
            <a:endParaRPr lang="zh-CN"/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3240E7-8DA4-4BF9-90DB-AED37BDA19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407</Words>
  <Characters>2324</Characters>
  <Lines>19</Lines>
  <Paragraphs>5</Paragraphs>
  <TotalTime>732</TotalTime>
  <ScaleCrop>false</ScaleCrop>
  <LinksUpToDate>false</LinksUpToDate>
  <CharactersWithSpaces>2726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2024-04-30T07:04:48Z</dcterms:modified>
  <cp:revision>783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2530EF5EB9B946B8969A1465398EE87C_12</vt:lpwstr>
  </property>
</Properties>
</file>