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779F3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生物基1,3-丙二醇行业</w:t>
      </w:r>
      <w:r>
        <w:rPr>
          <w:rFonts w:hint="eastAsia"/>
          <w:lang w:val="en-US" w:eastAsia="zh-CN"/>
        </w:rPr>
        <w:t>研究：</w:t>
      </w:r>
      <w:r>
        <w:rPr>
          <w:rFonts w:hint="eastAsia"/>
          <w:lang w:eastAsia="zh-CN"/>
        </w:rPr>
        <w:t>预计2031年</w:t>
      </w:r>
      <w:r>
        <w:rPr>
          <w:rFonts w:hint="eastAsia"/>
          <w:lang w:val="en-US" w:eastAsia="zh-CN"/>
        </w:rPr>
        <w:t>全球</w:t>
      </w:r>
      <w:r>
        <w:rPr>
          <w:rFonts w:hint="eastAsia"/>
          <w:lang w:eastAsia="zh-CN"/>
        </w:rPr>
        <w:t>市场规模将为37.15亿美元</w:t>
      </w:r>
    </w:p>
    <w:bookmarkEnd w:id="0"/>
    <w:p w14:paraId="195CA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31817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1,3-丙二醇（1,3-Propanediol，简称PDO）是一种无色透明粘稠液体，具有吸湿性，主要应用于化妆品、医药中间体、PTT聚酯（聚对苯二甲酸丙二醇酯）、涂料及润滑剂等领域。其核心价值在于：</w:t>
      </w:r>
    </w:p>
    <w:p w14:paraId="26C14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环保替代性：生物基PDO通过发酵法生产，可替代传统石油基原料，符合全球“碳中和”趋势。</w:t>
      </w:r>
    </w:p>
    <w:p w14:paraId="18E3D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高性能材料：PTT聚酯兼具聚酯的抗皱性和聚酰胺的柔软性，被视为下一代高端纺织材料。</w:t>
      </w:r>
    </w:p>
    <w:p w14:paraId="0908A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4310" cy="1894205"/>
            <wp:effectExtent l="0" t="0" r="2540" b="10795"/>
            <wp:docPr id="1" name="图片 1" descr="生物基1,3-丙二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生物基1,3-丙二醇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B2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二、供应链结构与产业链分析</w:t>
      </w:r>
    </w:p>
    <w:p w14:paraId="44340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上游原材料：</w:t>
      </w:r>
    </w:p>
    <w:p w14:paraId="26A7E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葡萄糖转化法（占比91%）：以玉米糖浆、葡萄糖为原料，成本受农产品价格波动影响（2024年成本占比约65%）。</w:t>
      </w:r>
    </w:p>
    <w:p w14:paraId="5782E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生物柴油转化法（占比9%）：以甘油为原料，技术成熟但成本稳定性较差。</w:t>
      </w:r>
    </w:p>
    <w:p w14:paraId="2995E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中游生产制造：</w:t>
      </w:r>
    </w:p>
    <w:p w14:paraId="3D1C7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全球产能分布：中国厂商（华峰集团、清大智兴等）占据主导地位，合计市场份额超89%，北美与欧洲厂商合计占比不足11%。</w:t>
      </w:r>
    </w:p>
    <w:p w14:paraId="54E27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技术壁垒：华峰集团（DuPont）掌握葡萄糖转化法核心专利，产能效率领先行业20%以上；清大智兴通过工艺优化，生产成本较国际同行低15%。</w:t>
      </w:r>
    </w:p>
    <w:p w14:paraId="0D027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下游应用场景：</w:t>
      </w:r>
    </w:p>
    <w:p w14:paraId="5B1FE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PTT聚酯（占比79%）：需求驱动因素包括全球快时尚品牌环保转型、中国纺织业升级。</w:t>
      </w:r>
    </w:p>
    <w:p w14:paraId="4BFA6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化妆品与医药（合计占比15%）：需求稳定，年增5%-7%，受新兴市场消费升级推动。</w:t>
      </w:r>
    </w:p>
    <w:p w14:paraId="4E79F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其他领域（占比6%）：如涂料、润滑剂等，需求分散但增速较慢（CAGR 3%）。</w:t>
      </w:r>
    </w:p>
    <w:p w14:paraId="3FFC0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三、主要生产商与竞争格局</w:t>
      </w:r>
    </w:p>
    <w:p w14:paraId="11BCC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企业名称核心优势2024年全球份额战略动向</w:t>
      </w:r>
    </w:p>
    <w:p w14:paraId="55A6E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华峰集团（DuPont）葡萄糖转化法专利垄断，产能效率领先行业20%55%加速东南亚布局，推动“技术-品牌”双驱动全球化</w:t>
      </w:r>
    </w:p>
    <w:p w14:paraId="6AF7F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清大智兴成本优势显著，工艺优化能力突出20%拓展中东市场，开发高附加值医药级PDO产品</w:t>
      </w:r>
    </w:p>
    <w:p w14:paraId="59D55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张家港美景荣化学工业本土化供应链完善，响应速度优势10%深化与印度、东盟合作，开发差异化PTT聚酯</w:t>
      </w:r>
    </w:p>
    <w:p w14:paraId="7A9CC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江苏盛虹（苏州苏震）生物柴油转化法技术储备深厚4%联合高校研发新一代发酵菌株，降低生产成本10%</w:t>
      </w:r>
    </w:p>
    <w:p w14:paraId="6EA17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竞争趋势：</w:t>
      </w:r>
    </w:p>
    <w:p w14:paraId="6BAB9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头部企业通过技术授权（如华峰集团向东南亚厂商授权葡萄糖转化法）扩大市场份额；</w:t>
      </w:r>
    </w:p>
    <w:p w14:paraId="1C53B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中小厂商聚焦细分领域（如医药级PDO），通过差异化竞争抢占中低端市场。</w:t>
      </w:r>
    </w:p>
    <w:p w14:paraId="08ECE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四、政策环境与行业挑战</w:t>
      </w:r>
    </w:p>
    <w:p w14:paraId="1B0FF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美国关税政策：</w:t>
      </w:r>
    </w:p>
    <w:p w14:paraId="24CF9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对中国PDO加征25%关税，导致中国对美出口占比从2020年的30%降至2024年的15%。</w:t>
      </w:r>
    </w:p>
    <w:p w14:paraId="6AD82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倒逼中国企业加速重构全球供应链，通过“区域制造中心+本地化生产”模式规避贸易壁垒。</w:t>
      </w:r>
    </w:p>
    <w:p w14:paraId="51AEE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区域政策联动：</w:t>
      </w:r>
    </w:p>
    <w:p w14:paraId="3C085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欧盟：REACH法规要求PDO生物降解率≥90%，推动企业向生物基工艺转型。</w:t>
      </w:r>
    </w:p>
    <w:p w14:paraId="7FE87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东南亚：RCEP零关税政策促进中日韩产业链协同，中国-东盟自由贸易区推动PDO本地化生产。</w:t>
      </w:r>
    </w:p>
    <w:p w14:paraId="3BBC1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中东：沙特“2030愿景”支持生物材料研发，为中国企业提供产能转移机遇。</w:t>
      </w:r>
    </w:p>
    <w:p w14:paraId="60DF8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合规与认证挑战：</w:t>
      </w:r>
    </w:p>
    <w:p w14:paraId="1E855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医药级PDO需通过FDA、EMA认证，认证周期长、成本高（单产品认证费用约50万美元）。</w:t>
      </w:r>
    </w:p>
    <w:p w14:paraId="0D7E3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化妆品级PDO需符合欧盟COSMOS标准，推动企业建立全球化合规体系。</w:t>
      </w:r>
    </w:p>
    <w:p w14:paraId="35054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五、市场现状与增长驱动</w:t>
      </w:r>
    </w:p>
    <w:p w14:paraId="27726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市场规模与预测：</w:t>
      </w:r>
    </w:p>
    <w:p w14:paraId="0ED8B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2024年全球生物基PDO销售额：8.18亿美元（CAGR 24.5%，2025-2031年）。</w:t>
      </w:r>
    </w:p>
    <w:p w14:paraId="50AAA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区域增长点：</w:t>
      </w:r>
    </w:p>
    <w:p w14:paraId="17DDD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亚太：中国、印度纺织业升级，2031年市场规模预计达25亿美元。</w:t>
      </w:r>
    </w:p>
    <w:p w14:paraId="34760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东南亚：越南、泰国快时尚品牌需求激增，年增30%以上。</w:t>
      </w:r>
    </w:p>
    <w:p w14:paraId="5613E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中东：沙特、阿联酋生物材料项目落地，2031年市场份额预计达5%。</w:t>
      </w:r>
    </w:p>
    <w:p w14:paraId="4336F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产品类型趋势：</w:t>
      </w:r>
    </w:p>
    <w:p w14:paraId="200E4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葡萄糖转化法（占比91%）：成本敏感型市场，年增25%。</w:t>
      </w:r>
    </w:p>
    <w:p w14:paraId="14164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生物柴油转化法（占比9%）：高附加值领域，年增18%。</w:t>
      </w:r>
    </w:p>
    <w:p w14:paraId="68347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应用领域扩展：</w:t>
      </w:r>
    </w:p>
    <w:p w14:paraId="55F30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PTT聚酯（新兴领域）：2024年占比79%，预计2031年增至85%，驱动因素为全球环保法规与快时尚品牌需求。</w:t>
      </w:r>
    </w:p>
    <w:p w14:paraId="1F49A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医药与化妆品（稳定领域）：年增7%-10%，需求受新兴市场消费升级推动。</w:t>
      </w:r>
    </w:p>
    <w:p w14:paraId="540B3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六、未来发展趋势与投资建议</w:t>
      </w:r>
    </w:p>
    <w:p w14:paraId="06B7F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技术升级方向：</w:t>
      </w:r>
    </w:p>
    <w:p w14:paraId="652DD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新一代发酵菌株：通过基因工程优化菌株，降低生产成本20%（目标2025年实现）。</w:t>
      </w:r>
    </w:p>
    <w:p w14:paraId="5482A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绿色工艺：二氧化碳催化转化PDO技术进入中试阶段，预计2030年商业化。</w:t>
      </w:r>
    </w:p>
    <w:p w14:paraId="1AF45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区域市场策略：</w:t>
      </w:r>
    </w:p>
    <w:p w14:paraId="652FE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欧美市场：通过并购本地企业（如华峰集团收购欧洲小型厂商）突破技术壁垒。</w:t>
      </w:r>
    </w:p>
    <w:p w14:paraId="43117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东南亚市场：依托RCEP零关税政策，建设“本地化研发+生产”一体化基地。</w:t>
      </w:r>
    </w:p>
    <w:p w14:paraId="39F6A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中东市场：联合沙特企业共建生物材料产业园，共享政策红利。</w:t>
      </w:r>
    </w:p>
    <w:p w14:paraId="07C7A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投资风险与机遇：</w:t>
      </w:r>
    </w:p>
    <w:p w14:paraId="0FFAD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风险：国际贸易摩擦、原材料价格波动、环保合规成本。</w:t>
      </w:r>
    </w:p>
    <w:p w14:paraId="5F6E2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机遇：新兴市场纺织业升级、新能源产业链配套需求、数字贸易平台赋能。</w:t>
      </w:r>
    </w:p>
    <w:p w14:paraId="32C57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七、结论与战略建议</w:t>
      </w:r>
    </w:p>
    <w:p w14:paraId="17C3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短期策略：</w:t>
      </w:r>
    </w:p>
    <w:p w14:paraId="1B344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加速东南亚、中东、东欧市场布局，通过差异化产品（如高纯度医药级PDO）抢占份额。</w:t>
      </w:r>
    </w:p>
    <w:p w14:paraId="32234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推动“技术-成本”双驱动，提升产品附加值（目标毛利率从40%提升至50%）。</w:t>
      </w:r>
    </w:p>
    <w:p w14:paraId="737F5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长期战略：</w:t>
      </w:r>
    </w:p>
    <w:p w14:paraId="05DF3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构建全球供应链韧性，建立“中国-东南亚-中东”三角产能网络。</w:t>
      </w:r>
    </w:p>
    <w:p w14:paraId="797A7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依托“一带一路”深化区域协同，参与国际标准制定（如ISO PDO检测标准）。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2025年全球及中国生物基1,3-丙二醇企业出海开展业务规划及策略研究报告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生物基1,3-丙二醇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8245776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636486/bio-based-1-3-propanediol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2025-05-29T07:05:22Z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