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15143481"/>
      <w:bookmarkStart w:id="2" w:name="OLE_LINK15"/>
      <w:bookmarkStart w:id="3" w:name="_Toc453597319"/>
      <w:bookmarkStart w:id="4" w:name="_Toc438987549"/>
      <w:bookmarkStart w:id="5" w:name="_Toc415818939"/>
      <w:bookmarkStart w:id="6" w:name="_Toc481801204"/>
      <w:bookmarkStart w:id="7" w:name="OLE_LINK13"/>
      <w:bookmarkStart w:id="8" w:name="_Toc418070112"/>
      <w:bookmarkStart w:id="9" w:name="OLE_LINK39"/>
      <w:bookmarkStart w:id="10" w:name="_Toc415142861"/>
      <w:bookmarkStart w:id="11" w:name="OLE_LINK24"/>
      <w:bookmarkStart w:id="12" w:name="OLE_LINK40"/>
      <w:r>
        <w:rPr>
          <w:lang w:eastAsia="zh-CN"/>
        </w:rPr>
        <w:t>电解铜箔制造设备</w:t>
      </w:r>
      <w:r>
        <w:rPr>
          <w:rFonts w:hint="eastAsia"/>
          <w:lang w:eastAsia="zh-CN"/>
        </w:rPr>
        <w:t>全球市场总体规模</w:t>
      </w:r>
    </w:p>
    <w:p w14:paraId="7A4DDEBA">
      <w:pPr>
        <w:pStyle w:val="145"/>
        <w:rPr>
          <w:lang w:eastAsia="zh-CN"/>
        </w:rPr>
      </w:pPr>
      <w:r>
        <w:rPr>
          <w:rFonts w:hint="eastAsia"/>
          <w:lang w:eastAsia="zh-CN"/>
        </w:rPr>
        <w:t>电解铜箔制造设备是生产优质铜箔的专用设备，将电流通入铜离子溶液中，使溶液中的铜离子在阴极上析出成铜箔。该设备通常包括电解槽、供电系统、搅拌设备、自动控制系统、冷却系统等部件，以保证生产过程稳定、铜箔质量优良。该设备在电子、通讯等领域有着重要的应用，应用范围广、效率高，可满足不同行业对铜箔产品的需求。本文主要统计阴极辊、阳极板和阳极槽。</w:t>
      </w:r>
    </w:p>
    <w:p w14:paraId="0F7B0A98">
      <w:pPr>
        <w:pStyle w:val="145"/>
        <w:rPr>
          <w:lang w:eastAsia="zh-CN"/>
        </w:rPr>
      </w:pPr>
      <w:r>
        <w:rPr>
          <w:rFonts w:hint="eastAsia"/>
        </w:rPr>
        <w:drawing>
          <wp:inline distT="0" distB="0" distL="0" distR="0">
            <wp:extent cx="6188710" cy="2365375"/>
            <wp:effectExtent l="0" t="0" r="2540" b="0"/>
            <wp:docPr id="1362213859"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213859" name="图片 8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188710" cy="2365755"/>
                    </a:xfrm>
                    <a:prstGeom prst="rect">
                      <a:avLst/>
                    </a:prstGeom>
                    <a:noFill/>
                  </pic:spPr>
                </pic:pic>
              </a:graphicData>
            </a:graphic>
          </wp:inline>
        </w:drawing>
      </w:r>
    </w:p>
    <w:p w14:paraId="12FD9BEF">
      <w:pPr>
        <w:pStyle w:val="145"/>
        <w:rPr>
          <w:lang w:eastAsia="zh-CN"/>
        </w:rPr>
      </w:pPr>
      <w:r>
        <w:rPr>
          <w:rFonts w:hint="eastAsia"/>
          <w:lang w:eastAsia="zh-CN"/>
        </w:rPr>
        <w:t>根据QYResearch最新调研报告显示，预计2</w:t>
      </w:r>
      <w:r>
        <w:rPr>
          <w:lang w:eastAsia="zh-CN"/>
        </w:rPr>
        <w:t>030</w:t>
      </w:r>
      <w:r>
        <w:rPr>
          <w:rFonts w:hint="eastAsia"/>
          <w:lang w:eastAsia="zh-CN"/>
        </w:rPr>
        <w:t>年全球</w:t>
      </w:r>
      <w:r>
        <w:rPr>
          <w:lang w:eastAsia="zh-CN"/>
        </w:rPr>
        <w:t>电解铜箔制造设备</w:t>
      </w:r>
      <w:r>
        <w:rPr>
          <w:rFonts w:hint="eastAsia"/>
          <w:lang w:eastAsia="zh-CN"/>
        </w:rPr>
        <w:t>市场规模将达到9.35亿美元，未来几年年复合增长率CAGR为9.79%。</w:t>
      </w:r>
    </w:p>
    <w:p w14:paraId="720E31E2">
      <w:pPr>
        <w:pStyle w:val="148"/>
        <w:rPr>
          <w:lang w:eastAsia="zh-CN"/>
        </w:rPr>
      </w:pPr>
      <w:r>
        <w:rPr>
          <w:rFonts w:hint="eastAsia"/>
          <w:lang w:eastAsia="zh-CN"/>
        </w:rPr>
        <w:t>全球</w:t>
      </w:r>
      <w:r>
        <w:rPr>
          <w:lang w:eastAsia="zh-CN"/>
        </w:rPr>
        <w:t>电解铜箔制造设备</w:t>
      </w:r>
      <w:r>
        <w:rPr>
          <w:rFonts w:hint="eastAsia"/>
          <w:lang w:eastAsia="zh-CN"/>
        </w:rPr>
        <w:t>市场前18强生产商排名及市场占有率（基于2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6115685" cy="5503545"/>
            <wp:effectExtent l="0" t="0" r="0" b="1905"/>
            <wp:docPr id="70872362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如上图表/数据，摘自QYResearch报告“全球</w:t>
      </w:r>
      <w:r>
        <w:rPr>
          <w:lang w:eastAsia="zh-CN"/>
        </w:rPr>
        <w:t>电解铜箔制造设备</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3B2E5865">
      <w:pPr>
        <w:pStyle w:val="145"/>
        <w:rPr>
          <w:lang w:eastAsia="zh-CN"/>
        </w:rPr>
      </w:pPr>
      <w:r>
        <w:rPr>
          <w:rFonts w:hint="eastAsia"/>
          <w:lang w:eastAsia="zh-CN"/>
        </w:rPr>
        <w:t>根据QYResearch头部企业研究中心调研，全球范围内电解铜箔制造设备生产商主要包括泰金新能科技、西安航天源动力工程、洪田科技、迪诺拉、Nippon Steel Kozai、MIFUNE Corporation、Core Steel、江阴米尔克电解设备有限公司、江阴安诺电极有限公司、钛默妮（苏州）科技有限公司等。2022年，全球前十强厂商占有大约83.0%的市场份额。</w:t>
      </w:r>
    </w:p>
    <w:p w14:paraId="41C3AE68">
      <w:pPr>
        <w:pStyle w:val="145"/>
        <w:rPr>
          <w:lang w:eastAsia="zh-CN"/>
        </w:rPr>
      </w:pPr>
      <w:r>
        <w:rPr>
          <w:rFonts w:hint="eastAsia"/>
          <w:lang w:eastAsia="zh-CN"/>
        </w:rPr>
        <w:t>就产品类型而言，目前阴极辊是最主要的细分产品，占据大约60.9%的份额。阴极辊是电解铜箔生产设备中的重要部件，在电解过程中作为阴极材料，在直流电作用下将铜离子还原为铜箔。阴极辊的设计和制造对铜箔的质量和成品率有着重要的影响。</w:t>
      </w:r>
    </w:p>
    <w:p w14:paraId="4B5D90DE">
      <w:pPr>
        <w:pStyle w:val="145"/>
        <w:rPr>
          <w:lang w:eastAsia="zh-CN"/>
        </w:rPr>
      </w:pPr>
      <w:r>
        <w:rPr>
          <w:rFonts w:hint="eastAsia"/>
          <w:lang w:eastAsia="zh-CN"/>
        </w:rPr>
        <w:t>就产品应用而言，目前锂电铜箔是最主要的需求来源，占据大约87.7%的份额。</w:t>
      </w:r>
    </w:p>
    <w:p w14:paraId="0CD10F4E">
      <w:pPr>
        <w:pStyle w:val="148"/>
        <w:rPr>
          <w:lang w:eastAsia="zh-CN"/>
        </w:rPr>
      </w:pPr>
      <w:r>
        <w:rPr>
          <w:rFonts w:hint="eastAsia"/>
          <w:lang w:eastAsia="zh-CN"/>
        </w:rPr>
        <w:t>全球主要市场</w:t>
      </w:r>
      <w:r>
        <w:rPr>
          <w:lang w:eastAsia="zh-CN"/>
        </w:rPr>
        <w:t>电解铜箔制造设备</w:t>
      </w:r>
      <w:r>
        <w:rPr>
          <w:rFonts w:hint="eastAsia"/>
          <w:lang w:eastAsia="zh-CN"/>
        </w:rPr>
        <w:t>规模</w:t>
      </w:r>
    </w:p>
    <w:p w14:paraId="4B44D8E9">
      <w:pPr>
        <w:pStyle w:val="145"/>
        <w:rPr>
          <w:lang w:val="en-US" w:eastAsia="zh-CN"/>
        </w:rPr>
      </w:pPr>
      <w:r>
        <w:drawing>
          <wp:inline distT="0" distB="0" distL="0" distR="0">
            <wp:extent cx="6188710" cy="2922270"/>
            <wp:effectExtent l="0" t="0" r="2540" b="0"/>
            <wp:docPr id="173172749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65C5B20">
      <w:pPr>
        <w:pStyle w:val="143"/>
        <w:rPr>
          <w:lang w:eastAsia="zh-CN"/>
        </w:rPr>
      </w:pPr>
      <w:r>
        <w:rPr>
          <w:rFonts w:hint="eastAsia"/>
          <w:lang w:eastAsia="zh-CN"/>
        </w:rPr>
        <w:t>如上图表/数据，摘自QYResearch最新报告“全球</w:t>
      </w:r>
      <w:r>
        <w:rPr>
          <w:lang w:eastAsia="zh-CN"/>
        </w:rPr>
        <w:t>电解铜箔制造设备</w:t>
      </w:r>
      <w:r>
        <w:rPr>
          <w:rFonts w:hint="eastAsia"/>
          <w:lang w:eastAsia="zh-CN"/>
        </w:rPr>
        <w:t>市场研究报告2024-2030”</w:t>
      </w:r>
      <w:r>
        <w:rPr>
          <w:lang w:eastAsia="zh-CN"/>
        </w:rPr>
        <w:t>.</w:t>
      </w:r>
    </w:p>
    <w:p w14:paraId="4020B357">
      <w:pPr>
        <w:pStyle w:val="145"/>
        <w:rPr>
          <w:lang w:eastAsia="zh-CN"/>
        </w:rPr>
      </w:pPr>
    </w:p>
    <w:p w14:paraId="418CECD8">
      <w:pPr>
        <w:pStyle w:val="145"/>
        <w:rPr>
          <w:lang w:eastAsia="zh-CN"/>
        </w:rPr>
      </w:pPr>
      <w:r>
        <w:rPr>
          <w:rFonts w:hint="eastAsia"/>
          <w:lang w:eastAsia="zh-CN"/>
        </w:rPr>
        <w:t>主要驱动因素</w:t>
      </w:r>
      <w:r>
        <w:rPr>
          <w:lang w:eastAsia="zh-CN"/>
        </w:rPr>
        <w:t>:</w:t>
      </w:r>
    </w:p>
    <w:p w14:paraId="7E9D6DD4">
      <w:pPr>
        <w:pStyle w:val="145"/>
        <w:rPr>
          <w:lang w:eastAsia="zh-CN"/>
        </w:rPr>
      </w:pPr>
      <w:r>
        <w:rPr>
          <w:rFonts w:hint="eastAsia"/>
          <w:lang w:eastAsia="zh-CN"/>
        </w:rPr>
        <w:t>电动汽车 (EV) 和锂电池市场的扩张：</w:t>
      </w:r>
    </w:p>
    <w:p w14:paraId="5666E4F2">
      <w:pPr>
        <w:pStyle w:val="145"/>
        <w:rPr>
          <w:lang w:eastAsia="zh-CN"/>
        </w:rPr>
      </w:pPr>
      <w:r>
        <w:rPr>
          <w:rFonts w:hint="eastAsia"/>
          <w:lang w:eastAsia="zh-CN"/>
        </w:rPr>
        <w:t>电动汽车和锂电池需求的不断增长为电解铜箔制造设备带来了重大机遇。铜箔是这些应用中的关键组件，需要高质量和一致的生产才能满足不断增长的市场需求。</w:t>
      </w:r>
    </w:p>
    <w:p w14:paraId="446A06E2">
      <w:pPr>
        <w:pStyle w:val="145"/>
        <w:rPr>
          <w:lang w:eastAsia="zh-CN"/>
        </w:rPr>
      </w:pPr>
      <w:r>
        <w:rPr>
          <w:rFonts w:hint="eastAsia"/>
          <w:lang w:eastAsia="zh-CN"/>
        </w:rPr>
        <w:t>主要阻碍因素</w:t>
      </w:r>
      <w:r>
        <w:rPr>
          <w:lang w:eastAsia="zh-CN"/>
        </w:rPr>
        <w:t>:</w:t>
      </w:r>
    </w:p>
    <w:p w14:paraId="3380BAED">
      <w:pPr>
        <w:pStyle w:val="145"/>
        <w:rPr>
          <w:lang w:eastAsia="zh-CN"/>
        </w:rPr>
      </w:pPr>
      <w:r>
        <w:rPr>
          <w:rFonts w:hint="eastAsia"/>
          <w:lang w:eastAsia="zh-CN"/>
        </w:rPr>
        <w:t>技术壁垒高：</w:t>
      </w:r>
    </w:p>
    <w:p w14:paraId="3296E651">
      <w:pPr>
        <w:pStyle w:val="145"/>
        <w:rPr>
          <w:lang w:eastAsia="zh-CN"/>
        </w:rPr>
      </w:pPr>
      <w:r>
        <w:rPr>
          <w:rFonts w:hint="eastAsia"/>
          <w:lang w:eastAsia="zh-CN"/>
        </w:rPr>
        <w:t>该行业存在巨大的技术壁垒，阻碍了新竞争对手的进入。这导致行业产能释放缓慢，导致供应紧张。此外，为了提高生产效率，对直径更大的阴极鼓的需求不断增长，这反过来又给现有制造商带来了挑战。</w:t>
      </w:r>
    </w:p>
    <w:p w14:paraId="620E7F93">
      <w:pPr>
        <w:pStyle w:val="145"/>
        <w:rPr>
          <w:lang w:eastAsia="zh-CN"/>
        </w:rPr>
      </w:pPr>
      <w:r>
        <w:rPr>
          <w:rFonts w:hint="eastAsia"/>
          <w:lang w:eastAsia="zh-CN"/>
        </w:rPr>
        <w:t>行业发展机遇</w:t>
      </w:r>
      <w:r>
        <w:rPr>
          <w:lang w:eastAsia="zh-CN"/>
        </w:rPr>
        <w:t>:</w:t>
      </w:r>
    </w:p>
    <w:p w14:paraId="6875CE01">
      <w:pPr>
        <w:pStyle w:val="145"/>
        <w:rPr>
          <w:lang w:eastAsia="zh-CN"/>
        </w:rPr>
      </w:pPr>
      <w:r>
        <w:rPr>
          <w:rFonts w:hint="eastAsia"/>
          <w:lang w:eastAsia="zh-CN"/>
        </w:rPr>
        <w:t>大直径阴极辊：铜箔生产技术的发展，例如直径更大的阴极辊和改进的表面处理，可以开拓新的市场并增加电解铜箔制造设备的采用。</w:t>
      </w:r>
    </w:p>
    <w:p w14:paraId="4677FC25">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62"/>
      </w:tblGrid>
      <w:tr w14:paraId="03F5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6" w:hRule="atLeast"/>
        </w:trPr>
        <w:tc>
          <w:tcPr>
            <w:tcW w:w="5000" w:type="pct"/>
          </w:tcPr>
          <w:p w14:paraId="23C3AC6E">
            <w:pPr>
              <w:rPr>
                <w:rFonts w:cs="Times New Roman"/>
                <w:kern w:val="0"/>
                <w:sz w:val="20"/>
                <w:szCs w:val="20"/>
              </w:rPr>
            </w:pPr>
            <w:bookmarkStart w:id="13" w:name="_Hlk160145936"/>
            <w:r>
              <w:rPr>
                <w:rFonts w:hint="eastAsia" w:cs="Times New Roman"/>
                <w:kern w:val="0"/>
                <w:sz w:val="20"/>
                <w:szCs w:val="20"/>
              </w:rPr>
              <w:t>董家时--本文主要分析师</w:t>
            </w:r>
          </w:p>
          <w:p w14:paraId="7FCD59A7">
            <w:pPr>
              <w:rPr>
                <w:rFonts w:cs="Times New Roman"/>
                <w:kern w:val="0"/>
                <w:sz w:val="20"/>
                <w:szCs w:val="20"/>
              </w:rPr>
            </w:pPr>
            <w:r>
              <w:rPr>
                <w:rFonts w:hint="eastAsia" w:cs="Times New Roman"/>
                <w:kern w:val="0"/>
                <w:sz w:val="20"/>
                <w:szCs w:val="20"/>
              </w:rPr>
              <w:t>QYResearch南宁研究中心分析师，作为QYResearch半导体设备和材料部门的成员，主要研究领域有其汽车电子、半导体设备、材料和导热粉末领域，部分细分研究课题包括汽车二极管、汽车电感、汽车激光雷达、射频电源、塑封机、高纯有色金属、电池材料、前驱体、电镀设备、导热球铝、半导体化学镀液、半导体涂层器件等，同时也从事细分市场报告的开发，并参与定制项目的撰写。</w:t>
            </w:r>
          </w:p>
        </w:tc>
      </w:tr>
      <w:bookmarkEnd w:id="13"/>
    </w:tbl>
    <w:p w14:paraId="05CB6500">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2"/>
                    <a:stretch>
                      <a:fillRect/>
                    </a:stretch>
                  </pic:blipFill>
                  <pic:spPr>
                    <a:xfrm>
                      <a:off x="0" y="0"/>
                      <a:ext cx="1219048" cy="552381"/>
                    </a:xfrm>
                    <a:prstGeom prst="rect">
                      <a:avLst/>
                    </a:prstGeom>
                  </pic:spPr>
                </pic:pic>
              </a:graphicData>
            </a:graphic>
          </wp:inline>
        </w:drawing>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07A95001">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bookmarkStart w:id="14" w:name="_GoBack"/>
      <w:bookmarkEnd w:id="14"/>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CA2"/>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B7E09"/>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0DFF"/>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1A1"/>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4"/>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B7D"/>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46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B5E"/>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52E"/>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499"/>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2CB4"/>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24"/>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B6F"/>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78B"/>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50F1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30005;&#35299;&#38108;&#31636;&#21046;&#36896;&#35774;&#22791;\&#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30005;&#35299;&#38108;&#31636;&#21046;&#36896;&#35774;&#22791;\&#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Pt>
            <c:idx val="9"/>
            <c:invertIfNegative val="0"/>
            <c:bubble3D val="0"/>
            <c:spPr>
              <a:solidFill>
                <a:srgbClr val="002060"/>
              </a:solidFill>
              <a:ln>
                <a:noFill/>
              </a:ln>
              <a:effectLst/>
            </c:spPr>
          </c:dPt>
          <c:dPt>
            <c:idx val="10"/>
            <c:invertIfNegative val="0"/>
            <c:bubble3D val="0"/>
            <c:spPr>
              <a:solidFill>
                <a:srgbClr val="002060"/>
              </a:solidFill>
              <a:ln>
                <a:noFill/>
              </a:ln>
              <a:effectLst/>
            </c:spPr>
          </c:dPt>
          <c:dPt>
            <c:idx val="11"/>
            <c:invertIfNegative val="0"/>
            <c:bubble3D val="0"/>
            <c:spPr>
              <a:solidFill>
                <a:srgbClr val="002060"/>
              </a:solidFill>
              <a:ln>
                <a:noFill/>
              </a:ln>
              <a:effectLst/>
            </c:spPr>
          </c:dPt>
          <c:dPt>
            <c:idx val="12"/>
            <c:invertIfNegative val="0"/>
            <c:bubble3D val="0"/>
            <c:spPr>
              <a:solidFill>
                <a:srgbClr val="002060"/>
              </a:solidFill>
              <a:ln>
                <a:noFill/>
              </a:ln>
              <a:effectLst/>
            </c:spPr>
          </c:dPt>
          <c:dPt>
            <c:idx val="13"/>
            <c:invertIfNegative val="0"/>
            <c:bubble3D val="0"/>
            <c:spPr>
              <a:solidFill>
                <a:srgbClr val="002060"/>
              </a:solidFill>
              <a:ln>
                <a:noFill/>
              </a:ln>
              <a:effectLst/>
            </c:spPr>
          </c:dPt>
          <c:dPt>
            <c:idx val="14"/>
            <c:invertIfNegative val="0"/>
            <c:bubble3D val="0"/>
            <c:spPr>
              <a:solidFill>
                <a:srgbClr val="002060"/>
              </a:solidFill>
              <a:ln>
                <a:noFill/>
              </a:ln>
              <a:effectLst/>
            </c:spPr>
          </c:dPt>
          <c:dPt>
            <c:idx val="15"/>
            <c:invertIfNegative val="0"/>
            <c:bubble3D val="0"/>
            <c:spPr>
              <a:solidFill>
                <a:srgbClr val="002060"/>
              </a:solidFill>
              <a:ln>
                <a:noFill/>
              </a:ln>
              <a:effectLst/>
            </c:spPr>
          </c:dPt>
          <c:dPt>
            <c:idx val="16"/>
            <c:invertIfNegative val="0"/>
            <c:bubble3D val="0"/>
            <c:spPr>
              <a:solidFill>
                <a:srgbClr val="002060"/>
              </a:solidFill>
              <a:ln>
                <a:noFill/>
              </a:ln>
              <a:effectLst/>
            </c:spPr>
          </c:dPt>
          <c:dPt>
            <c:idx val="17"/>
            <c:invertIfNegative val="0"/>
            <c:bubble3D val="0"/>
            <c:spPr>
              <a:solidFill>
                <a:srgbClr val="002060"/>
              </a:solidFill>
              <a:ln>
                <a:noFill/>
              </a:ln>
              <a:effectLst/>
            </c:spPr>
          </c:dPt>
          <c:dLbls>
            <c:delete val="1"/>
          </c:dLbls>
          <c:cat>
            <c:strRef>
              <c:f>企业收入!$H$2:$H$19</c:f>
              <c:strCache>
                <c:ptCount val="18"/>
                <c:pt idx="0">
                  <c:v>泰金新能科技</c:v>
                </c:pt>
                <c:pt idx="1">
                  <c:v>西安航天源动力工程</c:v>
                </c:pt>
                <c:pt idx="2">
                  <c:v>洪田科技</c:v>
                </c:pt>
                <c:pt idx="3">
                  <c:v>迪诺拉</c:v>
                </c:pt>
                <c:pt idx="4">
                  <c:v>Nippon Steel Kozai</c:v>
                </c:pt>
                <c:pt idx="5">
                  <c:v>MIFUNE Corporation</c:v>
                </c:pt>
                <c:pt idx="6">
                  <c:v>Core Steel</c:v>
                </c:pt>
                <c:pt idx="7">
                  <c:v>江阴米尔克电解设备有限公司</c:v>
                </c:pt>
                <c:pt idx="8">
                  <c:v>江阴安诺电极有限公司</c:v>
                </c:pt>
                <c:pt idx="9">
                  <c:v>钛默妮（苏州）科技有限公司</c:v>
                </c:pt>
                <c:pt idx="10">
                  <c:v>Akahoshi Inc</c:v>
                </c:pt>
                <c:pt idx="11">
                  <c:v>NEWLONG</c:v>
                </c:pt>
                <c:pt idx="12">
                  <c:v>马赫内托</c:v>
                </c:pt>
                <c:pt idx="13">
                  <c:v>宝鸡市昌立特种金属有限公司</c:v>
                </c:pt>
                <c:pt idx="14">
                  <c:v>苏州舒尔泰工业科技有限公司</c:v>
                </c:pt>
                <c:pt idx="15">
                  <c:v>陕西优创环保科技有限公司</c:v>
                </c:pt>
                <c:pt idx="16">
                  <c:v>广州鸿葳科技股份有限公司</c:v>
                </c:pt>
                <c:pt idx="17">
                  <c:v>East Valley TNC/TN Tech</c:v>
                </c:pt>
              </c:strCache>
            </c:strRef>
          </c:cat>
          <c:val>
            <c:numRef>
              <c:f>企业收入!$I$2:$I$19</c:f>
              <c:numCache>
                <c:formatCode>0.0%</c:formatCode>
                <c:ptCount val="18"/>
                <c:pt idx="0">
                  <c:v>0.244584098017471</c:v>
                </c:pt>
                <c:pt idx="1">
                  <c:v>0.15096112407188</c:v>
                </c:pt>
                <c:pt idx="2">
                  <c:v>0.142860164074758</c:v>
                </c:pt>
                <c:pt idx="3">
                  <c:v>0.077484185053911</c:v>
                </c:pt>
                <c:pt idx="4">
                  <c:v>0.0624766107597573</c:v>
                </c:pt>
                <c:pt idx="5">
                  <c:v>0.0516664609555394</c:v>
                </c:pt>
                <c:pt idx="6">
                  <c:v>0.0501638148891335</c:v>
                </c:pt>
                <c:pt idx="7">
                  <c:v>0.0292155582184537</c:v>
                </c:pt>
                <c:pt idx="8">
                  <c:v>0.0201326162336809</c:v>
                </c:pt>
                <c:pt idx="9">
                  <c:v>0.0180054709977916</c:v>
                </c:pt>
                <c:pt idx="10">
                  <c:v>0.0188329616450478</c:v>
                </c:pt>
                <c:pt idx="11">
                  <c:v>0.0141166134055749</c:v>
                </c:pt>
                <c:pt idx="12">
                  <c:v>0.00794327973408342</c:v>
                </c:pt>
                <c:pt idx="13">
                  <c:v>0.00929095866929362</c:v>
                </c:pt>
                <c:pt idx="14">
                  <c:v>0.00541718111729791</c:v>
                </c:pt>
                <c:pt idx="15">
                  <c:v>0.00245991540082824</c:v>
                </c:pt>
                <c:pt idx="16">
                  <c:v>0.0026121075112714</c:v>
                </c:pt>
                <c:pt idx="17">
                  <c:v>0.00251650468069551</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'地区-消费'!$AD$2:$AD$10</c:f>
              <c:strCache>
                <c:ptCount val="3"/>
                <c:pt idx="0">
                  <c:v>北美</c:v>
                </c:pt>
                <c:pt idx="1">
                  <c:v>欧洲</c:v>
                </c:pt>
                <c:pt idx="2">
                  <c:v>亚太</c:v>
                </c:pt>
              </c:strCache>
            </c:strRef>
          </c:cat>
          <c:val>
            <c:numRef>
              <c:f>'地区-消费'!$AE$2:$AE$10</c:f>
              <c:numCache>
                <c:formatCode>#,##0_);[Red]\(#,##0\)</c:formatCode>
                <c:ptCount val="3"/>
                <c:pt idx="0">
                  <c:v>2.71141754183872</c:v>
                </c:pt>
                <c:pt idx="1">
                  <c:v>4.80727002012487</c:v>
                </c:pt>
                <c:pt idx="2">
                  <c:v>139.044422807697</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'地区-消费'!$AD$2:$AD$10</c:f>
              <c:strCache>
                <c:ptCount val="3"/>
                <c:pt idx="0">
                  <c:v>北美</c:v>
                </c:pt>
                <c:pt idx="1">
                  <c:v>欧洲</c:v>
                </c:pt>
                <c:pt idx="2">
                  <c:v>亚太</c:v>
                </c:pt>
              </c:strCache>
            </c:strRef>
          </c:cat>
          <c:val>
            <c:numRef>
              <c:f>'地区-消费'!$AF$2:$AF$10</c:f>
              <c:numCache>
                <c:formatCode>#,##0_);[Red]\(#,##0\)</c:formatCode>
                <c:ptCount val="3"/>
                <c:pt idx="0">
                  <c:v>5.95493008789539</c:v>
                </c:pt>
                <c:pt idx="1">
                  <c:v>15.4011901106843</c:v>
                </c:pt>
                <c:pt idx="2">
                  <c:v>470.161152583979</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'地区-消费'!$AD$2:$AD$10</c:f>
              <c:strCache>
                <c:ptCount val="3"/>
                <c:pt idx="0">
                  <c:v>北美</c:v>
                </c:pt>
                <c:pt idx="1">
                  <c:v>欧洲</c:v>
                </c:pt>
                <c:pt idx="2">
                  <c:v>亚太</c:v>
                </c:pt>
              </c:strCache>
            </c:strRef>
          </c:cat>
          <c:val>
            <c:numRef>
              <c:f>'地区-消费'!$AG$2:$AG$10</c:f>
              <c:numCache>
                <c:formatCode>#,##0_);[Red]\(#,##0\)</c:formatCode>
                <c:ptCount val="3"/>
                <c:pt idx="0">
                  <c:v>54.7787083501576</c:v>
                </c:pt>
                <c:pt idx="1">
                  <c:v>104.17757413952</c:v>
                </c:pt>
                <c:pt idx="2">
                  <c:v>776.396240748163</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1880</Words>
  <Characters>2187</Characters>
  <Lines>15</Lines>
  <Paragraphs>4</Paragraphs>
  <TotalTime>0</TotalTime>
  <ScaleCrop>false</ScaleCrop>
  <LinksUpToDate>false</LinksUpToDate>
  <CharactersWithSpaces>2194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2024-07-31T09:11:25Z</dcterms:modified>
  <cp:revision>880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65CEB695185D4ECE818D275F49FAE1E2_12</vt:lpwstr>
  </property>
</Properties>
</file>