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7"/>
        <w:rPr>
          <w:lang w:eastAsia="zh-CN"/>
        </w:rPr>
      </w:pPr>
      <w:bookmarkStart w:id="0" w:name="_Toc415142861"/>
      <w:bookmarkStart w:id="1" w:name="OLE_LINK39"/>
      <w:bookmarkStart w:id="2" w:name="_Toc481801204"/>
      <w:bookmarkStart w:id="3" w:name="OLE_LINK13"/>
      <w:bookmarkStart w:id="4" w:name="_Toc453597319"/>
      <w:bookmarkStart w:id="5" w:name="_Toc415143481"/>
      <w:bookmarkStart w:id="6" w:name="_Toc517262917"/>
      <w:bookmarkStart w:id="7" w:name="OLE_LINK24"/>
      <w:bookmarkStart w:id="8" w:name="OLE_LINK15"/>
      <w:bookmarkStart w:id="9" w:name="_Toc418070112"/>
      <w:bookmarkStart w:id="10" w:name="_Toc415818939"/>
      <w:bookmarkStart w:id="11" w:name="OLE_LINK40"/>
      <w:bookmarkStart w:id="12" w:name="_Toc438987549"/>
      <w:r>
        <w:rPr>
          <w:lang w:eastAsia="zh-CN"/>
        </w:rPr>
        <w:t>5G基站射频器件</w:t>
      </w:r>
      <w:r>
        <w:rPr>
          <w:rFonts w:hint="eastAsia"/>
          <w:lang w:eastAsia="zh-CN"/>
        </w:rPr>
        <w:t>全球市场总体规模</w:t>
      </w:r>
    </w:p>
    <w:p>
      <w:pPr>
        <w:pStyle w:val="145"/>
        <w:rPr>
          <w:lang w:val="en-US" w:eastAsia="zh-CN"/>
        </w:rPr>
      </w:pPr>
      <w:r>
        <w:rPr>
          <w:rFonts w:hint="eastAsia"/>
          <w:lang w:eastAsia="zh-CN"/>
        </w:rPr>
        <w:t>据QYResearch调研团队最新报告“全球5G基站射频器件市场报告2023-2029”显示，预计2029年全球5G基站射频器件市场规模将达到48亿美元，未来几年年复合增长率CAGR为12.1%。</w:t>
      </w:r>
    </w:p>
    <w:p>
      <w:pPr>
        <w:pStyle w:val="148"/>
        <w:rPr>
          <w:lang w:eastAsia="zh-CN"/>
        </w:rPr>
      </w:pPr>
      <w:r>
        <w:rPr>
          <w:lang w:eastAsia="zh-CN"/>
        </w:rPr>
        <w:t>5G基站射频器件</w:t>
      </w:r>
      <w:r>
        <w:rPr>
          <w:rFonts w:hint="eastAsia"/>
          <w:lang w:eastAsia="zh-CN"/>
        </w:rPr>
        <w:t>，全球市场总体规模，预计2</w:t>
      </w:r>
      <w:r>
        <w:rPr>
          <w:lang w:eastAsia="zh-CN"/>
        </w:rPr>
        <w:t>029</w:t>
      </w:r>
      <w:r>
        <w:rPr>
          <w:rFonts w:hint="eastAsia"/>
          <w:lang w:eastAsia="zh-CN"/>
        </w:rPr>
        <w:t>年达到</w:t>
      </w:r>
      <w:r>
        <w:rPr>
          <w:lang w:eastAsia="zh-CN"/>
        </w:rPr>
        <w:t>48</w:t>
      </w:r>
      <w:r>
        <w:rPr>
          <w:rFonts w:hint="eastAsia"/>
          <w:lang w:eastAsia="zh-CN"/>
        </w:rPr>
        <w:t>亿美元</w:t>
      </w:r>
    </w:p>
    <w:p>
      <w:pPr>
        <w:pStyle w:val="145"/>
        <w:rPr>
          <w:lang w:eastAsia="zh-CN"/>
        </w:rPr>
      </w:pPr>
      <w:r>
        <w:drawing>
          <wp:inline distT="0" distB="0" distL="0" distR="0">
            <wp:extent cx="6188710" cy="2922270"/>
            <wp:effectExtent l="0" t="0" r="2540" b="0"/>
            <wp:docPr id="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5G基站射频器件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主要驱动因素</w:t>
      </w:r>
      <w:r>
        <w:rPr>
          <w:lang w:eastAsia="zh-CN"/>
        </w:rPr>
        <w:t>: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5G网络快速部署：全球对高速、低延迟连接的需求正在推动5G网络的快速部署。这反过来又增加了对5G</w:t>
      </w:r>
      <w:r>
        <w:rPr>
          <w:lang w:eastAsia="zh-CN"/>
        </w:rPr>
        <w:t xml:space="preserve"> </w:t>
      </w:r>
      <w:r>
        <w:rPr>
          <w:rFonts w:hint="eastAsia"/>
          <w:lang w:eastAsia="zh-CN"/>
        </w:rPr>
        <w:t>RF设备（包括天线、放大器和收发器）的需求。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数据消耗增加：流媒体、游戏和物联网等需要大量数据的应用程序的激增导致数据消耗激增。5G网络具有更高的数据速度和容量，需要先进的射频设备来处理增加的数据流量。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物联网和工业4.0：物联网(IoT)和工业4.0的增长依赖于 5G 技术。RF设备对于连接各种IoT设备以及实现工业4.0应用所需的自动化和连接至关重要。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MIMO 和波束成形：多输入多输出 (MIMO) 和波束成形技术是5G网络不可或缺的一部分。这些技术需要先进的射频设备来优化信号质量、覆盖范围和容量。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主要阻碍因素</w:t>
      </w:r>
      <w:r>
        <w:rPr>
          <w:lang w:eastAsia="zh-CN"/>
        </w:rPr>
        <w:t>: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部署成本：对于某些地区和网络运营商来说，5G网络和相关RF设备的部署成本可能过高。5G所需的基础设施和设备通常需要大量投资。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监管挑战：5G部署可能面临与频谱分配、安全问题以及本地分区和许可相关的监管挑战。这些障碍可能会减慢网络扩展速度或使其复杂化。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安全问题：5G网络连接性的增强也带来了更高的安全问题。确保通过射频设备传输数据的安全性和完整性至关重要，同时也是一项挑战。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基础设施升级：为了充分发挥5G的潜力，包括射频设备在内的网络基础设施可能需要进行重大升级。改造现有基础设施可能具有挑战性且成本高昂。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行业发展机遇</w:t>
      </w:r>
      <w:r>
        <w:rPr>
          <w:lang w:eastAsia="zh-CN"/>
        </w:rPr>
        <w:t>: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网络扩展：随着5G网络在全球范围内不断扩展，5G RF设备制造商有越来越多的机会来满足对这些组件不断增长的需求。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创新和技术进步：5G RF设备市场的公司可以通过开发创新技术来抓住机遇，提高这些设备的性能、能源效率和可靠性。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新兴市场：新兴市场代表了5G网络扩展和射频设备采用的机会，因为这些地区寻求从高速连接中受益。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网络致密化：随着网络变得更加密集，小区更小，以提高覆盖范围和容量，对支持这种致密化的射频设备的需求将继续增长。</w:t>
      </w: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5G基站射频器件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5</w:t>
      </w:r>
      <w:r>
        <w:rPr>
          <w:rFonts w:hint="eastAsia"/>
          <w:lang w:eastAsia="zh-CN"/>
        </w:rPr>
        <w:t>强生产商排名及市场占有率（持续更新）</w:t>
      </w:r>
    </w:p>
    <w:p>
      <w:pPr>
        <w:pStyle w:val="145"/>
        <w:jc w:val="center"/>
        <w:rPr>
          <w:lang w:eastAsia="zh-CN"/>
        </w:rPr>
      </w:pPr>
      <w:r>
        <w:drawing>
          <wp:inline distT="0" distB="0" distL="0" distR="0">
            <wp:extent cx="4572000" cy="4399915"/>
            <wp:effectExtent l="0" t="0" r="0" b="635"/>
            <wp:docPr id="2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5G基站射频器件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全球范围内5G基站射频器件生产商主要包括Qorvo、Skyworks Solutions、NXP Semiconductors、Murata、TDK、Fenghua Advanced Technology、Ampleon、Taiyo Yuden、GrenTech、Tongyu Communication等。2022年，全球前五大厂商占有大约80.0%的市场份额。</w:t>
      </w:r>
    </w:p>
    <w:p>
      <w:pPr>
        <w:pStyle w:val="145"/>
      </w:pPr>
      <w:r>
        <w:br w:type="page"/>
      </w:r>
    </w:p>
    <w:p>
      <w:pPr>
        <w:pStyle w:val="148"/>
        <w:rPr>
          <w:lang w:eastAsia="zh-CN"/>
        </w:rPr>
      </w:pPr>
      <w:r>
        <w:rPr>
          <w:lang w:eastAsia="zh-CN"/>
        </w:rPr>
        <w:t>5G基站射频器件</w:t>
      </w:r>
      <w:r>
        <w:rPr>
          <w:rFonts w:hint="eastAsia"/>
          <w:lang w:eastAsia="zh-CN"/>
        </w:rPr>
        <w:t>，全球市场规模，按产品类型细分，滤波器处于主导地位</w:t>
      </w:r>
    </w:p>
    <w:p>
      <w:pPr>
        <w:pStyle w:val="145"/>
        <w:rPr>
          <w:lang w:eastAsia="zh-CN"/>
        </w:rPr>
      </w:pPr>
      <w:r>
        <w:rPr>
          <w:lang w:val="en-US" w:eastAsia="zh-CN"/>
        </w:rPr>
        <w:drawing>
          <wp:inline distT="0" distB="0" distL="0" distR="0">
            <wp:extent cx="6115050" cy="2818765"/>
            <wp:effectExtent l="0" t="0" r="0" b="63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21592" cy="282219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5"/>
        <w:rPr>
          <w:lang w:eastAsia="zh-CN"/>
        </w:rPr>
      </w:pPr>
      <w:r>
        <w:rPr>
          <w:lang w:val="en-US" w:eastAsia="zh-CN"/>
        </w:rPr>
        <w:drawing>
          <wp:inline distT="0" distB="0" distL="0" distR="0">
            <wp:extent cx="6067425" cy="2870200"/>
            <wp:effectExtent l="0" t="0" r="0" b="63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77232" cy="287546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5G基站射频器件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val="en-US" w:eastAsia="zh-CN"/>
        </w:rPr>
      </w:pPr>
      <w:r>
        <w:rPr>
          <w:rFonts w:hint="eastAsia"/>
          <w:lang w:eastAsia="zh-CN"/>
        </w:rPr>
        <w:t>就产品类型而言，目前滤波器是最主要的细分产品，占据大约47.5%的份额。</w:t>
      </w:r>
    </w:p>
    <w:p>
      <w:pPr>
        <w:pStyle w:val="145"/>
        <w:rPr>
          <w:lang w:eastAsia="zh-CN"/>
        </w:rPr>
      </w:pPr>
      <w:r>
        <w:rPr>
          <w:lang w:eastAsia="zh-CN"/>
        </w:rPr>
        <w:br w:type="page"/>
      </w:r>
    </w:p>
    <w:p>
      <w:pPr>
        <w:pStyle w:val="148"/>
        <w:rPr>
          <w:lang w:eastAsia="zh-CN"/>
        </w:rPr>
      </w:pPr>
      <w:r>
        <w:rPr>
          <w:lang w:eastAsia="zh-CN"/>
        </w:rPr>
        <w:t>5G基站射频器件</w:t>
      </w:r>
      <w:r>
        <w:rPr>
          <w:rFonts w:hint="eastAsia"/>
          <w:lang w:eastAsia="zh-CN"/>
        </w:rPr>
        <w:t>，全球市场规模，按应用细分，病毒纯化是最大的下游市场，占有</w:t>
      </w:r>
      <w:r>
        <w:rPr>
          <w:lang w:eastAsia="zh-CN"/>
        </w:rPr>
        <w:t>33.1</w:t>
      </w:r>
      <w:r>
        <w:rPr>
          <w:rFonts w:hint="eastAsia"/>
          <w:lang w:eastAsia="zh-CN"/>
        </w:rPr>
        <w:t>%份额。</w:t>
      </w:r>
    </w:p>
    <w:p>
      <w:pPr>
        <w:pStyle w:val="145"/>
        <w:rPr>
          <w:lang w:eastAsia="zh-CN"/>
        </w:rPr>
      </w:pPr>
      <w:r>
        <w:rPr>
          <w:lang w:val="en-US" w:eastAsia="zh-CN"/>
        </w:rPr>
        <w:drawing>
          <wp:inline distT="0" distB="0" distL="0" distR="0">
            <wp:extent cx="6124575" cy="282321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30708" cy="2826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5"/>
      </w:pPr>
      <w:r>
        <w:rPr>
          <w:lang w:val="en-US" w:eastAsia="zh-CN"/>
        </w:rPr>
        <w:drawing>
          <wp:inline distT="0" distB="0" distL="0" distR="0">
            <wp:extent cx="6076950" cy="2870200"/>
            <wp:effectExtent l="0" t="0" r="0" b="635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83112" cy="28728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5G基站射频器件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val="en-US" w:eastAsia="zh-CN"/>
        </w:rPr>
      </w:pPr>
      <w:r>
        <w:rPr>
          <w:rFonts w:hint="eastAsia"/>
          <w:lang w:eastAsia="zh-CN"/>
        </w:rPr>
        <w:t>就产品应用而言，目前宏基站是最主要的需求来源，占据大约60.6%的份额。</w:t>
      </w:r>
    </w:p>
    <w:p>
      <w:pPr>
        <w:pStyle w:val="145"/>
        <w:rPr>
          <w:lang w:eastAsia="zh-CN"/>
        </w:rPr>
      </w:pPr>
      <w:r>
        <w:rPr>
          <w:lang w:eastAsia="zh-CN"/>
        </w:rPr>
        <w:br w:type="page"/>
      </w: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全球主要市场</w:t>
      </w:r>
      <w:r>
        <w:rPr>
          <w:lang w:eastAsia="zh-CN"/>
        </w:rPr>
        <w:t>5G基站射频器件</w:t>
      </w:r>
      <w:r>
        <w:rPr>
          <w:rFonts w:hint="eastAsia"/>
          <w:lang w:eastAsia="zh-CN"/>
        </w:rPr>
        <w:t>规模</w:t>
      </w:r>
    </w:p>
    <w:p>
      <w:pPr>
        <w:pStyle w:val="145"/>
        <w:rPr>
          <w:lang w:val="en-US" w:eastAsia="zh-CN"/>
        </w:rPr>
      </w:pPr>
      <w:r>
        <w:rPr>
          <w:lang w:val="en-US" w:eastAsia="zh-CN"/>
        </w:rPr>
        <w:drawing>
          <wp:inline distT="0" distB="0" distL="0" distR="0">
            <wp:extent cx="6076950" cy="2869565"/>
            <wp:effectExtent l="0" t="0" r="0" b="698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7964" cy="287989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5"/>
        <w:rPr>
          <w:lang w:val="en-US" w:eastAsia="zh-CN"/>
        </w:rPr>
      </w:pPr>
      <w:r>
        <w:rPr>
          <w:lang w:val="en-US" w:eastAsia="zh-CN"/>
        </w:rPr>
        <w:drawing>
          <wp:inline distT="0" distB="0" distL="0" distR="0">
            <wp:extent cx="6162675" cy="2910205"/>
            <wp:effectExtent l="0" t="0" r="0" b="444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74548" cy="291606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5G基站射频器件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r>
        <w:rPr>
          <w:lang w:eastAsia="zh-CN"/>
        </w:rPr>
        <w:br w:type="page"/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>
      <w:pPr>
        <w:pStyle w:val="145"/>
        <w:rPr>
          <w:lang w:eastAsia="zh-CN"/>
        </w:rPr>
      </w:pPr>
      <w:bookmarkStart w:id="13" w:name="_GoBack"/>
      <w:bookmarkEnd w:id="13"/>
      <w:r>
        <w:rPr>
          <w:rFonts w:hint="eastAsia"/>
          <w:lang w:eastAsia="zh-CN"/>
        </w:rPr>
        <w:t>QYResearch(北京恒州博智国际信息咨询有限公司)成立于2007年，总部位于美国洛杉矶和中国北京。经过连续16年多的沉淀，QYResearch已成长为全球知名的、面向全球客户提供细分行业调研服务的领先咨询机构；业务遍及世界160多个国家，在全球30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是全球知名的大型咨询公司，行业涵盖各高科技行业产业链细分市场，横跨如半导体产业链（半导体设备及零部件、半导体材料、集成电路、制造、封测、分立器件、传感器、光电器件）、光伏产业链（设备、硅料/硅片、电池片、组件、辅料支架、逆变器、电站终端）、新能源汽车产业链（动力电池及材料、电驱电控、汽车半导体/电子、整车、充电桩）、通信产业链（通信系统设备、终端设备、电子元器件、射频前端、光模块、4G/5G/6G、宽带、IoT、数字经济、AI）、先进材料产业链（金属材料、高分子材料、陶瓷材料、纳米材料等）、机械制造产业链（数控机床、工程机械、电气机械、3C自动化、工业机器人、激光、工控、无人机）、食品药品、医疗器械、农业等。</w:t>
      </w:r>
    </w:p>
    <w:p>
      <w:pPr>
        <w:pStyle w:val="145"/>
        <w:rPr>
          <w:lang w:eastAsia="zh-CN"/>
        </w:rPr>
      </w:pP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MDYzNTE3ZmJhYmZjY2ZiNzUxNTI1ZTRkNzNkYTA1OTI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19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3E4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A9C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2B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736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0FA6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47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943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6C1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129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B1A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D6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1AA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5EDA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0E62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8B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51C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348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BD1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BB1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3DA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333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494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00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21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21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A6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27B28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79A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28D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27A04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38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017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03A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56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88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928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1DFF2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iPriority="61" w:semiHidden="0" w:name="Light List Accent 3"/>
    <w:lsdException w:unhideWhenUsed="0" w:uiPriority="62" w:semiHidden="0" w:name="Light Grid Accent 3"/>
    <w:lsdException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unhideWhenUsed/>
    <w:qFormat/>
    <w:uiPriority w:val="39"/>
  </w:style>
  <w:style w:type="paragraph" w:styleId="28">
    <w:name w:val="table of figures"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出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uiPriority w:val="0"/>
    <w:pPr>
      <w:tabs>
        <w:tab w:val="right" w:pos="9736"/>
      </w:tabs>
    </w:pPr>
  </w:style>
  <w:style w:type="character" w:customStyle="1" w:styleId="157">
    <w:name w:val="目录 2 字符"/>
    <w:basedOn w:val="67"/>
    <w:link w:val="29"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chart" Target="charts/chart2.xml"/><Relationship Id="rId5" Type="http://schemas.openxmlformats.org/officeDocument/2006/relationships/chart" Target="charts/chart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numbering" Target="numbering.xml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4" Type="http://schemas.microsoft.com/office/2011/relationships/chartColorStyle" Target="colors2.xml"/><Relationship Id="rId3" Type="http://schemas.microsoft.com/office/2011/relationships/chartStyle" Target="style2.xml"/><Relationship Id="rId2" Type="http://schemas.openxmlformats.org/officeDocument/2006/relationships/chartUserShapes" Target="../drawings/drawing1.xml"/><Relationship Id="rId1" Type="http://schemas.openxmlformats.org/officeDocument/2006/relationships/oleObject" Target="file:///C:\Users\hengzhoubz\Desktop\&#35266;&#28857;\5G&#22522;&#31449;&#23556;&#39057;&#22120;&#20214;-&#25968;&#25454;&#22270;&#34920;&#27169;&#26495;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C:\Users\hengzhoubz\Desktop\&#35266;&#28857;\5G&#22522;&#31449;&#23556;&#39057;&#22120;&#20214;-&#25968;&#25454;&#22270;&#34920;&#27169;&#26495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1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100">
                <a:latin typeface="Book Antiqua" panose="02040602050305030304" pitchFamily="1" charset="0"/>
              </a:rPr>
              <a:t>Global Market Size ($ Mn)</a:t>
            </a:r>
            <a:endParaRPr lang="en-US" altLang="zh-CN" sz="1100">
              <a:latin typeface="Book Antiqua" panose="02040602050305030304" pitchFamily="1" charset="0"/>
            </a:endParaRP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0254884259259259"/>
          <c:y val="0.131440849673203"/>
          <c:w val="0.937283950617284"/>
          <c:h val="0.79303039215686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全球总体!$A$22</c:f>
              <c:strCache>
                <c:ptCount val="1"/>
                <c:pt idx="0">
                  <c:v>Global Market Size ($ Mn)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全球总体!$B$21:$D$21</c:f>
              <c:numCache>
                <c:formatCode>General</c:formatCode>
                <c:ptCount val="3"/>
                <c:pt idx="0">
                  <c:v>2019</c:v>
                </c:pt>
                <c:pt idx="1">
                  <c:v>2022</c:v>
                </c:pt>
                <c:pt idx="2">
                  <c:v>2029</c:v>
                </c:pt>
              </c:numCache>
            </c:numRef>
          </c:cat>
          <c:val>
            <c:numRef>
              <c:f>全球总体!$B$22:$D$22</c:f>
              <c:numCache>
                <c:formatCode>#,##0_ </c:formatCode>
                <c:ptCount val="3"/>
                <c:pt idx="0">
                  <c:v>1183.35</c:v>
                </c:pt>
                <c:pt idx="1">
                  <c:v>2185.33</c:v>
                </c:pt>
                <c:pt idx="2">
                  <c:v>4802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719571343"/>
        <c:axId val="481370671"/>
      </c:barChart>
      <c:catAx>
        <c:axId val="7195713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481370671"/>
        <c:crosses val="autoZero"/>
        <c:auto val="1"/>
        <c:lblAlgn val="ctr"/>
        <c:lblOffset val="100"/>
        <c:noMultiLvlLbl val="0"/>
      </c:catAx>
      <c:valAx>
        <c:axId val="48137067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1957134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" charset="0"/>
              </a:rPr>
              <a:t>全球市场主要企业排名</a:t>
            </a:r>
            <a:endParaRPr lang="en-US" altLang="zh-CN" sz="105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2022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0"/>
            <c:invertIfNegative val="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企业排序!$F$2:$F$25</c:f>
              <c:strCache>
                <c:ptCount val="11"/>
                <c:pt idx="0">
                  <c:v>Eurofins</c:v>
                </c:pt>
                <c:pt idx="1">
                  <c:v>TÜV SÜD</c:v>
                </c:pt>
                <c:pt idx="2">
                  <c:v>Applus+</c:v>
                </c:pt>
                <c:pt idx="3">
                  <c:v>TÜV Rheinland</c:v>
                </c:pt>
                <c:pt idx="4">
                  <c:v>Element (NTS)</c:v>
                </c:pt>
                <c:pt idx="5">
                  <c:v>TÜV Nord</c:v>
                </c:pt>
                <c:pt idx="6">
                  <c:v>UL Solutions</c:v>
                </c:pt>
                <c:pt idx="7">
                  <c:v>CTI</c:v>
                </c:pt>
                <c:pt idx="8">
                  <c:v>Nemko</c:v>
                </c:pt>
                <c:pt idx="9">
                  <c:v>SIRIM QAS International</c:v>
                </c:pt>
                <c:pt idx="10">
                  <c:v>CSA Group</c:v>
                </c:pt>
              </c:strCache>
            </c:strRef>
          </c:cat>
          <c:val>
            <c:numRef>
              <c:f>企业排序!$G$2:$G$25</c:f>
              <c:numCache>
                <c:formatCode>#,##0.00_ </c:formatCode>
                <c:ptCount val="11"/>
                <c:pt idx="0">
                  <c:v>15.91</c:v>
                </c:pt>
                <c:pt idx="1">
                  <c:v>24.43</c:v>
                </c:pt>
                <c:pt idx="2">
                  <c:v>41.43</c:v>
                </c:pt>
                <c:pt idx="3">
                  <c:v>42.41</c:v>
                </c:pt>
                <c:pt idx="4">
                  <c:v>64.48</c:v>
                </c:pt>
                <c:pt idx="5">
                  <c:v>159.13</c:v>
                </c:pt>
                <c:pt idx="6">
                  <c:v>195.15</c:v>
                </c:pt>
                <c:pt idx="7">
                  <c:v>322.95</c:v>
                </c:pt>
                <c:pt idx="8">
                  <c:v>354.56</c:v>
                </c:pt>
                <c:pt idx="9">
                  <c:v>429.66</c:v>
                </c:pt>
                <c:pt idx="10">
                  <c:v>447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0.55424</cdr:x>
      <cdr:y>0.27429</cdr:y>
    </cdr:from>
    <cdr:to>
      <cdr:x>0.73409</cdr:x>
      <cdr:y>0.61486</cdr:y>
    </cdr:to>
    <cdr:grpSp>
      <cdr:nvGrpSpPr>
        <cdr:cNvPr id="2" name="组合 1"/>
        <cdr:cNvGrpSpPr/>
      </cdr:nvGrpSpPr>
      <cdr:grpSpPr xmlns:a="http://schemas.openxmlformats.org/drawingml/2006/main">
        <a:xfrm rot="1241009">
          <a:off x="3430031" y="801549"/>
          <a:ext cx="1113039" cy="995237"/>
          <a:chOff x="2859058" y="1061399"/>
          <a:chExt cx="759437" cy="821673"/>
        </a:xfrm>
        <a:solidFill>
          <a:srgbClr val="FFC000"/>
        </a:solidFill>
      </cdr:grpSpPr>
      <cdr:cxnSp>
        <cdr:nvCxnSpPr>
          <cdr:cNvPr id="3" name="直接箭头连接符 2"/>
          <cdr:cNvCxnSpPr/>
        </cdr:nvCxnSpPr>
        <cdr:spPr xmlns:a="http://schemas.openxmlformats.org/drawingml/2006/main">
          <a:xfrm xmlns:a="http://schemas.openxmlformats.org/drawingml/2006/main" rot="21160045" flipV="1">
            <a:off x="2859058" y="1061399"/>
            <a:ext cx="759437" cy="821673"/>
          </a:xfrm>
          <a:prstGeom xmlns:a="http://schemas.openxmlformats.org/drawingml/2006/main" prst="straightConnector1">
            <a:avLst/>
          </a:prstGeom>
          <a:grpFill/>
          <a:ln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>
        <cdr:nvSpPr>
          <cdr:cNvPr id="4" name="椭圆 3"/>
          <cdr:cNvSpPr/>
        </cdr:nvSpPr>
        <cdr:spPr xmlns:a="http://schemas.openxmlformats.org/drawingml/2006/main">
          <a:xfrm xmlns:a="http://schemas.openxmlformats.org/drawingml/2006/main" rot="18649119">
            <a:off x="2885602" y="1427757"/>
            <a:ext cx="619687" cy="185800"/>
          </a:xfrm>
          <a:prstGeom xmlns:a="http://schemas.openxmlformats.org/drawingml/2006/main" prst="ellipse">
            <a:avLst/>
          </a:prstGeom>
          <a:grpFill/>
          <a:ln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 xmlns:a="http://schemas.openxmlformats.org/drawingml/2006/main">
          <a:bodyPr vertOverflow="clip" vert="horz" wrap="none" lIns="45720" tIns="45720" rIns="45720" bIns="45720" anchor="ctr" anchorCtr="0">
            <a:normAutofit/>
          </a:bodyPr>
          <a:lstStyle/>
          <a:p>
            <a:pPr algn="ctr"/>
            <a:r>
              <a:rPr lang="en-US" altLang="zh-CN" baseline="0">
                <a:solidFill>
                  <a:sysClr val="windowText" lastClr="000000"/>
                </a:solidFill>
                <a:latin typeface="Book Antiqua" panose="02040602050305030304" pitchFamily="1" charset="0"/>
                <a:ea typeface="宋体" panose="02010600030101010101" charset="-122"/>
              </a:rPr>
              <a:t>12.1%</a:t>
            </a:r>
            <a:endParaRPr lang="zh-CN" baseline="0">
              <a:solidFill>
                <a:sysClr val="windowText" lastClr="000000"/>
              </a:solidFill>
              <a:latin typeface="Book Antiqua" panose="02040602050305030304" pitchFamily="1" charset="0"/>
              <a:ea typeface="宋体" panose="02010600030101010101" charset="-122"/>
            </a:endParaRPr>
          </a:p>
        </cdr:txBody>
      </cdr:sp>
    </cdr:grpSp>
  </cdr:relSizeAnchor>
  <cdr:relSizeAnchor xmlns:cdr="http://schemas.openxmlformats.org/drawingml/2006/chartDrawing">
    <cdr:from>
      <cdr:x>0.23751</cdr:x>
      <cdr:y>0.56754</cdr:y>
    </cdr:from>
    <cdr:to>
      <cdr:x>0.43465</cdr:x>
      <cdr:y>0.83079</cdr:y>
    </cdr:to>
    <cdr:grpSp>
      <cdr:nvGrpSpPr>
        <cdr:cNvPr id="5" name="组合 4"/>
        <cdr:cNvGrpSpPr/>
      </cdr:nvGrpSpPr>
      <cdr:grpSpPr xmlns:a="http://schemas.openxmlformats.org/drawingml/2006/main">
        <a:xfrm rot="1783323">
          <a:off x="1469881" y="1658505"/>
          <a:ext cx="1220042" cy="769288"/>
          <a:chOff x="3065378" y="1627861"/>
          <a:chExt cx="1010935" cy="814928"/>
        </a:xfrm>
      </cdr:grpSpPr>
      <cdr:cxnSp>
        <cdr:nvCxnSpPr>
          <cdr:cNvPr id="6" name="直接箭头连接符 5"/>
          <cdr:cNvCxnSpPr/>
        </cdr:nvCxnSpPr>
        <cdr:spPr xmlns:a="http://schemas.openxmlformats.org/drawingml/2006/main">
          <a:xfrm xmlns:a="http://schemas.openxmlformats.org/drawingml/2006/main" rot="19816677" flipV="1">
            <a:off x="3065378" y="1822248"/>
            <a:ext cx="1010935" cy="464804"/>
          </a:xfrm>
          <a:prstGeom xmlns:a="http://schemas.openxmlformats.org/drawingml/2006/main" prst="straightConnector1">
            <a:avLst/>
          </a:prstGeom>
          <a:ln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>
        <cdr:nvSpPr>
          <cdr:cNvPr id="7" name="椭圆 6"/>
          <cdr:cNvSpPr/>
        </cdr:nvSpPr>
        <cdr:spPr xmlns:a="http://schemas.openxmlformats.org/drawingml/2006/main">
          <a:xfrm xmlns:a="http://schemas.openxmlformats.org/drawingml/2006/main" rot="18584799">
            <a:off x="3171428" y="1947727"/>
            <a:ext cx="814928" cy="175195"/>
          </a:xfrm>
          <a:prstGeom xmlns:a="http://schemas.openxmlformats.org/drawingml/2006/main" prst="ellipse">
            <a:avLst/>
          </a:prstGeom>
          <a:solidFill>
            <a:srgbClr val="FFC000"/>
          </a:solidFill>
          <a:ln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 xmlns:a="http://schemas.openxmlformats.org/drawingml/2006/main">
          <a:bodyPr vertOverflow="clip" vert="horz" wrap="none" lIns="45720" tIns="45720" rIns="45720" bIns="45720" anchor="ctr" anchorCtr="0">
            <a:normAutofit/>
          </a:bodyPr>
          <a:lstStyle/>
          <a:p>
            <a:pPr algn="ctr"/>
            <a:r>
              <a:rPr lang="en-US" altLang="zh-CN">
                <a:solidFill>
                  <a:sysClr val="windowText" lastClr="000000"/>
                </a:solidFill>
              </a:rPr>
              <a:t>16.6%</a:t>
            </a:r>
            <a:endParaRPr lang="zh-CN">
              <a:solidFill>
                <a:sysClr val="windowText" lastClr="000000"/>
              </a:solidFill>
            </a:endParaRPr>
          </a:p>
        </cdr:txBody>
      </cdr:sp>
    </cdr:grp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E454E7-72A8-434F-A266-10CD69479D9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332</Words>
  <Characters>1896</Characters>
  <Lines>15</Lines>
  <Paragraphs>4</Paragraphs>
  <TotalTime>17</TotalTime>
  <ScaleCrop>false</ScaleCrop>
  <LinksUpToDate>false</LinksUpToDate>
  <CharactersWithSpaces>2224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2023-10-31T06:59:00Z</dcterms:created>
  <dc:creator>yangj</dc:creator>
  <cp:lastModifiedBy>*星*空夜@话</cp:lastModifiedBy>
  <dcterms:modified xsi:type="dcterms:W3CDTF">2023-11-03T06:24:34Z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C66B3C08882C46AE8AB2FF7BA9AE34DA_12</vt:lpwstr>
  </property>
</Properties>
</file>