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OLE_LINK13"/>
      <w:bookmarkStart w:id="1" w:name="_Toc453597319"/>
      <w:bookmarkStart w:id="2" w:name="_Toc418070112"/>
      <w:bookmarkStart w:id="3" w:name="_Toc415818939"/>
      <w:bookmarkStart w:id="4" w:name="_Toc517262917"/>
      <w:bookmarkStart w:id="5" w:name="_Toc438987549"/>
      <w:bookmarkStart w:id="6" w:name="_Toc481801204"/>
      <w:bookmarkStart w:id="7" w:name="OLE_LINK15"/>
      <w:bookmarkStart w:id="8" w:name="_Toc415143481"/>
      <w:bookmarkStart w:id="9" w:name="OLE_LINK24"/>
      <w:bookmarkStart w:id="10" w:name="OLE_LINK39"/>
      <w:bookmarkStart w:id="11" w:name="_Toc415142861"/>
      <w:bookmarkStart w:id="12" w:name="OLE_LINK40"/>
      <w:r>
        <w:rPr>
          <w:rFonts w:hint="eastAsia"/>
          <w:lang w:eastAsia="zh-CN"/>
        </w:rPr>
        <w:t>电子级塑料外壳全球市场总体规模</w:t>
      </w:r>
    </w:p>
    <w:p>
      <w:pPr>
        <w:pStyle w:val="145"/>
        <w:rPr>
          <w:rFonts w:hint="eastAsia"/>
          <w:lang w:eastAsia="zh-CN"/>
        </w:rPr>
      </w:pPr>
      <w:r>
        <w:rPr>
          <w:rFonts w:ascii="Segoe UI" w:hAnsi="Segoe UI" w:cs="Segoe UI"/>
          <w:color w:val="000000"/>
          <w:szCs w:val="21"/>
          <w:shd w:val="clear" w:color="auto" w:fill="FFFFFF"/>
          <w:lang w:eastAsia="zh-CN"/>
        </w:rPr>
        <w:t>电子级塑料外壳是用于保护电子设备内部组件的重要部件，它能够防止物理损害和防护灰尘、水分等外部因素的侵入。外壳材料需要具备耐高温、耐化学腐蚀、阻燃等特性，以确保设备的安全性和耐用性。在选择材料时，常常会选择工程塑料，因其具有优秀的耐用性和适应性。电子级塑料外壳的设计和制造需要综合考虑保护功能、安全性、耐用性以及成本效益等多方面因素。</w:t>
      </w:r>
    </w:p>
    <w:p>
      <w:pPr>
        <w:pStyle w:val="145"/>
        <w:rPr>
          <w:lang w:eastAsia="zh-CN"/>
        </w:rPr>
      </w:pPr>
      <w:r>
        <w:drawing>
          <wp:inline distT="0" distB="0" distL="0" distR="0">
            <wp:extent cx="4331335" cy="3423285"/>
            <wp:effectExtent l="0" t="0" r="12065" b="5715"/>
            <wp:docPr id="16791929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192923" name="图片 1"/>
                    <pic:cNvPicPr>
                      <a:picLocks noChangeAspect="1"/>
                    </pic:cNvPicPr>
                  </pic:nvPicPr>
                  <pic:blipFill>
                    <a:blip r:embed="rId8"/>
                    <a:stretch>
                      <a:fillRect/>
                    </a:stretch>
                  </pic:blipFill>
                  <pic:spPr>
                    <a:xfrm>
                      <a:off x="0" y="0"/>
                      <a:ext cx="4331335" cy="3423285"/>
                    </a:xfrm>
                    <a:prstGeom prst="rect">
                      <a:avLst/>
                    </a:prstGeom>
                  </pic:spPr>
                </pic:pic>
              </a:graphicData>
            </a:graphic>
          </wp:inline>
        </w:drawing>
      </w:r>
    </w:p>
    <w:p>
      <w:pPr>
        <w:pStyle w:val="145"/>
        <w:rPr>
          <w:lang w:eastAsia="zh-CN"/>
        </w:rPr>
      </w:pPr>
      <w:r>
        <w:rPr>
          <w:rFonts w:hint="eastAsia"/>
          <w:lang w:eastAsia="zh-CN"/>
        </w:rPr>
        <w:t>根据QYResearch最新调研报告显示，预计2</w:t>
      </w:r>
      <w:r>
        <w:rPr>
          <w:lang w:eastAsia="zh-CN"/>
        </w:rPr>
        <w:t>029</w:t>
      </w:r>
      <w:r>
        <w:rPr>
          <w:rFonts w:hint="eastAsia"/>
          <w:lang w:eastAsia="zh-CN"/>
        </w:rPr>
        <w:t>年全球电子级塑料外壳市场规模将达到24.63亿美元，未来几年年复合增长率CAGR为5.48%。</w:t>
      </w:r>
    </w:p>
    <w:p>
      <w:pPr>
        <w:pStyle w:val="145"/>
        <w:rPr>
          <w:lang w:eastAsia="zh-CN"/>
        </w:rPr>
      </w:pPr>
    </w:p>
    <w:p>
      <w:pPr>
        <w:pStyle w:val="148"/>
        <w:rPr>
          <w:sz w:val="22"/>
          <w:szCs w:val="24"/>
          <w:lang w:eastAsia="zh-CN"/>
        </w:rPr>
      </w:pPr>
      <w:r>
        <w:rPr>
          <w:rFonts w:hint="eastAsia"/>
          <w:sz w:val="22"/>
          <w:szCs w:val="24"/>
          <w:lang w:eastAsia="zh-CN"/>
        </w:rPr>
        <w:t>电子级塑料外壳全球市场总体规模，预计2</w:t>
      </w:r>
      <w:r>
        <w:rPr>
          <w:sz w:val="22"/>
          <w:szCs w:val="24"/>
          <w:lang w:eastAsia="zh-CN"/>
        </w:rPr>
        <w:t>029</w:t>
      </w:r>
      <w:r>
        <w:rPr>
          <w:rFonts w:hint="eastAsia"/>
          <w:sz w:val="22"/>
          <w:szCs w:val="24"/>
          <w:lang w:eastAsia="zh-CN"/>
        </w:rPr>
        <w:t>年达到</w:t>
      </w:r>
      <w:r>
        <w:rPr>
          <w:sz w:val="22"/>
          <w:szCs w:val="24"/>
          <w:lang w:eastAsia="zh-CN"/>
        </w:rPr>
        <w:t>24.12</w:t>
      </w:r>
      <w:r>
        <w:rPr>
          <w:rFonts w:hint="eastAsia"/>
          <w:sz w:val="22"/>
          <w:szCs w:val="24"/>
          <w:lang w:eastAsia="zh-CN"/>
        </w:rPr>
        <w:t>亿美元</w:t>
      </w:r>
    </w:p>
    <w:p>
      <w:pPr>
        <w:pStyle w:val="145"/>
        <w:rPr>
          <w:lang w:eastAsia="zh-CN"/>
        </w:rPr>
      </w:pPr>
      <w:r>
        <w:drawing>
          <wp:inline distT="0" distB="0" distL="0" distR="0">
            <wp:extent cx="6188710" cy="2922270"/>
            <wp:effectExtent l="0" t="0" r="2540" b="0"/>
            <wp:docPr id="70551932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lang w:eastAsia="zh-CN"/>
        </w:rPr>
        <w:t>如上图表/数据，摘自QYResearch最新报告“全球电子级塑料外壳市场研究报告2023-2029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1. 技术进步：随着科技的快速发展，电子设备的功能越来越强大，需求也越来越多，对塑料外壳的性能和精度要求和需求度也越来越高。</w:t>
      </w:r>
    </w:p>
    <w:p>
      <w:pPr>
        <w:pStyle w:val="145"/>
        <w:rPr>
          <w:rFonts w:hint="eastAsia"/>
          <w:lang w:eastAsia="zh-CN"/>
        </w:rPr>
      </w:pPr>
      <w:r>
        <w:rPr>
          <w:rFonts w:hint="eastAsia"/>
          <w:lang w:eastAsia="zh-CN"/>
        </w:rPr>
        <w:t>2. 环保意识增强：随着环保意识的增强，塑料制品的替代和回收利用成为了行业关注的焦点。电子级塑料外壳由于其环保性能和使用寿命长，成为了市场上的新宠。</w:t>
      </w:r>
    </w:p>
    <w:p>
      <w:pPr>
        <w:pStyle w:val="145"/>
        <w:rPr>
          <w:lang w:eastAsia="zh-CN"/>
        </w:rPr>
      </w:pPr>
      <w:r>
        <w:rPr>
          <w:rFonts w:hint="eastAsia"/>
          <w:lang w:eastAsia="zh-CN"/>
        </w:rPr>
        <w:t>主要阻碍因素:</w:t>
      </w:r>
    </w:p>
    <w:p>
      <w:pPr>
        <w:pStyle w:val="145"/>
        <w:rPr>
          <w:lang w:val="en-US" w:eastAsia="zh-CN"/>
        </w:rPr>
      </w:pPr>
      <w:r>
        <w:rPr>
          <w:rFonts w:hint="eastAsia"/>
          <w:lang w:val="en-US" w:eastAsia="zh-CN"/>
        </w:rPr>
        <w:t>1. 材料选择限制：电子级塑料外壳需要具备特定的性能要求，如高耐热性、抗弯曲性、阻燃性等。因此，选择合适的材料对于满足这些性能需求至关重要，但有时候可能会受到材料种类和供应的限制，影响外壳的设计与生产。</w:t>
      </w:r>
    </w:p>
    <w:p>
      <w:pPr>
        <w:pStyle w:val="145"/>
        <w:rPr>
          <w:rFonts w:hint="eastAsia"/>
          <w:lang w:val="en-US" w:eastAsia="zh-CN"/>
        </w:rPr>
      </w:pPr>
      <w:r>
        <w:rPr>
          <w:rFonts w:hint="eastAsia"/>
          <w:lang w:val="en-US" w:eastAsia="zh-CN"/>
        </w:rPr>
        <w:t>2. 市场需求波动性：电子产品市场需求波动性较大，市场竞争激烈，对于电子级塑料外壳企业来说，需求的不确定性可能导致生产计划的不确定性，增加了经营风险。</w:t>
      </w:r>
    </w:p>
    <w:p>
      <w:pPr>
        <w:pStyle w:val="145"/>
        <w:rPr>
          <w:lang w:eastAsia="zh-CN"/>
        </w:rPr>
      </w:pPr>
      <w:r>
        <w:rPr>
          <w:rFonts w:hint="eastAsia"/>
          <w:lang w:eastAsia="zh-CN"/>
        </w:rPr>
        <w:t>行业发展机遇</w:t>
      </w:r>
      <w:r>
        <w:rPr>
          <w:lang w:eastAsia="zh-CN"/>
        </w:rPr>
        <w:t>:</w:t>
      </w:r>
    </w:p>
    <w:p>
      <w:pPr>
        <w:pStyle w:val="145"/>
        <w:rPr>
          <w:lang w:val="en-US" w:eastAsia="zh-CN"/>
        </w:rPr>
      </w:pPr>
      <w:r>
        <w:rPr>
          <w:rFonts w:hint="eastAsia"/>
          <w:lang w:val="en-US" w:eastAsia="zh-CN"/>
        </w:rPr>
        <w:t>1. 电子行业不断发展壮大：随着科技的不断进步，电子产品的种类日益丰富，市场需求不断增长，电子级塑料外壳作为电子产品的重要组成部分之一，市场需求量也在持续增加。</w:t>
      </w:r>
    </w:p>
    <w:p>
      <w:pPr>
        <w:pStyle w:val="145"/>
        <w:rPr>
          <w:rFonts w:hint="eastAsia"/>
          <w:lang w:val="en-US" w:eastAsia="zh-CN"/>
        </w:rPr>
      </w:pPr>
      <w:r>
        <w:rPr>
          <w:rFonts w:hint="eastAsia"/>
          <w:lang w:val="en-US" w:eastAsia="zh-CN"/>
        </w:rPr>
        <w:t>2. 个性化定制需求增加：消费者对于电子产品的外观设计要求越来越高，个性化定制成为市场的新趋势，电子级塑料外壳作为外观设计的重要部分，市场潜力巨大。</w:t>
      </w:r>
    </w:p>
    <w:p>
      <w:pPr>
        <w:pStyle w:val="145"/>
        <w:rPr>
          <w:rFonts w:hint="eastAsia"/>
          <w:lang w:val="en-US" w:eastAsia="zh-CN"/>
        </w:rPr>
      </w:pPr>
      <w:r>
        <w:rPr>
          <w:rFonts w:hint="eastAsia"/>
          <w:lang w:val="en-US" w:eastAsia="zh-CN"/>
        </w:rPr>
        <w:t>3. 环保意识逐渐增强：随着环保意识的提高，消费者对于材料的环保性能要求也越来越高，电子级塑料外壳的环保材料将具有更大的市场优势。</w:t>
      </w:r>
    </w:p>
    <w:p>
      <w:pPr>
        <w:pStyle w:val="145"/>
        <w:rPr>
          <w:rFonts w:hint="eastAsia"/>
          <w:lang w:val="en-US" w:eastAsia="zh-CN"/>
        </w:rPr>
      </w:pPr>
      <w:r>
        <w:rPr>
          <w:rFonts w:hint="eastAsia"/>
          <w:lang w:val="en-US" w:eastAsia="zh-CN"/>
        </w:rPr>
        <w:t>4. 新兴应用领域拓展：随着智能家居、物联网等新兴应用领域的发展，电子产品的应用场景不断扩大，电子级塑料外壳的市场需求也将随之增长。</w:t>
      </w:r>
    </w:p>
    <w:p>
      <w:pPr>
        <w:pStyle w:val="148"/>
        <w:rPr>
          <w:sz w:val="22"/>
          <w:szCs w:val="24"/>
        </w:rPr>
      </w:pPr>
      <w:r>
        <w:rPr>
          <w:rFonts w:hint="eastAsia"/>
          <w:sz w:val="22"/>
          <w:szCs w:val="24"/>
          <w:lang w:eastAsia="zh-CN"/>
        </w:rPr>
        <w:t>全球电子级塑料外壳市场前17强生产商排名及市场占有率（持续更新）</w:t>
      </w:r>
    </w:p>
    <w:p>
      <w:r>
        <w:drawing>
          <wp:inline distT="0" distB="0" distL="0" distR="0">
            <wp:extent cx="5876925" cy="4359275"/>
            <wp:effectExtent l="4445" t="4445" r="5080" b="17780"/>
            <wp:docPr id="122438841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rPr>
          <w:lang w:eastAsia="zh-CN"/>
        </w:rPr>
      </w:pPr>
      <w:r>
        <w:rPr>
          <w:rFonts w:hint="eastAsia"/>
          <w:lang w:eastAsia="zh-CN"/>
        </w:rPr>
        <w:t>如上图表/数据，摘自QYResearch最新报告“全球电子级塑料外壳市场研究报告2023-2029</w:t>
      </w:r>
      <w:r>
        <w:rPr>
          <w:lang w:eastAsia="zh-CN"/>
        </w:rPr>
        <w:t>.</w:t>
      </w:r>
    </w:p>
    <w:p>
      <w:pPr>
        <w:pStyle w:val="145"/>
        <w:rPr>
          <w:lang w:eastAsia="zh-CN"/>
        </w:rPr>
      </w:pPr>
      <w:r>
        <w:rPr>
          <w:rFonts w:hint="eastAsia"/>
          <w:lang w:eastAsia="zh-CN"/>
        </w:rPr>
        <w:t>全球范围内，电子级塑料外壳主要生产商包括</w:t>
      </w:r>
      <w:r>
        <w:rPr>
          <w:lang w:eastAsia="zh-CN"/>
        </w:rPr>
        <w:t>Polycase</w:t>
      </w:r>
      <w:r>
        <w:rPr>
          <w:rFonts w:hint="eastAsia"/>
          <w:lang w:eastAsia="zh-CN"/>
        </w:rPr>
        <w:t>、</w:t>
      </w:r>
      <w:r>
        <w:rPr>
          <w:lang w:eastAsia="zh-CN"/>
        </w:rPr>
        <w:t>Nitto Kogyo Corporation</w:t>
      </w:r>
      <w:r>
        <w:rPr>
          <w:rFonts w:hint="eastAsia"/>
          <w:lang w:eastAsia="zh-CN"/>
        </w:rPr>
        <w:t>、</w:t>
      </w:r>
      <w:r>
        <w:rPr>
          <w:lang w:eastAsia="zh-CN"/>
        </w:rPr>
        <w:t>OKW Enclosure</w:t>
      </w:r>
      <w:r>
        <w:rPr>
          <w:rFonts w:hint="eastAsia"/>
          <w:lang w:eastAsia="zh-CN"/>
        </w:rPr>
        <w:t>、</w:t>
      </w:r>
      <w:r>
        <w:rPr>
          <w:lang w:eastAsia="zh-CN"/>
        </w:rPr>
        <w:t>ROLEC Gehäuse-Systeme</w:t>
      </w:r>
      <w:r>
        <w:rPr>
          <w:rFonts w:hint="eastAsia"/>
          <w:lang w:eastAsia="zh-CN"/>
        </w:rPr>
        <w:t>、</w:t>
      </w:r>
      <w:r>
        <w:rPr>
          <w:lang w:eastAsia="zh-CN"/>
        </w:rPr>
        <w:t>Takachi Electronics Enclosure</w:t>
      </w:r>
      <w:r>
        <w:rPr>
          <w:rFonts w:hint="eastAsia"/>
          <w:lang w:eastAsia="zh-CN"/>
        </w:rPr>
        <w:t>、</w:t>
      </w:r>
      <w:r>
        <w:rPr>
          <w:lang w:eastAsia="zh-CN"/>
        </w:rPr>
        <w:t>BR Enclosures</w:t>
      </w:r>
      <w:r>
        <w:rPr>
          <w:rFonts w:hint="eastAsia"/>
          <w:lang w:eastAsia="zh-CN"/>
        </w:rPr>
        <w:t>等，产品之间可替代性较强，但市场程度集中度受较为分散，其中前五大厂商占有大约42.44%的市场份额。</w:t>
      </w:r>
    </w:p>
    <w:p>
      <w:pPr>
        <w:pStyle w:val="145"/>
        <w:rPr>
          <w:lang w:eastAsia="zh-CN"/>
        </w:rPr>
      </w:pPr>
    </w:p>
    <w:p>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2024年全球电子级塑料外壳行业总体规模、主要企业国内外市场占有率及排名</w:t>
      </w:r>
    </w:p>
    <w:p>
      <w:pPr>
        <w:bidi w:val="0"/>
        <w:rPr>
          <w:rFonts w:hint="eastAsia"/>
          <w:lang w:eastAsia="zh-CN"/>
        </w:rPr>
      </w:pPr>
      <w:r>
        <w:rPr>
          <w:rFonts w:hint="eastAsia"/>
          <w:lang w:eastAsia="zh-CN"/>
        </w:rPr>
        <w:t>调研团队最新发布的电子级塑料外壳行业研究报告，本文侧重研究全球电子级塑料外壳总体规模及主要厂商占有率和排名，主要统计指标包括电子级塑料外壳产能、销量、销售收入、价格、市场份额及排名等，企业数据主要侧重近三年行业内主要厂商的市场销售情况。地区层面，主要分析过去五年和未来五年行业内主要生产地区和主要消费地区的规模及趋势。</w:t>
      </w:r>
    </w:p>
    <w:p>
      <w:pPr>
        <w:bidi w:val="0"/>
        <w:rPr>
          <w:rFonts w:hint="eastAsia"/>
          <w:lang w:eastAsia="zh-CN"/>
        </w:rPr>
      </w:pPr>
    </w:p>
    <w:p>
      <w:pPr>
        <w:bidi w:val="0"/>
        <w:rPr>
          <w:rFonts w:hint="eastAsia"/>
          <w:b/>
          <w:bCs/>
          <w:lang w:eastAsia="zh-CN"/>
        </w:rPr>
      </w:pPr>
      <w:r>
        <w:rPr>
          <w:rFonts w:hint="eastAsia"/>
          <w:b/>
          <w:bCs/>
          <w:lang w:eastAsia="zh-CN"/>
        </w:rPr>
        <w:t>电子级塑料外壳报告主要研究内容以下几点：</w:t>
      </w:r>
    </w:p>
    <w:p>
      <w:pPr>
        <w:bidi w:val="0"/>
        <w:rPr>
          <w:rFonts w:hint="eastAsia"/>
          <w:lang w:eastAsia="zh-CN"/>
        </w:rPr>
      </w:pPr>
      <w:r>
        <w:rPr>
          <w:rFonts w:hint="eastAsia"/>
          <w:lang w:eastAsia="zh-CN"/>
        </w:rPr>
        <w:t>第1章：报告统计范围、所属行业、产品细分及主要的下游市场，行业现状及进入壁垒等</w:t>
      </w:r>
      <w:bookmarkStart w:id="13" w:name="_GoBack"/>
      <w:bookmarkEnd w:id="13"/>
    </w:p>
    <w:p>
      <w:pPr>
        <w:bidi w:val="0"/>
        <w:rPr>
          <w:rFonts w:hint="eastAsia"/>
          <w:lang w:eastAsia="zh-CN"/>
        </w:rPr>
      </w:pPr>
      <w:r>
        <w:rPr>
          <w:rFonts w:hint="eastAsia"/>
          <w:lang w:eastAsia="zh-CN"/>
        </w:rPr>
        <w:t>第2章：国内外主要企业市场占有率及排名</w:t>
      </w:r>
    </w:p>
    <w:p>
      <w:pPr>
        <w:bidi w:val="0"/>
        <w:rPr>
          <w:rFonts w:hint="eastAsia"/>
          <w:lang w:eastAsia="zh-CN"/>
        </w:rPr>
      </w:pPr>
      <w:r>
        <w:rPr>
          <w:rFonts w:hint="eastAsia"/>
          <w:lang w:eastAsia="zh-CN"/>
        </w:rPr>
        <w:t>第3章：全球总体规模（产能、产量、销量、需求量、销售收入等数据，2019-2030年）</w:t>
      </w:r>
    </w:p>
    <w:p>
      <w:pPr>
        <w:bidi w:val="0"/>
        <w:rPr>
          <w:rFonts w:hint="eastAsia"/>
          <w:lang w:eastAsia="zh-CN"/>
        </w:rPr>
      </w:pPr>
      <w:r>
        <w:rPr>
          <w:rFonts w:hint="eastAsia"/>
          <w:lang w:eastAsia="zh-CN"/>
        </w:rPr>
        <w:t>第4章：全球电子级塑料外壳主要地区分析，包括销量、销售收入等</w:t>
      </w:r>
    </w:p>
    <w:p>
      <w:pPr>
        <w:bidi w:val="0"/>
        <w:rPr>
          <w:rFonts w:hint="eastAsia"/>
          <w:lang w:eastAsia="zh-CN"/>
        </w:rPr>
      </w:pPr>
      <w:r>
        <w:rPr>
          <w:rFonts w:hint="eastAsia"/>
          <w:lang w:eastAsia="zh-CN"/>
        </w:rPr>
        <w:t>第5章：全球电子级塑料外壳主要厂商基本情况介绍，包括公司简介、电子级塑料外壳产品型号、销量、收入、价格及最新动态等</w:t>
      </w:r>
    </w:p>
    <w:p>
      <w:pPr>
        <w:bidi w:val="0"/>
        <w:rPr>
          <w:rFonts w:hint="eastAsia"/>
          <w:lang w:eastAsia="zh-CN"/>
        </w:rPr>
      </w:pPr>
      <w:r>
        <w:rPr>
          <w:rFonts w:hint="eastAsia"/>
          <w:lang w:eastAsia="zh-CN"/>
        </w:rPr>
        <w:t>第6章：全球不同产品类型电子级塑料外壳销量、收入、价格及份额等</w:t>
      </w:r>
    </w:p>
    <w:p>
      <w:pPr>
        <w:bidi w:val="0"/>
        <w:rPr>
          <w:rFonts w:hint="eastAsia"/>
          <w:lang w:eastAsia="zh-CN"/>
        </w:rPr>
      </w:pPr>
      <w:r>
        <w:rPr>
          <w:rFonts w:hint="eastAsia"/>
          <w:lang w:eastAsia="zh-CN"/>
        </w:rPr>
        <w:t>第7章：全球不同应用电子级塑料外壳销量、收入、价格及份额等</w:t>
      </w:r>
    </w:p>
    <w:p>
      <w:pPr>
        <w:bidi w:val="0"/>
        <w:rPr>
          <w:rFonts w:hint="eastAsia"/>
          <w:lang w:eastAsia="zh-CN"/>
        </w:rPr>
      </w:pPr>
      <w:r>
        <w:rPr>
          <w:rFonts w:hint="eastAsia"/>
          <w:lang w:eastAsia="zh-CN"/>
        </w:rPr>
        <w:t>第8章：行业发展趋势、驱动因素、行业政策等</w:t>
      </w:r>
    </w:p>
    <w:p>
      <w:pPr>
        <w:bidi w:val="0"/>
        <w:rPr>
          <w:rFonts w:hint="eastAsia"/>
          <w:lang w:eastAsia="zh-CN"/>
        </w:rPr>
      </w:pPr>
      <w:r>
        <w:rPr>
          <w:rFonts w:hint="eastAsia"/>
          <w:lang w:eastAsia="zh-CN"/>
        </w:rPr>
        <w:t>第9章：产业链、上下游分析、生产模式、销售模式及销售渠道分析等</w:t>
      </w:r>
    </w:p>
    <w:p>
      <w:pPr>
        <w:bidi w:val="0"/>
        <w:rPr>
          <w:rFonts w:hint="eastAsia"/>
          <w:lang w:eastAsia="zh-CN"/>
        </w:rPr>
      </w:pPr>
      <w:r>
        <w:rPr>
          <w:rFonts w:hint="eastAsia"/>
          <w:lang w:eastAsia="zh-CN"/>
        </w:rPr>
        <w:t>第10章：报告结论</w:t>
      </w: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Segoe UI">
    <w:panose1 w:val="020B0502040204020203"/>
    <w:charset w:val="00"/>
    <w:family w:val="swiss"/>
    <w:pitch w:val="default"/>
    <w:sig w:usb0="E4002EFF" w:usb1="C000E47F" w:usb2="00000009" w:usb3="00000000" w:csb0="200001FF" w:csb1="00000000"/>
  </w:font>
  <w:font w:name="Franklin Gothic Demi">
    <w:altName w:val="Segoe Print"/>
    <w:panose1 w:val="00000000000000000000"/>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C92"/>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7B3"/>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5DD"/>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4C90"/>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02"/>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535"/>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0B"/>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5D5"/>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656"/>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04D"/>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3CD1"/>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6F7C26"/>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9F"/>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3D"/>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AA5"/>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2A99"/>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9A9"/>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463"/>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AAE"/>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0F0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9AB"/>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67"/>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09B"/>
    <w:rsid w:val="00CA026C"/>
    <w:rsid w:val="00CA03B2"/>
    <w:rsid w:val="00CA05B2"/>
    <w:rsid w:val="00CA09DB"/>
    <w:rsid w:val="00CA0A0B"/>
    <w:rsid w:val="00CA0AC3"/>
    <w:rsid w:val="00CA0DA4"/>
    <w:rsid w:val="00CA0E37"/>
    <w:rsid w:val="00CA14E2"/>
    <w:rsid w:val="00CA1578"/>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3BA"/>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65"/>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80"/>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0352221"/>
    <w:rsid w:val="1D2775D9"/>
    <w:rsid w:val="628030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I:\&#25490;&#21517;%20&#35266;&#28857;&#20889;&#20316;\&#35266;&#28857;&#25968;&#25454;&#22270;&#34920;&#27169;&#26495;-&#20840;&#29699;20230925.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35266;&#28857;&#25991;&#20214;&#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45</c:v>
                </c:pt>
                <c:pt idx="1">
                  <c:v>88</c:v>
                </c:pt>
                <c:pt idx="2">
                  <c:v>166</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800" b="0" i="0" u="none" strike="noStrike" kern="1200" spc="0" baseline="0">
                <a:solidFill>
                  <a:schemeClr val="tx1">
                    <a:lumMod val="65000"/>
                    <a:lumOff val="35000"/>
                  </a:schemeClr>
                </a:solidFill>
                <a:latin typeface="+mn-lt"/>
                <a:ea typeface="+mn-ea"/>
                <a:cs typeface="+mn-cs"/>
              </a:defRPr>
            </a:pPr>
            <a:r>
              <a:rPr lang="zh-CN" sz="1800"/>
              <a:t>全球市场主要企业排名</a:t>
            </a:r>
            <a:endParaRPr lang="zh-CN" sz="1800"/>
          </a:p>
        </c:rich>
      </c:tx>
      <c:layout/>
      <c:overlay val="0"/>
      <c:spPr>
        <a:noFill/>
        <a:ln>
          <a:noFill/>
        </a:ln>
        <a:effectLst/>
      </c:spPr>
    </c:title>
    <c:autoTitleDeleted val="0"/>
    <c:plotArea>
      <c:layout>
        <c:manualLayout>
          <c:layoutTarget val="inner"/>
          <c:xMode val="edge"/>
          <c:yMode val="edge"/>
          <c:x val="0.278417536133662"/>
          <c:y val="0.103389811740269"/>
          <c:w val="0.669697863249106"/>
          <c:h val="0.8350559188252"/>
        </c:manualLayout>
      </c:layout>
      <c:barChart>
        <c:barDir val="bar"/>
        <c:grouping val="clustered"/>
        <c:varyColors val="0"/>
        <c:ser>
          <c:idx val="0"/>
          <c:order val="0"/>
          <c:spPr>
            <a:solidFill>
              <a:schemeClr val="accent1"/>
            </a:solidFill>
            <a:ln>
              <a:noFill/>
            </a:ln>
            <a:effectLst/>
          </c:spPr>
          <c:invertIfNegative val="0"/>
          <c:dLbls>
            <c:delete val="1"/>
          </c:dLbls>
          <c:cat>
            <c:strRef>
              <c:f>Sheet1!$A$252:$A$268</c:f>
              <c:strCache>
                <c:ptCount val="17"/>
                <c:pt idx="0">
                  <c:v>Equipto Electronics</c:v>
                </c:pt>
                <c:pt idx="1">
                  <c:v>Alltec Integrated Manufacturing</c:v>
                </c:pt>
                <c:pt idx="2">
                  <c:v>Hammond Manufacturing</c:v>
                </c:pt>
                <c:pt idx="3">
                  <c:v>Unibox Enclosures</c:v>
                </c:pt>
                <c:pt idx="4">
                  <c:v>Bud Industries</c:v>
                </c:pt>
                <c:pt idx="5">
                  <c:v>Supertronic</c:v>
                </c:pt>
                <c:pt idx="6">
                  <c:v>Kradex</c:v>
                </c:pt>
                <c:pt idx="7">
                  <c:v>CDT</c:v>
                </c:pt>
                <c:pt idx="8">
                  <c:v>Altınkaya Enclosures for Electronics</c:v>
                </c:pt>
                <c:pt idx="9">
                  <c:v>Toolless</c:v>
                </c:pt>
                <c:pt idx="10">
                  <c:v>BOPLA</c:v>
                </c:pt>
                <c:pt idx="11">
                  <c:v>BR Enclosures</c:v>
                </c:pt>
                <c:pt idx="12">
                  <c:v>Takachi Electronics Enclosure</c:v>
                </c:pt>
                <c:pt idx="13">
                  <c:v>ROLEC Gehäuse-Systeme</c:v>
                </c:pt>
                <c:pt idx="14">
                  <c:v>OKW Enclosure</c:v>
                </c:pt>
                <c:pt idx="15">
                  <c:v>Nitto Kogyo Corporation</c:v>
                </c:pt>
                <c:pt idx="16">
                  <c:v>Polycase</c:v>
                </c:pt>
              </c:strCache>
            </c:strRef>
          </c:cat>
          <c:val>
            <c:numRef>
              <c:f>Sheet1!$D$252:$D$268</c:f>
              <c:numCache>
                <c:formatCode>0.00%</c:formatCode>
                <c:ptCount val="17"/>
                <c:pt idx="0">
                  <c:v>0.0101</c:v>
                </c:pt>
                <c:pt idx="1">
                  <c:v>0.0131</c:v>
                </c:pt>
                <c:pt idx="2">
                  <c:v>0.0137</c:v>
                </c:pt>
                <c:pt idx="3">
                  <c:v>0.0163</c:v>
                </c:pt>
                <c:pt idx="4">
                  <c:v>0.0197</c:v>
                </c:pt>
                <c:pt idx="5">
                  <c:v>0.0214</c:v>
                </c:pt>
                <c:pt idx="6">
                  <c:v>0.0273</c:v>
                </c:pt>
                <c:pt idx="7">
                  <c:v>0.0309</c:v>
                </c:pt>
                <c:pt idx="8">
                  <c:v>0.0327</c:v>
                </c:pt>
                <c:pt idx="9">
                  <c:v>0.0371</c:v>
                </c:pt>
                <c:pt idx="10">
                  <c:v>0.0409</c:v>
                </c:pt>
                <c:pt idx="11">
                  <c:v>0.0416</c:v>
                </c:pt>
                <c:pt idx="12">
                  <c:v>0.0511</c:v>
                </c:pt>
                <c:pt idx="13">
                  <c:v>0.0629</c:v>
                </c:pt>
                <c:pt idx="14">
                  <c:v>0.0947</c:v>
                </c:pt>
                <c:pt idx="15">
                  <c:v>0.1063</c:v>
                </c:pt>
                <c:pt idx="16">
                  <c:v>0.1094</c:v>
                </c:pt>
              </c:numCache>
            </c:numRef>
          </c:val>
        </c:ser>
        <c:dLbls>
          <c:showLegendKey val="0"/>
          <c:showVal val="0"/>
          <c:showCatName val="0"/>
          <c:showSerName val="0"/>
          <c:showPercent val="0"/>
          <c:showBubbleSize val="0"/>
        </c:dLbls>
        <c:gapWidth val="182"/>
        <c:axId val="768268920"/>
        <c:axId val="768272880"/>
      </c:barChart>
      <c:catAx>
        <c:axId val="7682689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800" b="0" i="0" u="none" strike="noStrike" kern="1200" baseline="0">
                <a:solidFill>
                  <a:schemeClr val="tx1">
                    <a:lumMod val="65000"/>
                    <a:lumOff val="35000"/>
                  </a:schemeClr>
                </a:solidFill>
                <a:latin typeface="+mn-lt"/>
                <a:ea typeface="+mn-ea"/>
                <a:cs typeface="+mn-cs"/>
              </a:defRPr>
            </a:pPr>
          </a:p>
        </c:txPr>
        <c:crossAx val="768272880"/>
        <c:crosses val="autoZero"/>
        <c:auto val="1"/>
        <c:lblAlgn val="ctr"/>
        <c:lblOffset val="100"/>
        <c:noMultiLvlLbl val="0"/>
      </c:catAx>
      <c:valAx>
        <c:axId val="768272880"/>
        <c:scaling>
          <c:orientation val="minMax"/>
        </c:scaling>
        <c:delete val="1"/>
        <c:axPos val="b"/>
        <c:numFmt formatCode="0.00%" sourceLinked="1"/>
        <c:majorTickMark val="none"/>
        <c:minorTickMark val="none"/>
        <c:tickLblPos val="nextTo"/>
        <c:txPr>
          <a:bodyPr rot="-60000000" spcFirstLastPara="0" vertOverflow="ellipsis" vert="horz" wrap="square" anchor="ctr" anchorCtr="1"/>
          <a:lstStyle/>
          <a:p>
            <a:pPr>
              <a:defRPr lang="zh-CN" sz="700" b="0" i="0" u="none" strike="noStrike" kern="1200" baseline="0">
                <a:solidFill>
                  <a:schemeClr val="tx1">
                    <a:lumMod val="65000"/>
                    <a:lumOff val="35000"/>
                  </a:schemeClr>
                </a:solidFill>
                <a:latin typeface="+mn-lt"/>
                <a:ea typeface="+mn-ea"/>
                <a:cs typeface="+mn-cs"/>
              </a:defRPr>
            </a:pPr>
          </a:p>
        </c:txPr>
        <c:crossAx val="7682689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700" baseline="0"/>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0.54734</cdr:x>
      <cdr:y>0.17465</cdr:y>
    </cdr:from>
    <cdr:to>
      <cdr:x>0.73876</cdr:x>
      <cdr:y>0.50504</cdr:y>
    </cdr:to>
    <cdr:grpSp>
      <cdr:nvGrpSpPr>
        <cdr:cNvPr id="2" name="组合 1"/>
        <cdr:cNvGrpSpPr/>
      </cdr:nvGrpSpPr>
      <cdr:grpSpPr xmlns:a="http://schemas.openxmlformats.org/drawingml/2006/main">
        <a:xfrm rot="439955">
          <a:off x="3387329" y="510374"/>
          <a:ext cx="1184643" cy="965489"/>
          <a:chOff x="2860153" y="1082070"/>
          <a:chExt cx="808296" cy="797129"/>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60153" y="1082070"/>
            <a:ext cx="808296" cy="797129"/>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797512">
            <a:off x="2927679" y="1405657"/>
            <a:ext cx="661239" cy="185799"/>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5.48%</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0.23892</cdr:x>
      <cdr:y>0.50594</cdr:y>
    </cdr:from>
    <cdr:to>
      <cdr:x>0.41468</cdr:x>
      <cdr:y>0.78159</cdr:y>
    </cdr:to>
    <cdr:grpSp>
      <cdr:nvGrpSpPr>
        <cdr:cNvPr id="5" name="组合 4"/>
        <cdr:cNvGrpSpPr/>
      </cdr:nvGrpSpPr>
      <cdr:grpSpPr xmlns:a="http://schemas.openxmlformats.org/drawingml/2006/main">
        <a:xfrm rot="1783323">
          <a:off x="1478607" y="1478493"/>
          <a:ext cx="1087728" cy="805524"/>
          <a:chOff x="3056630" y="1688526"/>
          <a:chExt cx="860779" cy="814928"/>
        </a:xfrm>
      </cdr:grpSpPr>
      <cdr:cxnSp>
        <cdr:nvCxnSpPr>
          <cdr:cNvPr id="6" name="直接箭头连接符 5"/>
          <cdr:cNvCxnSpPr/>
        </cdr:nvCxnSpPr>
        <cdr:spPr xmlns:a="http://schemas.openxmlformats.org/drawingml/2006/main">
          <a:xfrm xmlns:a="http://schemas.openxmlformats.org/drawingml/2006/main" rot="19816677" flipV="1">
            <a:off x="3056630" y="1780104"/>
            <a:ext cx="860779" cy="560852"/>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230322">
            <a:off x="3051620" y="2008392"/>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4.91%</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6</Pages>
  <Words>301</Words>
  <Characters>1721</Characters>
  <Lines>14</Lines>
  <Paragraphs>4</Paragraphs>
  <TotalTime>29</TotalTime>
  <ScaleCrop>false</ScaleCrop>
  <LinksUpToDate>false</LinksUpToDate>
  <CharactersWithSpaces>2018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2024-03-19T07:42:00Z</dcterms:created>
  <dc:creator>yangj</dc:creator>
  <cp:lastModifiedBy>鼕鼕</cp:lastModifiedBy>
  <dcterms:modified xsi:type="dcterms:W3CDTF">2024-03-26T02:59:07Z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B586D8B440B94FE4AB58A0CC67D74A73_12</vt:lpwstr>
  </property>
</Properties>
</file>