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default"/>
          <w:lang w:val="en-US" w:eastAsia="zh-CN"/>
        </w:rPr>
      </w:pPr>
      <w:bookmarkStart w:id="0" w:name="_GoBack"/>
      <w:r>
        <w:rPr>
          <w:rFonts w:hint="eastAsia"/>
          <w:lang w:val="en-US" w:eastAsia="zh-CN"/>
        </w:rPr>
        <w:t>智能预付费仪表在宿舍管理中的应用--安科瑞唐晓娟</w:t>
      </w:r>
    </w:p>
    <w:bookmarkEnd w:id="0"/>
    <w:p>
      <w:pPr>
        <w:pStyle w:val="2"/>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default"/>
          <w:lang w:val="en-US"/>
        </w:rPr>
      </w:pPr>
      <w:r>
        <w:rPr>
          <w:rFonts w:hint="default"/>
          <w:lang w:val="en-US"/>
        </w:rPr>
        <w:t>宿舍公寓物业电能收费系统是指通过在宿舍、公寓、物业小区等建筑物内安装导轨式及预付费电能计量装置，采用远程传输等手段及时采集各监测点电能数据并对用电量进行统一监测和预付费管理，采用先买电后用电的模式，可以用来转移经营风险，并能提前收回电费，减少了后期运营维护人员；实现了网络化实时操作，实时计量监控，即时售退电、即时通断电的控制效果。很好解决了以往后付费电能管理系统用电管理中存在的电费收取困难、拖欠电费不交等的诸多问题，并可通过自助终端机或者互联网自助充值，实现了人工充值与自助充值相结合的灵活方式。通过电能收费管理系统能合理的引导控制用电，对超标使用的电费严格收取，企业或者用户可根据购电情况发现用电的合理性并进行管理。</w:t>
      </w:r>
    </w:p>
    <w:p>
      <w:pPr>
        <w:jc w:val="left"/>
        <w:rPr>
          <w:rFonts w:hint="eastAsia" w:ascii="微软雅黑" w:hAnsi="微软雅黑" w:eastAsia="微软雅黑"/>
          <w:b/>
          <w:bCs/>
          <w:sz w:val="28"/>
          <w:szCs w:val="28"/>
          <w:lang w:val="en-US" w:eastAsia="zh-CN"/>
        </w:rPr>
      </w:pPr>
      <w:r>
        <w:rPr>
          <w:rFonts w:hint="eastAsia" w:ascii="微软雅黑" w:hAnsi="微软雅黑" w:eastAsia="微软雅黑"/>
          <w:b/>
          <w:bCs/>
          <w:sz w:val="28"/>
          <w:szCs w:val="28"/>
          <w:lang w:val="en-US" w:eastAsia="zh-CN"/>
        </w:rPr>
        <w:t>应用场景</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jc w:val="left"/>
        <w:textAlignment w:val="auto"/>
        <w:rPr>
          <w:rFonts w:hint="default" w:ascii="思源黑体 CN Normal" w:hAnsi="思源黑体 CN Normal" w:eastAsia="思源黑体 CN Normal" w:cs="思源黑体 CN Normal"/>
          <w:color w:val="3E3B3A"/>
          <w:kern w:val="0"/>
          <w:sz w:val="21"/>
          <w:szCs w:val="21"/>
          <w:lang w:val="en-US" w:eastAsia="zh-CN" w:bidi="ar"/>
        </w:rPr>
      </w:pPr>
      <w:r>
        <w:rPr>
          <w:rFonts w:hint="eastAsia" w:ascii="思源黑体 CN Normal" w:hAnsi="思源黑体 CN Normal" w:eastAsia="思源黑体 CN Normal" w:cs="思源黑体 CN Normal"/>
          <w:color w:val="3E3B3A"/>
          <w:kern w:val="0"/>
          <w:sz w:val="21"/>
          <w:szCs w:val="21"/>
          <w:lang w:val="en-US" w:eastAsia="zh-CN" w:bidi="ar"/>
        </w:rPr>
        <w:t>高校校区</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jc w:val="left"/>
        <w:textAlignment w:val="auto"/>
        <w:rPr>
          <w:rFonts w:hint="default" w:ascii="思源黑体 CN Normal" w:hAnsi="思源黑体 CN Normal" w:eastAsia="思源黑体 CN Normal" w:cs="思源黑体 CN Normal"/>
          <w:color w:val="3E3B3A"/>
          <w:kern w:val="0"/>
          <w:sz w:val="21"/>
          <w:szCs w:val="21"/>
          <w:lang w:val="en-US" w:eastAsia="zh-CN" w:bidi="ar"/>
        </w:rPr>
      </w:pPr>
      <w:r>
        <w:rPr>
          <w:rFonts w:hint="eastAsia" w:ascii="思源黑体 CN Normal" w:hAnsi="思源黑体 CN Normal" w:eastAsia="思源黑体 CN Normal" w:cs="思源黑体 CN Normal"/>
          <w:color w:val="3E3B3A"/>
          <w:kern w:val="0"/>
          <w:sz w:val="21"/>
          <w:szCs w:val="21"/>
          <w:lang w:val="en-US" w:eastAsia="zh-CN" w:bidi="ar"/>
        </w:rPr>
        <w:t>出租公寓</w:t>
      </w:r>
    </w:p>
    <w:p>
      <w:pPr>
        <w:jc w:val="center"/>
        <w:rPr>
          <w:rFonts w:hint="eastAsia" w:eastAsiaTheme="minorEastAsia"/>
          <w:lang w:eastAsia="zh-CN"/>
        </w:rPr>
      </w:pPr>
      <w:r>
        <w:drawing>
          <wp:inline distT="0" distB="0" distL="114300" distR="114300">
            <wp:extent cx="2362200" cy="3390900"/>
            <wp:effectExtent l="0" t="0" r="0" b="762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4"/>
                    <a:stretch>
                      <a:fillRect/>
                    </a:stretch>
                  </pic:blipFill>
                  <pic:spPr>
                    <a:xfrm>
                      <a:off x="0" y="0"/>
                      <a:ext cx="2362200" cy="3390900"/>
                    </a:xfrm>
                    <a:prstGeom prst="rect">
                      <a:avLst/>
                    </a:prstGeom>
                    <a:noFill/>
                    <a:ln>
                      <a:noFill/>
                    </a:ln>
                  </pic:spPr>
                </pic:pic>
              </a:graphicData>
            </a:graphic>
          </wp:inline>
        </w:drawing>
      </w:r>
      <w:r>
        <w:rPr>
          <w:rFonts w:hint="eastAsia"/>
          <w:lang w:val="en-US" w:eastAsia="zh-CN"/>
        </w:rPr>
        <w:t xml:space="preserve">    </w:t>
      </w:r>
      <w:r>
        <w:rPr>
          <w:rFonts w:hint="eastAsia" w:eastAsiaTheme="minorEastAsia"/>
          <w:lang w:eastAsia="zh-CN"/>
        </w:rPr>
        <w:drawing>
          <wp:inline distT="0" distB="0" distL="114300" distR="114300">
            <wp:extent cx="2359025" cy="3392805"/>
            <wp:effectExtent l="0" t="0" r="3175" b="5715"/>
            <wp:docPr id="12" name="图片 12" descr="1668077659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68077659333"/>
                    <pic:cNvPicPr>
                      <a:picLocks noChangeAspect="1"/>
                    </pic:cNvPicPr>
                  </pic:nvPicPr>
                  <pic:blipFill>
                    <a:blip r:embed="rId5"/>
                    <a:stretch>
                      <a:fillRect/>
                    </a:stretch>
                  </pic:blipFill>
                  <pic:spPr>
                    <a:xfrm>
                      <a:off x="0" y="0"/>
                      <a:ext cx="2359025" cy="3392805"/>
                    </a:xfrm>
                    <a:prstGeom prst="rect">
                      <a:avLst/>
                    </a:prstGeom>
                  </pic:spPr>
                </pic:pic>
              </a:graphicData>
            </a:graphic>
          </wp:inline>
        </w:drawing>
      </w:r>
    </w:p>
    <w:p>
      <w:pPr>
        <w:numPr>
          <w:ilvl w:val="0"/>
          <w:numId w:val="0"/>
        </w:numPr>
        <w:jc w:val="left"/>
        <w:rPr>
          <w:rFonts w:hint="eastAsia"/>
          <w:lang w:val="en-US" w:eastAsia="zh-CN"/>
        </w:rPr>
      </w:pPr>
      <w:r>
        <w:rPr>
          <w:rFonts w:hint="eastAsia" w:ascii="思源黑体 CN Normal" w:hAnsi="思源黑体 CN Normal" w:eastAsia="思源黑体 CN Normal" w:cs="思源黑体 CN Normal"/>
          <w:color w:val="3E3B3A"/>
          <w:kern w:val="0"/>
          <w:sz w:val="21"/>
          <w:szCs w:val="21"/>
          <w:lang w:val="en-US" w:eastAsia="zh-CN" w:bidi="ar"/>
        </w:rPr>
        <w:t xml:space="preserve"> </w:t>
      </w:r>
      <w:r>
        <w:rPr>
          <w:rFonts w:hint="eastAsia"/>
          <w:lang w:val="en-US" w:eastAsia="zh-CN"/>
        </w:rPr>
        <w:t xml:space="preserve">            </w:t>
      </w:r>
    </w:p>
    <w:p>
      <w:pPr>
        <w:keepNext w:val="0"/>
        <w:keepLines w:val="0"/>
        <w:widowControl/>
        <w:suppressLineNumbers w:val="0"/>
        <w:jc w:val="left"/>
        <w:rPr>
          <w:rFonts w:hint="eastAsia" w:ascii="微软雅黑" w:hAnsi="微软雅黑" w:eastAsia="微软雅黑"/>
          <w:b/>
          <w:bCs/>
          <w:sz w:val="28"/>
          <w:szCs w:val="28"/>
          <w:lang w:val="en-US" w:eastAsia="zh-CN"/>
        </w:rPr>
      </w:pPr>
      <w:r>
        <w:rPr>
          <w:rFonts w:hint="eastAsia" w:ascii="微软雅黑" w:hAnsi="微软雅黑" w:eastAsia="微软雅黑"/>
          <w:b/>
          <w:bCs/>
          <w:sz w:val="28"/>
          <w:szCs w:val="28"/>
          <w:lang w:val="en-US" w:eastAsia="zh-CN"/>
        </w:rPr>
        <w:t>功能</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jc w:val="left"/>
        <w:textAlignment w:val="auto"/>
        <w:rPr>
          <w:rFonts w:hint="default" w:ascii="思源黑体 CN Normal" w:hAnsi="思源黑体 CN Normal" w:eastAsia="思源黑体 CN Normal" w:cs="思源黑体 CN Normal"/>
          <w:color w:val="3E3B3A"/>
          <w:kern w:val="0"/>
          <w:sz w:val="21"/>
          <w:szCs w:val="21"/>
          <w:lang w:val="en-US" w:eastAsia="zh-CN" w:bidi="ar"/>
        </w:rPr>
      </w:pPr>
      <w:r>
        <w:rPr>
          <w:rFonts w:hint="eastAsia" w:ascii="思源黑体 CN Normal" w:hAnsi="思源黑体 CN Normal" w:eastAsia="思源黑体 CN Normal" w:cs="思源黑体 CN Normal"/>
          <w:color w:val="3E3B3A"/>
          <w:kern w:val="0"/>
          <w:sz w:val="21"/>
          <w:szCs w:val="21"/>
          <w:lang w:val="en-US" w:eastAsia="zh-CN" w:bidi="ar"/>
        </w:rPr>
        <w:t>全电参量测量，LCD显示，按键编程，脉冲输出。</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jc w:val="left"/>
        <w:textAlignment w:val="auto"/>
        <w:rPr>
          <w:rFonts w:hint="default" w:ascii="思源黑体 CN Normal" w:hAnsi="思源黑体 CN Normal" w:eastAsia="思源黑体 CN Normal" w:cs="思源黑体 CN Normal"/>
          <w:color w:val="3E3B3A"/>
          <w:kern w:val="0"/>
          <w:sz w:val="21"/>
          <w:szCs w:val="21"/>
          <w:lang w:val="en-US" w:eastAsia="zh-CN" w:bidi="ar"/>
        </w:rPr>
      </w:pPr>
      <w:r>
        <w:rPr>
          <w:rFonts w:hint="default" w:ascii="思源黑体 CN Normal" w:hAnsi="思源黑体 CN Normal" w:eastAsia="思源黑体 CN Normal" w:cs="思源黑体 CN Normal"/>
          <w:color w:val="3E3B3A"/>
          <w:kern w:val="0"/>
          <w:sz w:val="21"/>
          <w:szCs w:val="21"/>
          <w:lang w:val="en-US" w:eastAsia="zh-CN" w:bidi="ar"/>
        </w:rPr>
        <w:t>按控制回路分为单</w:t>
      </w:r>
      <w:r>
        <w:rPr>
          <w:rFonts w:hint="eastAsia" w:ascii="思源黑体 CN Normal" w:hAnsi="思源黑体 CN Normal" w:eastAsia="思源黑体 CN Normal" w:cs="思源黑体 CN Normal"/>
          <w:color w:val="3E3B3A"/>
          <w:kern w:val="0"/>
          <w:sz w:val="21"/>
          <w:szCs w:val="21"/>
          <w:lang w:val="en-US" w:eastAsia="zh-CN" w:bidi="ar"/>
        </w:rPr>
        <w:t>回</w:t>
      </w:r>
      <w:r>
        <w:rPr>
          <w:rFonts w:hint="default" w:ascii="思源黑体 CN Normal" w:hAnsi="思源黑体 CN Normal" w:eastAsia="思源黑体 CN Normal" w:cs="思源黑体 CN Normal"/>
          <w:color w:val="3E3B3A"/>
          <w:kern w:val="0"/>
          <w:sz w:val="21"/>
          <w:szCs w:val="21"/>
          <w:lang w:val="en-US" w:eastAsia="zh-CN" w:bidi="ar"/>
        </w:rPr>
        <w:t>路控制、</w:t>
      </w:r>
      <w:r>
        <w:rPr>
          <w:rFonts w:hint="eastAsia" w:ascii="思源黑体 CN Normal" w:hAnsi="思源黑体 CN Normal" w:eastAsia="思源黑体 CN Normal" w:cs="思源黑体 CN Normal"/>
          <w:color w:val="3E3B3A"/>
          <w:kern w:val="0"/>
          <w:sz w:val="21"/>
          <w:szCs w:val="21"/>
          <w:lang w:val="en-US" w:eastAsia="zh-CN" w:bidi="ar"/>
        </w:rPr>
        <w:t>三回</w:t>
      </w:r>
      <w:r>
        <w:rPr>
          <w:rFonts w:hint="default" w:ascii="思源黑体 CN Normal" w:hAnsi="思源黑体 CN Normal" w:eastAsia="思源黑体 CN Normal" w:cs="思源黑体 CN Normal"/>
          <w:color w:val="3E3B3A"/>
          <w:kern w:val="0"/>
          <w:sz w:val="21"/>
          <w:szCs w:val="21"/>
          <w:lang w:val="en-US" w:eastAsia="zh-CN" w:bidi="ar"/>
        </w:rPr>
        <w:t>路控制、</w:t>
      </w:r>
      <w:r>
        <w:rPr>
          <w:rFonts w:hint="eastAsia" w:ascii="思源黑体 CN Normal" w:hAnsi="思源黑体 CN Normal" w:eastAsia="思源黑体 CN Normal" w:cs="思源黑体 CN Normal"/>
          <w:color w:val="3E3B3A"/>
          <w:kern w:val="0"/>
          <w:sz w:val="21"/>
          <w:szCs w:val="21"/>
          <w:lang w:val="en-US" w:eastAsia="zh-CN" w:bidi="ar"/>
        </w:rPr>
        <w:t>四回</w:t>
      </w:r>
      <w:r>
        <w:rPr>
          <w:rFonts w:hint="default" w:ascii="思源黑体 CN Normal" w:hAnsi="思源黑体 CN Normal" w:eastAsia="思源黑体 CN Normal" w:cs="思源黑体 CN Normal"/>
          <w:color w:val="3E3B3A"/>
          <w:kern w:val="0"/>
          <w:sz w:val="21"/>
          <w:szCs w:val="21"/>
          <w:lang w:val="en-US" w:eastAsia="zh-CN" w:bidi="ar"/>
        </w:rPr>
        <w:t>路控制、</w:t>
      </w:r>
      <w:r>
        <w:rPr>
          <w:rFonts w:hint="eastAsia" w:ascii="思源黑体 CN Normal" w:hAnsi="思源黑体 CN Normal" w:eastAsia="思源黑体 CN Normal" w:cs="思源黑体 CN Normal"/>
          <w:color w:val="3E3B3A"/>
          <w:kern w:val="0"/>
          <w:sz w:val="21"/>
          <w:szCs w:val="21"/>
          <w:lang w:val="en-US" w:eastAsia="zh-CN" w:bidi="ar"/>
        </w:rPr>
        <w:t>五</w:t>
      </w:r>
      <w:r>
        <w:rPr>
          <w:rFonts w:hint="default" w:ascii="思源黑体 CN Normal" w:hAnsi="思源黑体 CN Normal" w:eastAsia="思源黑体 CN Normal" w:cs="思源黑体 CN Normal"/>
          <w:color w:val="3E3B3A"/>
          <w:kern w:val="0"/>
          <w:sz w:val="21"/>
          <w:szCs w:val="21"/>
          <w:lang w:val="en-US" w:eastAsia="zh-CN" w:bidi="ar"/>
        </w:rPr>
        <w:t>回路控制。可根据现场实际需要或客户设计需求进行选型，</w:t>
      </w:r>
      <w:r>
        <w:rPr>
          <w:rFonts w:hint="eastAsia" w:ascii="思源黑体 CN Normal" w:hAnsi="思源黑体 CN Normal" w:eastAsia="思源黑体 CN Normal" w:cs="思源黑体 CN Normal"/>
          <w:color w:val="FF0000"/>
          <w:kern w:val="0"/>
          <w:sz w:val="21"/>
          <w:szCs w:val="21"/>
          <w:lang w:val="en-US" w:eastAsia="zh-CN" w:bidi="ar"/>
        </w:rPr>
        <w:t>一进多出</w:t>
      </w:r>
      <w:r>
        <w:rPr>
          <w:rFonts w:hint="eastAsia" w:ascii="思源黑体 CN Normal" w:hAnsi="思源黑体 CN Normal" w:eastAsia="思源黑体 CN Normal" w:cs="思源黑体 CN Normal"/>
          <w:color w:val="3E3B3A"/>
          <w:kern w:val="0"/>
          <w:sz w:val="21"/>
          <w:szCs w:val="21"/>
          <w:lang w:val="en-US" w:eastAsia="zh-CN" w:bidi="ar"/>
        </w:rPr>
        <w:t>的</w:t>
      </w:r>
      <w:r>
        <w:rPr>
          <w:rFonts w:hint="default" w:ascii="思源黑体 CN Normal" w:hAnsi="思源黑体 CN Normal" w:eastAsia="思源黑体 CN Normal" w:cs="思源黑体 CN Normal"/>
          <w:color w:val="3E3B3A"/>
          <w:kern w:val="0"/>
          <w:sz w:val="21"/>
          <w:szCs w:val="21"/>
          <w:lang w:val="en-US" w:eastAsia="zh-CN" w:bidi="ar"/>
        </w:rPr>
        <w:t>控制方式方便</w:t>
      </w:r>
      <w:r>
        <w:rPr>
          <w:rFonts w:hint="eastAsia" w:ascii="思源黑体 CN Normal" w:hAnsi="思源黑体 CN Normal" w:eastAsia="思源黑体 CN Normal" w:cs="思源黑体 CN Normal"/>
          <w:color w:val="3E3B3A"/>
          <w:kern w:val="0"/>
          <w:sz w:val="21"/>
          <w:szCs w:val="21"/>
          <w:lang w:val="en-US" w:eastAsia="zh-CN" w:bidi="ar"/>
        </w:rPr>
        <w:t>了对</w:t>
      </w:r>
      <w:r>
        <w:rPr>
          <w:rFonts w:hint="default" w:ascii="思源黑体 CN Normal" w:hAnsi="思源黑体 CN Normal" w:eastAsia="思源黑体 CN Normal" w:cs="思源黑体 CN Normal"/>
          <w:color w:val="3E3B3A"/>
          <w:kern w:val="0"/>
          <w:sz w:val="21"/>
          <w:szCs w:val="21"/>
          <w:lang w:val="en-US" w:eastAsia="zh-CN" w:bidi="ar"/>
        </w:rPr>
        <w:t>照明和插座或空调照明灯实现</w:t>
      </w:r>
      <w:r>
        <w:rPr>
          <w:rFonts w:hint="default" w:ascii="思源黑体 CN Normal" w:hAnsi="思源黑体 CN Normal" w:eastAsia="思源黑体 CN Normal" w:cs="思源黑体 CN Normal"/>
          <w:color w:val="FF0000"/>
          <w:kern w:val="0"/>
          <w:sz w:val="21"/>
          <w:szCs w:val="21"/>
          <w:lang w:val="en-US" w:eastAsia="zh-CN" w:bidi="ar"/>
        </w:rPr>
        <w:t>分路控制</w:t>
      </w:r>
      <w:r>
        <w:rPr>
          <w:rFonts w:hint="default" w:ascii="思源黑体 CN Normal" w:hAnsi="思源黑体 CN Normal" w:eastAsia="思源黑体 CN Normal" w:cs="思源黑体 CN Normal"/>
          <w:color w:val="3E3B3A"/>
          <w:kern w:val="0"/>
          <w:sz w:val="21"/>
          <w:szCs w:val="21"/>
          <w:lang w:val="en-US" w:eastAsia="zh-CN" w:bidi="ar"/>
        </w:rPr>
        <w:t>，实现人性化管理，满足</w:t>
      </w:r>
      <w:r>
        <w:rPr>
          <w:rFonts w:hint="eastAsia" w:ascii="思源黑体 CN Normal" w:hAnsi="思源黑体 CN Normal" w:eastAsia="思源黑体 CN Normal" w:cs="思源黑体 CN Normal"/>
          <w:color w:val="3E3B3A"/>
          <w:kern w:val="0"/>
          <w:sz w:val="21"/>
          <w:szCs w:val="21"/>
          <w:lang w:val="en-US" w:eastAsia="zh-CN" w:bidi="ar"/>
        </w:rPr>
        <w:t>了</w:t>
      </w:r>
      <w:r>
        <w:rPr>
          <w:rFonts w:hint="default" w:ascii="思源黑体 CN Normal" w:hAnsi="思源黑体 CN Normal" w:eastAsia="思源黑体 CN Normal" w:cs="思源黑体 CN Normal"/>
          <w:color w:val="3E3B3A"/>
          <w:kern w:val="0"/>
          <w:sz w:val="21"/>
          <w:szCs w:val="21"/>
          <w:lang w:val="en-US" w:eastAsia="zh-CN" w:bidi="ar"/>
        </w:rPr>
        <w:t>学生高质量的生活需求。</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jc w:val="left"/>
        <w:textAlignment w:val="auto"/>
        <w:rPr>
          <w:rFonts w:hint="default" w:ascii="思源黑体 CN Normal" w:hAnsi="思源黑体 CN Normal" w:eastAsia="思源黑体 CN Normal" w:cs="思源黑体 CN Normal"/>
          <w:color w:val="3E3B3A"/>
          <w:kern w:val="0"/>
          <w:sz w:val="21"/>
          <w:szCs w:val="21"/>
          <w:lang w:val="en-US" w:eastAsia="zh-CN" w:bidi="ar"/>
        </w:rPr>
      </w:pPr>
      <w:r>
        <w:rPr>
          <w:rFonts w:hint="eastAsia" w:ascii="思源黑体 CN Normal" w:hAnsi="思源黑体 CN Normal" w:eastAsia="思源黑体 CN Normal" w:cs="思源黑体 CN Normal"/>
          <w:color w:val="3E3B3A"/>
          <w:kern w:val="0"/>
          <w:sz w:val="21"/>
          <w:szCs w:val="21"/>
          <w:lang w:val="en-US" w:eastAsia="zh-CN" w:bidi="ar"/>
        </w:rPr>
        <w:t>住户用电管理，</w:t>
      </w:r>
      <w:r>
        <w:rPr>
          <w:rFonts w:hint="eastAsia" w:ascii="思源黑体 CN Normal" w:hAnsi="思源黑体 CN Normal" w:eastAsia="思源黑体 CN Normal" w:cs="思源黑体 CN Normal"/>
          <w:color w:val="FF0000"/>
          <w:kern w:val="0"/>
          <w:sz w:val="21"/>
          <w:szCs w:val="21"/>
          <w:lang w:val="en-US" w:eastAsia="zh-CN" w:bidi="ar"/>
        </w:rPr>
        <w:t>电费预缴，欠费自动断电</w:t>
      </w:r>
      <w:r>
        <w:rPr>
          <w:rFonts w:hint="eastAsia" w:ascii="思源黑体 CN Normal" w:hAnsi="思源黑体 CN Normal" w:eastAsia="思源黑体 CN Normal" w:cs="思源黑体 CN Normal"/>
          <w:color w:val="3E3B3A"/>
          <w:kern w:val="0"/>
          <w:sz w:val="21"/>
          <w:szCs w:val="21"/>
          <w:lang w:val="en-US" w:eastAsia="zh-CN" w:bidi="ar"/>
        </w:rPr>
        <w:t>。</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jc w:val="left"/>
        <w:textAlignment w:val="auto"/>
        <w:rPr>
          <w:rFonts w:hint="default" w:ascii="思源黑体 CN Normal" w:hAnsi="思源黑体 CN Normal" w:eastAsia="思源黑体 CN Normal" w:cs="思源黑体 CN Normal"/>
          <w:color w:val="3E3B3A"/>
          <w:kern w:val="0"/>
          <w:sz w:val="21"/>
          <w:szCs w:val="21"/>
          <w:lang w:val="en-US" w:eastAsia="zh-CN" w:bidi="ar"/>
        </w:rPr>
      </w:pPr>
      <w:r>
        <w:rPr>
          <w:rFonts w:hint="default" w:ascii="思源黑体 CN Normal" w:hAnsi="思源黑体 CN Normal" w:eastAsia="思源黑体 CN Normal" w:cs="思源黑体 CN Normal"/>
          <w:color w:val="FF0000"/>
          <w:kern w:val="0"/>
          <w:sz w:val="21"/>
          <w:szCs w:val="21"/>
          <w:lang w:val="en-US" w:eastAsia="zh-CN" w:bidi="ar"/>
        </w:rPr>
        <w:t>基础免费电量</w:t>
      </w:r>
      <w:r>
        <w:rPr>
          <w:rFonts w:hint="default" w:ascii="思源黑体 CN Normal" w:hAnsi="思源黑体 CN Normal" w:eastAsia="思源黑体 CN Normal" w:cs="思源黑体 CN Normal"/>
          <w:color w:val="3E3B3A"/>
          <w:kern w:val="0"/>
          <w:sz w:val="21"/>
          <w:szCs w:val="21"/>
          <w:lang w:val="en-US" w:eastAsia="zh-CN" w:bidi="ar"/>
        </w:rPr>
        <w:t>：可根据管理要求，对各宿舍，不同区域独立设置基础电量，提供给学生一定的免费电量。</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jc w:val="left"/>
        <w:textAlignment w:val="auto"/>
        <w:rPr>
          <w:rFonts w:hint="default" w:ascii="思源黑体 CN Normal" w:hAnsi="思源黑体 CN Normal" w:eastAsia="思源黑体 CN Normal" w:cs="思源黑体 CN Normal"/>
          <w:color w:val="3E3B3A"/>
          <w:kern w:val="0"/>
          <w:sz w:val="21"/>
          <w:szCs w:val="21"/>
          <w:lang w:val="en-US" w:eastAsia="zh-CN" w:bidi="ar"/>
        </w:rPr>
      </w:pPr>
      <w:r>
        <w:rPr>
          <w:rFonts w:hint="eastAsia" w:ascii="思源黑体 CN Normal" w:hAnsi="思源黑体 CN Normal" w:eastAsia="思源黑体 CN Normal" w:cs="思源黑体 CN Normal"/>
          <w:color w:val="3E3B3A"/>
          <w:kern w:val="0"/>
          <w:sz w:val="21"/>
          <w:szCs w:val="21"/>
          <w:lang w:val="en-US" w:eastAsia="zh-CN" w:bidi="ar"/>
        </w:rPr>
        <w:t>每个回路均可设置</w:t>
      </w:r>
      <w:r>
        <w:rPr>
          <w:rFonts w:hint="eastAsia" w:ascii="思源黑体 CN Normal" w:hAnsi="思源黑体 CN Normal" w:eastAsia="思源黑体 CN Normal" w:cs="思源黑体 CN Normal"/>
          <w:color w:val="FF0000"/>
          <w:kern w:val="0"/>
          <w:sz w:val="21"/>
          <w:szCs w:val="21"/>
          <w:lang w:val="en-US" w:eastAsia="zh-CN" w:bidi="ar"/>
        </w:rPr>
        <w:t>恶意负载设别</w:t>
      </w:r>
      <w:r>
        <w:rPr>
          <w:rFonts w:hint="eastAsia" w:ascii="思源黑体 CN Normal" w:hAnsi="思源黑体 CN Normal" w:eastAsia="思源黑体 CN Normal" w:cs="思源黑体 CN Normal"/>
          <w:color w:val="3E3B3A"/>
          <w:kern w:val="0"/>
          <w:sz w:val="21"/>
          <w:szCs w:val="21"/>
          <w:lang w:val="en-US" w:eastAsia="zh-CN" w:bidi="ar"/>
        </w:rPr>
        <w:t>功能，实现设置不同的负载识别范围，准确识别恶性负载，确保安全用电功能。</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jc w:val="left"/>
        <w:textAlignment w:val="auto"/>
        <w:rPr>
          <w:rFonts w:hint="default" w:ascii="思源黑体 CN Normal" w:hAnsi="思源黑体 CN Normal" w:eastAsia="思源黑体 CN Normal" w:cs="思源黑体 CN Normal"/>
          <w:color w:val="3E3B3A"/>
          <w:kern w:val="0"/>
          <w:sz w:val="21"/>
          <w:szCs w:val="21"/>
          <w:lang w:val="en-US" w:eastAsia="zh-CN" w:bidi="ar"/>
        </w:rPr>
      </w:pPr>
      <w:r>
        <w:rPr>
          <w:rFonts w:hint="eastAsia" w:ascii="思源黑体 CN Normal" w:hAnsi="思源黑体 CN Normal" w:eastAsia="思源黑体 CN Normal" w:cs="思源黑体 CN Normal"/>
          <w:color w:val="3E3B3A"/>
          <w:kern w:val="0"/>
          <w:sz w:val="21"/>
          <w:szCs w:val="21"/>
          <w:lang w:val="en-US" w:eastAsia="zh-CN" w:bidi="ar"/>
        </w:rPr>
        <w:t>定时通断：每个回路可以分别按</w:t>
      </w:r>
      <w:r>
        <w:rPr>
          <w:rFonts w:hint="eastAsia" w:ascii="思源黑体 CN Normal" w:hAnsi="思源黑体 CN Normal" w:eastAsia="思源黑体 CN Normal" w:cs="思源黑体 CN Normal"/>
          <w:color w:val="FF0000"/>
          <w:kern w:val="0"/>
          <w:sz w:val="21"/>
          <w:szCs w:val="21"/>
          <w:lang w:val="en-US" w:eastAsia="zh-CN" w:bidi="ar"/>
        </w:rPr>
        <w:t>预先设定的作息时间</w:t>
      </w:r>
      <w:r>
        <w:rPr>
          <w:rFonts w:hint="eastAsia" w:ascii="思源黑体 CN Normal" w:hAnsi="思源黑体 CN Normal" w:eastAsia="思源黑体 CN Normal" w:cs="思源黑体 CN Normal"/>
          <w:color w:val="3E3B3A"/>
          <w:kern w:val="0"/>
          <w:sz w:val="21"/>
          <w:szCs w:val="21"/>
          <w:lang w:val="en-US" w:eastAsia="zh-CN" w:bidi="ar"/>
        </w:rPr>
        <w:t>，</w:t>
      </w:r>
      <w:r>
        <w:rPr>
          <w:rFonts w:hint="eastAsia" w:ascii="思源黑体 CN Normal" w:hAnsi="思源黑体 CN Normal" w:eastAsia="思源黑体 CN Normal" w:cs="思源黑体 CN Normal"/>
          <w:color w:val="FF0000"/>
          <w:kern w:val="0"/>
          <w:sz w:val="21"/>
          <w:szCs w:val="21"/>
          <w:lang w:val="en-US" w:eastAsia="zh-CN" w:bidi="ar"/>
        </w:rPr>
        <w:t>自动分别实现停电、送电管理</w:t>
      </w:r>
      <w:r>
        <w:rPr>
          <w:rFonts w:hint="eastAsia" w:ascii="思源黑体 CN Normal" w:hAnsi="思源黑体 CN Normal" w:eastAsia="思源黑体 CN Normal" w:cs="思源黑体 CN Normal"/>
          <w:color w:val="3E3B3A"/>
          <w:kern w:val="0"/>
          <w:sz w:val="21"/>
          <w:szCs w:val="21"/>
          <w:lang w:val="en-US" w:eastAsia="zh-CN" w:bidi="ar"/>
        </w:rPr>
        <w:t>。</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jc w:val="left"/>
        <w:textAlignment w:val="auto"/>
        <w:rPr>
          <w:rFonts w:hint="default" w:ascii="思源黑体 CN Normal" w:hAnsi="思源黑体 CN Normal" w:eastAsia="思源黑体 CN Normal" w:cs="思源黑体 CN Normal"/>
          <w:color w:val="3E3B3A"/>
          <w:kern w:val="0"/>
          <w:sz w:val="21"/>
          <w:szCs w:val="21"/>
          <w:lang w:val="en-US" w:eastAsia="zh-CN" w:bidi="ar"/>
        </w:rPr>
      </w:pPr>
      <w:r>
        <w:rPr>
          <w:rFonts w:hint="eastAsia" w:ascii="思源黑体 CN Normal" w:hAnsi="思源黑体 CN Normal" w:eastAsia="思源黑体 CN Normal" w:cs="思源黑体 CN Normal"/>
          <w:color w:val="FF0000"/>
          <w:kern w:val="0"/>
          <w:sz w:val="21"/>
          <w:szCs w:val="21"/>
          <w:lang w:val="en-US" w:eastAsia="zh-CN" w:bidi="ar"/>
        </w:rPr>
        <w:t>事件记录</w:t>
      </w:r>
      <w:r>
        <w:rPr>
          <w:rFonts w:hint="eastAsia" w:ascii="思源黑体 CN Normal" w:hAnsi="思源黑体 CN Normal" w:eastAsia="思源黑体 CN Normal" w:cs="思源黑体 CN Normal"/>
          <w:color w:val="3E3B3A"/>
          <w:kern w:val="0"/>
          <w:sz w:val="21"/>
          <w:szCs w:val="21"/>
          <w:lang w:val="en-US" w:eastAsia="zh-CN" w:bidi="ar"/>
        </w:rPr>
        <w:t>：具有清零、跳闸记录、冻结数据等事件记录功能。</w:t>
      </w:r>
    </w:p>
    <w:p>
      <w:pPr>
        <w:keepNext w:val="0"/>
        <w:keepLines w:val="0"/>
        <w:widowControl/>
        <w:suppressLineNumbers w:val="0"/>
        <w:jc w:val="left"/>
        <w:rPr>
          <w:rFonts w:hint="eastAsia" w:ascii="微软雅黑" w:hAnsi="微软雅黑" w:eastAsia="微软雅黑"/>
          <w:b/>
          <w:bCs/>
          <w:sz w:val="28"/>
          <w:szCs w:val="28"/>
          <w:lang w:val="en-US" w:eastAsia="zh-CN"/>
        </w:rPr>
      </w:pPr>
    </w:p>
    <w:p>
      <w:pPr>
        <w:keepNext w:val="0"/>
        <w:keepLines w:val="0"/>
        <w:widowControl/>
        <w:suppressLineNumbers w:val="0"/>
        <w:jc w:val="both"/>
        <w:rPr>
          <w:rFonts w:hint="default" w:ascii="微软雅黑" w:hAnsi="微软雅黑" w:eastAsiaTheme="minorEastAsia"/>
          <w:b/>
          <w:bCs/>
          <w:sz w:val="28"/>
          <w:szCs w:val="28"/>
          <w:lang w:val="en-US" w:eastAsia="zh-CN"/>
        </w:rPr>
      </w:pPr>
      <w:r>
        <w:drawing>
          <wp:anchor distT="0" distB="0" distL="114300" distR="114300" simplePos="0" relativeHeight="251659264" behindDoc="0" locked="0" layoutInCell="1" allowOverlap="1">
            <wp:simplePos x="0" y="0"/>
            <wp:positionH relativeFrom="column">
              <wp:posOffset>414020</wp:posOffset>
            </wp:positionH>
            <wp:positionV relativeFrom="paragraph">
              <wp:posOffset>443865</wp:posOffset>
            </wp:positionV>
            <wp:extent cx="4627245" cy="5490845"/>
            <wp:effectExtent l="0" t="0" r="5715" b="10795"/>
            <wp:wrapTopAndBottom/>
            <wp:docPr id="11" name="图片 3" descr="C:\Users\电能管理\Desktop\微信图片_20221110183923.jpg微信图片_20221110183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C:\Users\电能管理\Desktop\微信图片_20221110183923.jpg微信图片_20221110183923"/>
                    <pic:cNvPicPr>
                      <a:picLocks noChangeAspect="1"/>
                    </pic:cNvPicPr>
                  </pic:nvPicPr>
                  <pic:blipFill>
                    <a:blip r:embed="rId6"/>
                    <a:srcRect/>
                    <a:stretch>
                      <a:fillRect/>
                    </a:stretch>
                  </pic:blipFill>
                  <pic:spPr>
                    <a:xfrm>
                      <a:off x="0" y="0"/>
                      <a:ext cx="4627245" cy="5490845"/>
                    </a:xfrm>
                    <a:prstGeom prst="rect">
                      <a:avLst/>
                    </a:prstGeom>
                    <a:noFill/>
                    <a:ln>
                      <a:noFill/>
                    </a:ln>
                  </pic:spPr>
                </pic:pic>
              </a:graphicData>
            </a:graphic>
          </wp:anchor>
        </w:drawing>
      </w:r>
      <w:r>
        <w:rPr>
          <w:rFonts w:hint="eastAsia" w:ascii="微软雅黑" w:hAnsi="微软雅黑" w:eastAsia="微软雅黑"/>
          <w:b/>
          <w:bCs/>
          <w:sz w:val="28"/>
          <w:szCs w:val="28"/>
          <w:lang w:val="en-US" w:eastAsia="zh-CN"/>
        </w:rPr>
        <w:t>组网</w:t>
      </w:r>
      <w:r>
        <w:rPr>
          <w:rFonts w:hint="eastAsia"/>
          <w:lang w:val="en-US" w:eastAsia="zh-CN"/>
        </w:rPr>
        <w:t xml:space="preserve"> </w:t>
      </w:r>
    </w:p>
    <w:p>
      <w:pPr>
        <w:rPr>
          <w:rFonts w:hint="default" w:ascii="微软雅黑" w:hAnsi="微软雅黑" w:eastAsia="微软雅黑"/>
          <w:b/>
          <w:bCs/>
          <w:sz w:val="28"/>
          <w:szCs w:val="28"/>
          <w:lang w:val="en-US" w:eastAsia="zh-CN"/>
        </w:rPr>
      </w:pPr>
      <w:r>
        <w:rPr>
          <w:rFonts w:hint="eastAsia" w:ascii="微软雅黑" w:hAnsi="微软雅黑" w:eastAsia="微软雅黑"/>
          <w:b/>
          <w:bCs/>
          <w:sz w:val="28"/>
          <w:szCs w:val="28"/>
          <w:lang w:val="en-US" w:eastAsia="zh-CN"/>
        </w:rPr>
        <w:t>产品选型</w:t>
      </w:r>
    </w:p>
    <w:tbl>
      <w:tblPr>
        <w:tblStyle w:val="5"/>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2"/>
        <w:gridCol w:w="1674"/>
        <w:gridCol w:w="2560"/>
        <w:gridCol w:w="2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332" w:type="dxa"/>
          </w:tcPr>
          <w:p>
            <w:pPr>
              <w:jc w:val="center"/>
              <w:rPr>
                <w:rFonts w:ascii="微软雅黑" w:hAnsi="微软雅黑" w:eastAsia="微软雅黑"/>
                <w:sz w:val="24"/>
              </w:rPr>
            </w:pPr>
            <w:r>
              <w:rPr>
                <w:rFonts w:hint="eastAsia" w:ascii="微软雅黑" w:hAnsi="微软雅黑" w:eastAsia="微软雅黑"/>
                <w:sz w:val="24"/>
              </w:rPr>
              <w:t>型号</w:t>
            </w:r>
          </w:p>
        </w:tc>
        <w:tc>
          <w:tcPr>
            <w:tcW w:w="1674" w:type="dxa"/>
          </w:tcPr>
          <w:p>
            <w:pPr>
              <w:jc w:val="center"/>
              <w:rPr>
                <w:rFonts w:ascii="微软雅黑" w:hAnsi="微软雅黑" w:eastAsia="微软雅黑"/>
                <w:sz w:val="24"/>
              </w:rPr>
            </w:pPr>
            <w:r>
              <w:rPr>
                <w:rFonts w:hint="eastAsia" w:ascii="微软雅黑" w:hAnsi="微软雅黑" w:eastAsia="微软雅黑"/>
                <w:sz w:val="24"/>
              </w:rPr>
              <w:t>认证</w:t>
            </w:r>
          </w:p>
        </w:tc>
        <w:tc>
          <w:tcPr>
            <w:tcW w:w="2560" w:type="dxa"/>
          </w:tcPr>
          <w:p>
            <w:pPr>
              <w:jc w:val="center"/>
              <w:rPr>
                <w:rFonts w:ascii="微软雅黑" w:hAnsi="微软雅黑" w:eastAsia="微软雅黑"/>
                <w:sz w:val="24"/>
              </w:rPr>
            </w:pPr>
            <w:r>
              <w:rPr>
                <w:rFonts w:hint="eastAsia" w:ascii="微软雅黑" w:hAnsi="微软雅黑" w:eastAsia="微软雅黑"/>
                <w:sz w:val="24"/>
              </w:rPr>
              <w:t>图片</w:t>
            </w:r>
          </w:p>
        </w:tc>
        <w:tc>
          <w:tcPr>
            <w:tcW w:w="2992" w:type="dxa"/>
          </w:tcPr>
          <w:p>
            <w:pPr>
              <w:jc w:val="center"/>
              <w:rPr>
                <w:rFonts w:hint="eastAsia" w:ascii="微软雅黑" w:hAnsi="微软雅黑" w:eastAsia="微软雅黑"/>
                <w:sz w:val="24"/>
                <w:lang w:val="en-US" w:eastAsia="zh-CN"/>
              </w:rPr>
            </w:pPr>
            <w:r>
              <w:rPr>
                <w:rFonts w:hint="eastAsia" w:ascii="微软雅黑" w:hAnsi="微软雅黑" w:eastAsia="微软雅黑"/>
                <w:sz w:val="24"/>
                <w:lang w:val="en-US" w:eastAsia="zh-CN"/>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4" w:hRule="atLeast"/>
        </w:trPr>
        <w:tc>
          <w:tcPr>
            <w:tcW w:w="2332" w:type="dxa"/>
            <w:vAlign w:val="center"/>
          </w:tcPr>
          <w:p>
            <w:pPr>
              <w:jc w:val="center"/>
              <w:rPr>
                <w:rFonts w:hint="default" w:ascii="微软雅黑" w:hAnsi="微软雅黑" w:eastAsia="微软雅黑"/>
                <w:sz w:val="24"/>
                <w:lang w:val="en-US" w:eastAsia="zh-CN"/>
              </w:rPr>
            </w:pPr>
            <w:r>
              <w:rPr>
                <w:rFonts w:hint="eastAsia" w:ascii="微软雅黑" w:hAnsi="微软雅黑" w:eastAsia="微软雅黑"/>
                <w:sz w:val="24"/>
                <w:lang w:val="en-US" w:eastAsia="zh-CN"/>
              </w:rPr>
              <w:t>DDSY1352-3DM</w:t>
            </w:r>
          </w:p>
        </w:tc>
        <w:tc>
          <w:tcPr>
            <w:tcW w:w="1674" w:type="dxa"/>
            <w:vAlign w:val="center"/>
          </w:tcPr>
          <w:p>
            <w:pPr>
              <w:jc w:val="center"/>
              <w:rPr>
                <w:rFonts w:hint="default" w:ascii="微软雅黑" w:hAnsi="微软雅黑" w:eastAsia="微软雅黑"/>
                <w:sz w:val="24"/>
                <w:lang w:val="en-US" w:eastAsia="zh-CN"/>
              </w:rPr>
            </w:pPr>
            <w:r>
              <w:rPr>
                <w:rFonts w:hint="eastAsia" w:ascii="微软雅黑" w:hAnsi="微软雅黑" w:eastAsia="微软雅黑"/>
                <w:sz w:val="24"/>
                <w:lang w:val="en-US" w:eastAsia="zh-CN"/>
              </w:rPr>
              <w:t>CPA</w:t>
            </w:r>
          </w:p>
        </w:tc>
        <w:tc>
          <w:tcPr>
            <w:tcW w:w="2560" w:type="dxa"/>
            <w:vAlign w:val="center"/>
          </w:tcPr>
          <w:p>
            <w:pPr>
              <w:jc w:val="center"/>
              <w:rPr>
                <w:rFonts w:ascii="微软雅黑" w:hAnsi="微软雅黑" w:eastAsia="微软雅黑"/>
                <w:sz w:val="28"/>
                <w:szCs w:val="28"/>
              </w:rPr>
            </w:pPr>
            <w:r>
              <w:drawing>
                <wp:inline distT="0" distB="0" distL="114300" distR="114300">
                  <wp:extent cx="1104900" cy="1104900"/>
                  <wp:effectExtent l="0" t="0" r="7620" b="7620"/>
                  <wp:docPr id="8" name="图片 3" descr="C:\Users\电能管理\Desktop\微信图片_20221110184318.jpg微信图片_20221110184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C:\Users\电能管理\Desktop\微信图片_20221110184318.jpg微信图片_20221110184318"/>
                          <pic:cNvPicPr>
                            <a:picLocks noChangeAspect="1"/>
                          </pic:cNvPicPr>
                        </pic:nvPicPr>
                        <pic:blipFill>
                          <a:blip r:embed="rId7"/>
                          <a:srcRect/>
                          <a:stretch>
                            <a:fillRect/>
                          </a:stretch>
                        </pic:blipFill>
                        <pic:spPr>
                          <a:xfrm>
                            <a:off x="0" y="0"/>
                            <a:ext cx="1104900" cy="1104900"/>
                          </a:xfrm>
                          <a:prstGeom prst="rect">
                            <a:avLst/>
                          </a:prstGeom>
                          <a:noFill/>
                          <a:ln>
                            <a:noFill/>
                          </a:ln>
                        </pic:spPr>
                      </pic:pic>
                    </a:graphicData>
                  </a:graphic>
                </wp:inline>
              </w:drawing>
            </w:r>
          </w:p>
        </w:tc>
        <w:tc>
          <w:tcPr>
            <w:tcW w:w="2992" w:type="dxa"/>
            <w:vAlign w:val="center"/>
          </w:tcPr>
          <w:p>
            <w:pPr>
              <w:jc w:val="center"/>
              <w:rPr>
                <w:rFonts w:ascii="微软雅黑" w:hAnsi="微软雅黑" w:eastAsia="微软雅黑"/>
                <w:sz w:val="28"/>
                <w:szCs w:val="28"/>
              </w:rPr>
            </w:pPr>
            <w:r>
              <w:drawing>
                <wp:inline distT="0" distB="0" distL="114300" distR="114300">
                  <wp:extent cx="1648460" cy="1120775"/>
                  <wp:effectExtent l="0" t="0" r="1270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1648460" cy="11207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trPr>
        <w:tc>
          <w:tcPr>
            <w:tcW w:w="2332" w:type="dxa"/>
            <w:vAlign w:val="center"/>
          </w:tcPr>
          <w:p>
            <w:pPr>
              <w:jc w:val="center"/>
              <w:rPr>
                <w:rFonts w:hint="eastAsia"/>
                <w:sz w:val="24"/>
                <w:szCs w:val="24"/>
                <w:lang w:val="en-US" w:eastAsia="zh-CN"/>
              </w:rPr>
            </w:pPr>
            <w:r>
              <w:rPr>
                <w:rFonts w:hint="eastAsia"/>
                <w:sz w:val="24"/>
                <w:szCs w:val="24"/>
                <w:lang w:val="en-US" w:eastAsia="zh-CN"/>
              </w:rPr>
              <w:t>DDSY1352-4DM</w:t>
            </w:r>
          </w:p>
          <w:p>
            <w:pPr>
              <w:jc w:val="center"/>
              <w:rPr>
                <w:rFonts w:hint="eastAsia"/>
                <w:sz w:val="24"/>
                <w:szCs w:val="24"/>
                <w:lang w:val="en-US" w:eastAsia="zh-CN"/>
              </w:rPr>
            </w:pPr>
            <w:r>
              <w:rPr>
                <w:rFonts w:hint="eastAsia"/>
                <w:sz w:val="24"/>
                <w:szCs w:val="24"/>
                <w:lang w:val="en-US" w:eastAsia="zh-CN"/>
              </w:rPr>
              <w:t>DDSY1352-5DM</w:t>
            </w:r>
          </w:p>
          <w:p>
            <w:pPr>
              <w:pStyle w:val="2"/>
              <w:rPr>
                <w:rFonts w:hint="eastAsia"/>
              </w:rPr>
            </w:pPr>
          </w:p>
        </w:tc>
        <w:tc>
          <w:tcPr>
            <w:tcW w:w="1674" w:type="dxa"/>
            <w:vAlign w:val="center"/>
          </w:tcPr>
          <w:p>
            <w:pPr>
              <w:jc w:val="center"/>
              <w:rPr>
                <w:rFonts w:hint="default" w:ascii="微软雅黑" w:hAnsi="微软雅黑" w:eastAsia="微软雅黑"/>
                <w:sz w:val="24"/>
                <w:lang w:val="en-US" w:eastAsia="zh-CN"/>
              </w:rPr>
            </w:pPr>
            <w:r>
              <w:rPr>
                <w:rFonts w:hint="eastAsia" w:ascii="微软雅黑" w:hAnsi="微软雅黑" w:eastAsia="微软雅黑"/>
                <w:sz w:val="24"/>
                <w:lang w:val="en-US" w:eastAsia="zh-CN"/>
              </w:rPr>
              <w:t>CPA</w:t>
            </w:r>
          </w:p>
        </w:tc>
        <w:tc>
          <w:tcPr>
            <w:tcW w:w="2560" w:type="dxa"/>
            <w:vAlign w:val="center"/>
          </w:tcPr>
          <w:p>
            <w:pPr>
              <w:jc w:val="center"/>
              <w:rPr>
                <w:rFonts w:ascii="微软雅黑" w:hAnsi="微软雅黑" w:eastAsia="微软雅黑"/>
                <w:sz w:val="28"/>
                <w:szCs w:val="28"/>
              </w:rPr>
            </w:pPr>
            <w:r>
              <w:drawing>
                <wp:inline distT="0" distB="0" distL="114300" distR="114300">
                  <wp:extent cx="1204595" cy="1204595"/>
                  <wp:effectExtent l="0" t="0" r="14605" b="14605"/>
                  <wp:docPr id="10" name="图片 4" descr="C:\Users\电能管理\Desktop\微信图片_20221110183634.jpg微信图片_20221110183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C:\Users\电能管理\Desktop\微信图片_20221110183634.jpg微信图片_20221110183634"/>
                          <pic:cNvPicPr>
                            <a:picLocks noChangeAspect="1"/>
                          </pic:cNvPicPr>
                        </pic:nvPicPr>
                        <pic:blipFill>
                          <a:blip r:embed="rId9"/>
                          <a:srcRect/>
                          <a:stretch>
                            <a:fillRect/>
                          </a:stretch>
                        </pic:blipFill>
                        <pic:spPr>
                          <a:xfrm>
                            <a:off x="0" y="0"/>
                            <a:ext cx="1204595" cy="1204595"/>
                          </a:xfrm>
                          <a:prstGeom prst="rect">
                            <a:avLst/>
                          </a:prstGeom>
                          <a:noFill/>
                          <a:ln>
                            <a:noFill/>
                          </a:ln>
                        </pic:spPr>
                      </pic:pic>
                    </a:graphicData>
                  </a:graphic>
                </wp:inline>
              </w:drawing>
            </w:r>
          </w:p>
        </w:tc>
        <w:tc>
          <w:tcPr>
            <w:tcW w:w="2992" w:type="dxa"/>
            <w:vAlign w:val="center"/>
          </w:tcPr>
          <w:p>
            <w:pPr>
              <w:jc w:val="center"/>
            </w:pPr>
            <w:r>
              <w:drawing>
                <wp:inline distT="0" distB="0" distL="114300" distR="114300">
                  <wp:extent cx="1648460" cy="1120775"/>
                  <wp:effectExtent l="0" t="0" r="1270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1648460" cy="11207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4" w:hRule="atLeast"/>
        </w:trPr>
        <w:tc>
          <w:tcPr>
            <w:tcW w:w="2332" w:type="dxa"/>
            <w:vAlign w:val="center"/>
          </w:tcPr>
          <w:p>
            <w:pPr>
              <w:jc w:val="center"/>
              <w:rPr>
                <w:rFonts w:hint="default" w:ascii="微软雅黑" w:hAnsi="微软雅黑" w:eastAsia="微软雅黑"/>
                <w:sz w:val="24"/>
                <w:lang w:val="en-US" w:eastAsia="zh-CN"/>
              </w:rPr>
            </w:pPr>
            <w:r>
              <w:rPr>
                <w:rFonts w:hint="eastAsia" w:ascii="微软雅黑" w:hAnsi="微软雅黑" w:eastAsia="微软雅黑"/>
                <w:sz w:val="24"/>
                <w:lang w:val="en-US" w:eastAsia="zh-CN"/>
              </w:rPr>
              <w:t>ADF400L</w:t>
            </w:r>
          </w:p>
        </w:tc>
        <w:tc>
          <w:tcPr>
            <w:tcW w:w="1674" w:type="dxa"/>
            <w:vAlign w:val="center"/>
          </w:tcPr>
          <w:p>
            <w:pPr>
              <w:jc w:val="center"/>
              <w:rPr>
                <w:rFonts w:hint="eastAsia" w:ascii="微软雅黑" w:hAnsi="微软雅黑" w:eastAsia="微软雅黑"/>
                <w:sz w:val="24"/>
                <w:lang w:val="en-US" w:eastAsia="zh-CN"/>
              </w:rPr>
            </w:pPr>
            <w:r>
              <w:rPr>
                <w:rFonts w:hint="eastAsia" w:ascii="微软雅黑" w:hAnsi="微软雅黑" w:eastAsia="微软雅黑"/>
                <w:sz w:val="24"/>
              </w:rPr>
              <w:t>C</w:t>
            </w:r>
            <w:r>
              <w:rPr>
                <w:rFonts w:ascii="微软雅黑" w:hAnsi="微软雅黑" w:eastAsia="微软雅黑"/>
                <w:sz w:val="24"/>
              </w:rPr>
              <w:t>E</w:t>
            </w:r>
            <w:r>
              <w:rPr>
                <w:rFonts w:hint="eastAsia" w:ascii="微软雅黑" w:hAnsi="微软雅黑" w:eastAsia="微软雅黑"/>
                <w:sz w:val="24"/>
                <w:lang w:val="en-US" w:eastAsia="zh-CN"/>
              </w:rPr>
              <w:t>/CMA</w:t>
            </w:r>
          </w:p>
        </w:tc>
        <w:tc>
          <w:tcPr>
            <w:tcW w:w="2560" w:type="dxa"/>
            <w:vAlign w:val="center"/>
          </w:tcPr>
          <w:p>
            <w:pPr>
              <w:jc w:val="center"/>
            </w:pPr>
            <w:r>
              <w:drawing>
                <wp:inline distT="0" distB="0" distL="114300" distR="114300">
                  <wp:extent cx="1195070" cy="530860"/>
                  <wp:effectExtent l="0" t="0" r="8890" b="2540"/>
                  <wp:docPr id="4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
                          <pic:cNvPicPr>
                            <a:picLocks noChangeAspect="1"/>
                          </pic:cNvPicPr>
                        </pic:nvPicPr>
                        <pic:blipFill>
                          <a:blip r:embed="rId10"/>
                          <a:stretch>
                            <a:fillRect/>
                          </a:stretch>
                        </pic:blipFill>
                        <pic:spPr>
                          <a:xfrm>
                            <a:off x="0" y="0"/>
                            <a:ext cx="1195070" cy="530860"/>
                          </a:xfrm>
                          <a:prstGeom prst="rect">
                            <a:avLst/>
                          </a:prstGeom>
                          <a:noFill/>
                          <a:ln>
                            <a:noFill/>
                          </a:ln>
                        </pic:spPr>
                      </pic:pic>
                    </a:graphicData>
                  </a:graphic>
                </wp:inline>
              </w:drawing>
            </w:r>
          </w:p>
        </w:tc>
        <w:tc>
          <w:tcPr>
            <w:tcW w:w="2992" w:type="dxa"/>
            <w:vAlign w:val="center"/>
          </w:tcPr>
          <w:p>
            <w:pPr>
              <w:jc w:val="center"/>
            </w:pPr>
            <w:r>
              <w:drawing>
                <wp:inline distT="0" distB="0" distL="114300" distR="114300">
                  <wp:extent cx="1417955" cy="2002790"/>
                  <wp:effectExtent l="0" t="0" r="14605" b="8890"/>
                  <wp:docPr id="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pic:cNvPicPr>
                            <a:picLocks noChangeAspect="1"/>
                          </pic:cNvPicPr>
                        </pic:nvPicPr>
                        <pic:blipFill>
                          <a:blip r:embed="rId11"/>
                          <a:stretch>
                            <a:fillRect/>
                          </a:stretch>
                        </pic:blipFill>
                        <pic:spPr>
                          <a:xfrm>
                            <a:off x="0" y="0"/>
                            <a:ext cx="1417955" cy="2002790"/>
                          </a:xfrm>
                          <a:prstGeom prst="rect">
                            <a:avLst/>
                          </a:prstGeom>
                          <a:noFill/>
                          <a:ln>
                            <a:noFill/>
                          </a:ln>
                        </pic:spPr>
                      </pic:pic>
                    </a:graphicData>
                  </a:graphic>
                </wp:inline>
              </w:drawing>
            </w:r>
          </w:p>
        </w:tc>
      </w:tr>
    </w:tbl>
    <w:p/>
    <w:p/>
    <w:p>
      <w:pPr>
        <w:rPr>
          <w:rFonts w:hint="default" w:eastAsiaTheme="minorEastAsia"/>
          <w:lang w:val="en-US" w:eastAsia="zh-CN"/>
        </w:rPr>
      </w:pPr>
      <w:r>
        <w:rPr>
          <w:rFonts w:hint="eastAsia"/>
          <w:lang w:val="en-US" w:eastAsia="zh-CN"/>
        </w:rPr>
        <w:t>安科瑞唐晓娟13774431042</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思源黑体 CN Normal">
    <w:altName w:val="黑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81C42B"/>
    <w:multiLevelType w:val="singleLevel"/>
    <w:tmpl w:val="C681C42B"/>
    <w:lvl w:ilvl="0" w:tentative="0">
      <w:start w:val="1"/>
      <w:numFmt w:val="bullet"/>
      <w:lvlText w:val=""/>
      <w:lvlJc w:val="left"/>
      <w:pPr>
        <w:ind w:left="420" w:hanging="420"/>
      </w:pPr>
      <w:rPr>
        <w:rFonts w:hint="default" w:ascii="Wingdings" w:hAnsi="Wingdings"/>
      </w:rPr>
    </w:lvl>
  </w:abstractNum>
  <w:abstractNum w:abstractNumId="1">
    <w:nsid w:val="F1CEA2F7"/>
    <w:multiLevelType w:val="singleLevel"/>
    <w:tmpl w:val="F1CEA2F7"/>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OGYwMTk1YzgyMGU0YTQ5MDZmNjgxODlkNGM0MTkifQ=="/>
  </w:docVars>
  <w:rsids>
    <w:rsidRoot w:val="00172A27"/>
    <w:rsid w:val="0002561E"/>
    <w:rsid w:val="01C952AC"/>
    <w:rsid w:val="01EA5D5E"/>
    <w:rsid w:val="029D518A"/>
    <w:rsid w:val="048B3E34"/>
    <w:rsid w:val="051060E7"/>
    <w:rsid w:val="05CD7CCE"/>
    <w:rsid w:val="06AE7966"/>
    <w:rsid w:val="07414C7E"/>
    <w:rsid w:val="07591FC8"/>
    <w:rsid w:val="07972AF0"/>
    <w:rsid w:val="09FE6E56"/>
    <w:rsid w:val="0A486323"/>
    <w:rsid w:val="0C542D5E"/>
    <w:rsid w:val="0D6C400C"/>
    <w:rsid w:val="0E042561"/>
    <w:rsid w:val="11414C6B"/>
    <w:rsid w:val="11B524F0"/>
    <w:rsid w:val="135D0D3B"/>
    <w:rsid w:val="14795A57"/>
    <w:rsid w:val="14D507B4"/>
    <w:rsid w:val="15064E11"/>
    <w:rsid w:val="15744470"/>
    <w:rsid w:val="16117F11"/>
    <w:rsid w:val="16B8213B"/>
    <w:rsid w:val="18BE612E"/>
    <w:rsid w:val="195F6CDE"/>
    <w:rsid w:val="1B3A5814"/>
    <w:rsid w:val="1BB05AD7"/>
    <w:rsid w:val="1C006A5E"/>
    <w:rsid w:val="1CC7757C"/>
    <w:rsid w:val="1E0C3498"/>
    <w:rsid w:val="1E0D7210"/>
    <w:rsid w:val="1E6F3A27"/>
    <w:rsid w:val="1EB36FD8"/>
    <w:rsid w:val="209E1714"/>
    <w:rsid w:val="20EE3329"/>
    <w:rsid w:val="20FA7F20"/>
    <w:rsid w:val="218618DF"/>
    <w:rsid w:val="21B77BBF"/>
    <w:rsid w:val="229B3C09"/>
    <w:rsid w:val="23005595"/>
    <w:rsid w:val="251F7F55"/>
    <w:rsid w:val="25855583"/>
    <w:rsid w:val="259D531E"/>
    <w:rsid w:val="26B40B71"/>
    <w:rsid w:val="27DC037F"/>
    <w:rsid w:val="27F05BD9"/>
    <w:rsid w:val="28BB0FE9"/>
    <w:rsid w:val="28C80903"/>
    <w:rsid w:val="290F6532"/>
    <w:rsid w:val="2A77613D"/>
    <w:rsid w:val="2BD15D21"/>
    <w:rsid w:val="2BE041B6"/>
    <w:rsid w:val="2F8C268B"/>
    <w:rsid w:val="2FB43990"/>
    <w:rsid w:val="303F594F"/>
    <w:rsid w:val="30EE1123"/>
    <w:rsid w:val="34EC597A"/>
    <w:rsid w:val="356B7FAF"/>
    <w:rsid w:val="364D2448"/>
    <w:rsid w:val="3710594F"/>
    <w:rsid w:val="385968B8"/>
    <w:rsid w:val="38926838"/>
    <w:rsid w:val="39513FFD"/>
    <w:rsid w:val="397D1296"/>
    <w:rsid w:val="398E6FFF"/>
    <w:rsid w:val="3A8723CC"/>
    <w:rsid w:val="3B27770B"/>
    <w:rsid w:val="3B845814"/>
    <w:rsid w:val="3C090BBF"/>
    <w:rsid w:val="3E864749"/>
    <w:rsid w:val="401144E6"/>
    <w:rsid w:val="41322966"/>
    <w:rsid w:val="41562664"/>
    <w:rsid w:val="41F540C0"/>
    <w:rsid w:val="422C3859"/>
    <w:rsid w:val="42B54A1B"/>
    <w:rsid w:val="435B61A4"/>
    <w:rsid w:val="43884ABF"/>
    <w:rsid w:val="43AC4C52"/>
    <w:rsid w:val="44F248E6"/>
    <w:rsid w:val="45126D36"/>
    <w:rsid w:val="46405B25"/>
    <w:rsid w:val="467040F8"/>
    <w:rsid w:val="46E12E64"/>
    <w:rsid w:val="47E742BB"/>
    <w:rsid w:val="48050DD4"/>
    <w:rsid w:val="481D7ECC"/>
    <w:rsid w:val="482A083B"/>
    <w:rsid w:val="49A63EF1"/>
    <w:rsid w:val="4BC82845"/>
    <w:rsid w:val="4CE4720A"/>
    <w:rsid w:val="4D5123C6"/>
    <w:rsid w:val="4E1753BE"/>
    <w:rsid w:val="50100316"/>
    <w:rsid w:val="51AB479B"/>
    <w:rsid w:val="53937294"/>
    <w:rsid w:val="543C792C"/>
    <w:rsid w:val="54FC4780"/>
    <w:rsid w:val="55615FEF"/>
    <w:rsid w:val="55C23E61"/>
    <w:rsid w:val="55F66200"/>
    <w:rsid w:val="56170651"/>
    <w:rsid w:val="56FA587C"/>
    <w:rsid w:val="57C32112"/>
    <w:rsid w:val="5853793A"/>
    <w:rsid w:val="58627B7D"/>
    <w:rsid w:val="5B7756EE"/>
    <w:rsid w:val="5B962018"/>
    <w:rsid w:val="632F68AE"/>
    <w:rsid w:val="635C3B47"/>
    <w:rsid w:val="65CC6636"/>
    <w:rsid w:val="660D4F6C"/>
    <w:rsid w:val="67226E55"/>
    <w:rsid w:val="67564D51"/>
    <w:rsid w:val="68B47F81"/>
    <w:rsid w:val="692073C4"/>
    <w:rsid w:val="69ED0E99"/>
    <w:rsid w:val="6CD01102"/>
    <w:rsid w:val="6D1B05CF"/>
    <w:rsid w:val="6E313E22"/>
    <w:rsid w:val="70D54F38"/>
    <w:rsid w:val="719E17CE"/>
    <w:rsid w:val="72701F85"/>
    <w:rsid w:val="72710C91"/>
    <w:rsid w:val="72E94CCB"/>
    <w:rsid w:val="73437D1A"/>
    <w:rsid w:val="75C3200A"/>
    <w:rsid w:val="7AE2097E"/>
    <w:rsid w:val="7AF406B1"/>
    <w:rsid w:val="7B833FBD"/>
    <w:rsid w:val="7CD919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2"/>
    <w:basedOn w:val="1"/>
    <w:uiPriority w:val="0"/>
    <w:pPr>
      <w:spacing w:after="120" w:afterLines="0" w:afterAutospacing="0" w:line="480" w:lineRule="auto"/>
    </w:p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681</Words>
  <Characters>742</Characters>
  <Lines>0</Lines>
  <Paragraphs>0</Paragraphs>
  <TotalTime>19</TotalTime>
  <ScaleCrop>false</ScaleCrop>
  <LinksUpToDate>false</LinksUpToDate>
  <CharactersWithSpaces>760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2022-11-08T08:31:00Z</dcterms:created>
  <dc:creator>安科瑞-罗啟辉 13611948814</dc:creator>
  <cp:lastModifiedBy>Acrel唐晓娟</cp:lastModifiedBy>
  <dcterms:modified xsi:type="dcterms:W3CDTF">2023-07-19T01:26:55Z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F15A9A031DDD4287AB8A4460E2C330B1_13</vt:lpwstr>
  </property>
</Properties>
</file>