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200" w:after="0" w:afterLines="200"/>
        <w:jc w:val="center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bookmarkStart w:id="0" w:name="OLE_LINK1"/>
      <w:r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</w:rPr>
        <w:t>如何查询全国各省市医疗器械创新审批和优先审批信息？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医疗器械创新审批与优先审批制度，是我国深化医疗器械审评审批制度改革的核心举措，其依据《医疗器械监督管理条例》《创新医疗器械特别审查程序》《医疗器械优先审批程序》等政策设立，旨在为具有核心技术突破、显著临床价值的创新医疗器械，以及临床急需、罕见病治疗相关、突发公共卫生事件应急保障等类别的医疗器械开辟 “绿色通道”。这两项制度不仅能加速创新技术转化与临床急需产品上市进程，更能推动我国医疗器械产业高质量发展，为患者提供更及时的先进医疗保障，兼具产业赋能与民生保障的双重价值。​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查询全国各省市医疗器械创新审批和优先审批信息，主要有两大核心路径：官方权威数据查询与第三方整合平台查询，以下为详细介绍：​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14:textFill>
            <w14:gradFill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scaled="0"/>
            </w14:gra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14:textFill>
            <w14:gradFill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scaled="0"/>
            </w14:gradFill>
          </w14:textFill>
        </w:rPr>
        <w:t>一、官方数据查询：权威精准的核心渠道​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官方数据来源于国家药监局及各省市药监局，是审批信息查询的首要选择，其信息直接由监管部门发布，具备绝对权威性与准确性。​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</w:rPr>
        <w:t>国家级官方查询平台（聚焦第三类医疗器械）​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第三类医疗器械（高风险）的创新审批和优先审批由国家药监局统一负责，相关信息集中在以下两大平台：​</w:t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val="en-US" w:eastAsia="zh-CN"/>
        </w:rPr>
        <w:t xml:space="preserve">1.1 </w:t>
      </w: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</w:rPr>
        <w:t>国家药品监督管理局（NMPA）官网-创新器械名录</w:t>
      </w:r>
    </w:p>
    <w:p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查询路径：进入NMPA官网后，滑动页面找到 “创新药品、医疗器械”贴片，点击进入页面，再点击创新医疗器械部分的“更多”进入创新器械名录。​</w:t>
      </w:r>
    </w:p>
    <w:p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直接访问链接：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HYPERLINK "https://www.nmpa.gov.cn/zhuanti/cxylqx/cxylqxlm/index.html" \h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color w:val="auto"/>
          <w:sz w:val="21"/>
          <w:szCs w:val="21"/>
        </w:rPr>
        <w:t>https://www.nmpa.gov.cn/zhuanti/cxylqx/cxylqxlm/index.html</w:t>
      </w:r>
      <w:r>
        <w:rPr>
          <w:rStyle w:val="6"/>
          <w:rFonts w:hint="eastAsia" w:ascii="微软雅黑" w:hAnsi="微软雅黑" w:eastAsia="微软雅黑" w:cs="微软雅黑"/>
          <w:color w:val="auto"/>
          <w:sz w:val="21"/>
          <w:szCs w:val="21"/>
        </w:rPr>
        <w:fldChar w:fldCharType="end"/>
      </w:r>
    </w:p>
    <w:p>
      <w:pPr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核心功能</w:t>
      </w:r>
      <w:bookmarkStart w:id="1" w:name="_GoBack"/>
      <w:bookmarkEnd w:id="1"/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：可查看所有国家药监局已批准的创新医疗器械，点击链接可查看公告详情，一般会公示其结构组成、适用范围等信息。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drawing>
          <wp:inline distT="0" distB="0" distL="0" distR="0">
            <wp:extent cx="7124700" cy="3059430"/>
            <wp:effectExtent l="0" t="0" r="0" b="0"/>
            <wp:docPr id="1" name="imag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.png"/>
                    <pic:cNvPicPr/>
                  </pic:nvPicPr>
                  <pic:blipFill>
                    <a:blip r:embed="rId4"/>
                    <a:srcRect t="1226" b="10580"/>
                    <a:stretch>
                      <a:fillRect/>
                    </a:stretch>
                  </pic:blipFill>
                  <pic:spPr>
                    <a:xfrm>
                      <a:off x="0" y="0"/>
                      <a:ext cx="7124700" cy="3059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val="en-US" w:eastAsia="zh-CN"/>
        </w:rPr>
        <w:t xml:space="preserve">1.2 </w:t>
      </w: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</w:rPr>
        <w:t>国家药监局医疗器械技术审评中心（CMDE）官网​</w:t>
      </w:r>
    </w:p>
    <w:p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查询路径：首页 “信息公开” 栏目下，点击 “创新优先公示专区”</w:t>
      </w:r>
    </w:p>
    <w:p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直接访问链接：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HYPERLINK "https://www.cmde.org.cn/xwdt/shpgzgg/cxyxgsh/index.html" \h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color w:val="auto"/>
          <w:sz w:val="21"/>
          <w:szCs w:val="21"/>
        </w:rPr>
        <w:t>https://www.cmde.org.cn/xwdt/shpgzgg/cxyxgsh/index.html</w:t>
      </w:r>
      <w:r>
        <w:rPr>
          <w:rStyle w:val="6"/>
          <w:rFonts w:hint="eastAsia" w:ascii="微软雅黑" w:hAnsi="微软雅黑" w:eastAsia="微软雅黑" w:cs="微软雅黑"/>
          <w:color w:val="auto"/>
          <w:sz w:val="21"/>
          <w:szCs w:val="21"/>
        </w:rPr>
        <w:fldChar w:fldCharType="end"/>
      </w:r>
    </w:p>
    <w:p>
      <w:pPr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核心功能：可浏览创新医疗器械特别审查、优先审批申请的审核结果公示，点进公示信息中可查看创新特别审查的产品名称、申请人和优先审批的产品名称、受理号、申请人、同意理由等。​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drawing>
          <wp:inline distT="0" distB="0" distL="0" distR="0">
            <wp:extent cx="7124700" cy="2388235"/>
            <wp:effectExtent l="0" t="0" r="0" b="0"/>
            <wp:docPr id="2" name="imag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.png"/>
                    <pic:cNvPicPr/>
                  </pic:nvPicPr>
                  <pic:blipFill>
                    <a:blip r:embed="rId5"/>
                    <a:srcRect t="3313" b="27842"/>
                    <a:stretch>
                      <a:fillRect/>
                    </a:stretch>
                  </pic:blipFill>
                  <pic:spPr>
                    <a:xfrm>
                      <a:off x="0" y="0"/>
                      <a:ext cx="7124700" cy="2388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</w:rPr>
        <w:t>省级官方查询平台（聚焦第二类医疗器械）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​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第二类医疗器械（中风险）的创新审批和优先审批由各省市药监局负责，查询需依托对应地区药监局官网，查询逻辑统一但入口分散：​</w:t>
      </w:r>
    </w:p>
    <w:p>
      <w:pPr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通用查询路径：进入对应省市药监局官网；找到 “政务服务”“政务公开”“信息公开” 或 “公示公告”等类似栏目；</w:t>
      </w:r>
    </w:p>
    <w:p>
      <w:pPr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核心功能：可查看本地区第二类医疗器械的创新和优先审批公示信息。​</w:t>
      </w:r>
    </w:p>
    <w:p>
      <w:pPr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需要注意的是，不是所有省份都有二类医疗器械创新和优先审批产品公示，部分省份本身就没有相关产品，因此也找不到公示信息。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drawing>
          <wp:inline distT="0" distB="0" distL="0" distR="0">
            <wp:extent cx="7124700" cy="2880995"/>
            <wp:effectExtent l="0" t="0" r="0" b="0"/>
            <wp:docPr id="3" name="imag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.png"/>
                    <pic:cNvPicPr/>
                  </pic:nvPicPr>
                  <pic:blipFill>
                    <a:blip r:embed="rId6"/>
                    <a:srcRect t="8752" b="7120"/>
                    <a:stretch>
                      <a:fillRect/>
                    </a:stretch>
                  </pic:blipFill>
                  <pic:spPr>
                    <a:xfrm>
                      <a:off x="0" y="0"/>
                      <a:ext cx="7124700" cy="288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14:textFill>
            <w14:gradFill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scaled="0"/>
            </w14:gradFill>
          </w14:textFill>
        </w:rPr>
        <w:t>二、药智医械数据查询：高效整合的辅助渠道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​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药智医械数据是第三方医药数据服务平台，核心价值在于整合全国官方审批信息，为用户提供一站式查询服务，适合跨区域、批量查询以及分析需求。​</w:t>
      </w:r>
    </w:p>
    <w:p>
      <w:pPr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核心功能：</w:t>
      </w:r>
    </w:p>
    <w:p>
      <w:pPr>
        <w:pageBreakBefore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汇总国家药监局及全国所有（目前已覆盖20多个）省、自治区、直辖市药监局的创新审批、优先审批数据。涵盖医疗器械的产品名称、企业名称、审批类别、理由分类、发布日期、审核机构、是否获批上市以及企业网址、电话、经营范围等信息。​</w:t>
      </w:r>
    </w:p>
    <w:p>
      <w:pPr>
        <w:pageBreakBefore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数据库提供产品名称、企业名称、审批类别、产品分类、器械/试剂、国产/进口、是否获批上市、理由分类、企业所在国家/地区、企业所在省市区等20余种检索与筛选功能，一方面提供检索结果，另一方面各筛选项会展示数据条数，可快速统计分析数据。</w:t>
      </w:r>
    </w:p>
    <w:p>
      <w:pPr>
        <w:pageBreakBefore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数据库支持数据导出功能，有条数限制，但正常来说都完全够用的。</w:t>
      </w:r>
    </w:p>
    <w:p>
      <w:pPr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查询路径​：进入药智医械数据官网，在研发注册版块找到创新优先审批即可进入数据库进行检索查询。</w:t>
      </w:r>
    </w:p>
    <w:p>
      <w:pPr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直接访问链接：</w:t>
      </w:r>
    </w:p>
    <w:p>
      <w:pPr>
        <w:pageBreakBefore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企业版，功能更全面，新用户需注册并申请试用：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HYPERLINK "https://qx.yaozh.com/qxcxhyx" \h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color w:val="auto"/>
          <w:sz w:val="21"/>
          <w:szCs w:val="21"/>
        </w:rPr>
        <w:t>https://qx.yaozh.com/qxcxhyx</w:t>
      </w:r>
      <w:r>
        <w:rPr>
          <w:rStyle w:val="6"/>
          <w:rFonts w:hint="eastAsia" w:ascii="微软雅黑" w:hAnsi="微软雅黑" w:eastAsia="微软雅黑" w:cs="微软雅黑"/>
          <w:color w:val="auto"/>
          <w:sz w:val="21"/>
          <w:szCs w:val="21"/>
        </w:rPr>
        <w:fldChar w:fldCharType="end"/>
      </w:r>
    </w:p>
    <w:p>
      <w:pPr>
        <w:pageBreakBefore w:val="0"/>
        <w:numPr>
          <w:ilvl w:val="1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专业版，注册后即可免费使用大部分功能：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instrText xml:space="preserve"> HYPERLINK "https://db.yaozh.com/qxcxhyx" \h </w:instrTex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color w:val="auto"/>
          <w:sz w:val="21"/>
          <w:szCs w:val="21"/>
        </w:rPr>
        <w:t>https://db.yaozh.com/qxcxhyx</w:t>
      </w:r>
      <w:r>
        <w:rPr>
          <w:rStyle w:val="6"/>
          <w:rFonts w:hint="eastAsia" w:ascii="微软雅黑" w:hAnsi="微软雅黑" w:eastAsia="微软雅黑" w:cs="微软雅黑"/>
          <w:color w:val="auto"/>
          <w:sz w:val="21"/>
          <w:szCs w:val="21"/>
        </w:rPr>
        <w:fldChar w:fldCharType="end"/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drawing>
          <wp:inline distT="0" distB="0" distL="0" distR="0">
            <wp:extent cx="7124700" cy="3528695"/>
            <wp:effectExtent l="0" t="0" r="0" b="0"/>
            <wp:docPr id="4" name="imag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124700" cy="3528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textAlignment w:val="auto"/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14:textFill>
            <w14:gradFill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scaled="0"/>
            </w14:gra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24"/>
          <w14:textFill>
            <w14:gradFill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scaled="0"/>
            </w14:gradFill>
          </w14:textFill>
        </w:rPr>
        <w:t>三、总结</w:t>
      </w:r>
      <w:r>
        <w:rPr>
          <w:rFonts w:hint="eastAsia" w:ascii="微软雅黑" w:hAnsi="微软雅黑" w:eastAsia="微软雅黑" w:cs="微软雅黑"/>
          <w:b/>
          <w:bCs/>
          <w:color w:val="auto"/>
          <w:sz w:val="21"/>
          <w:szCs w:val="21"/>
          <w14:textFill>
            <w14:gradFill>
              <w14:gsLst>
                <w14:gs w14:pos="0">
                  <w14:srgbClr w14:val="007BD3"/>
                </w14:gs>
                <w14:gs w14:pos="100000">
                  <w14:srgbClr w14:val="034373"/>
                </w14:gs>
              </w14:gsLst>
              <w14:lin w14:scaled="0"/>
            </w14:gradFill>
          </w14:textFill>
        </w:rPr>
        <w:t>​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国家和地方药监局的数据最为权威，不过相对来说信息较为分散，查询分析起来比较耗时。药智医械数据整合了国家药监局和各省市自治区药监局数据，无需切换多个官网，操作更加便捷，并且在官方数据基础上补充了诸如是否获批上市、审批耗时、企业网址、电话等诸多关联信息；支持20多种检索筛选功能、支持批量导出，查询效率明显更高。不过因为是非官方平台，数据来源于官方公开信息的抓取与整合，可能存在数个工作日的更新延迟；另外，作为第三方商业数据库，部分高级功能需付费使用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100" w:after="0" w:afterLines="100"/>
        <w:ind w:left="0" w:firstLine="420" w:firstLineChars="200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查询全国各省市医疗器械创新审批和优先审批信息，需根据审批机构和查询需求选择合适渠道：若对信息及时性要求很高，优先通过国家药监局（NMPA）、器审中心（CMDE）及各省市药监局官网查询；若需高效完成跨区域、批量筛选查询、批量导出，可选择药智医械数据企业版进行查询，节省检索时间。如果既希望一站查询全国信息，但只是简单查询产品或企业，且又不想付费，可以使用药智医械数据专业版免费查询。</w:t>
      </w:r>
      <w:bookmarkEnd w:id="0"/>
    </w:p>
    <w:sectPr>
      <w:pgSz w:w="13380" w:h="16905"/>
      <w:pgMar w:top="720" w:right="1080" w:bottom="720" w:left="1080" w:header="850" w:footer="99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multilevel"/>
    <w:tmpl w:val="B5E306ED"/>
    <w:lvl w:ilvl="0" w:tentative="0">
      <w:start w:val="1"/>
      <w:numFmt w:val="bullet"/>
      <w:lvlText w:val="●"/>
      <w:lvlJc w:val="left"/>
      <w:pPr>
        <w:ind w:left="420" w:hanging="420"/>
      </w:pPr>
    </w:lvl>
    <w:lvl w:ilvl="1" w:tentative="0">
      <w:start w:val="1"/>
      <w:numFmt w:val="lowerLetter"/>
      <w:lvlText w:val="%2."/>
      <w:lvlJc w:val="left"/>
      <w:pPr>
        <w:ind w:left="840" w:hanging="420"/>
      </w:pPr>
    </w:lvl>
  </w:abstractNum>
  <w:abstractNum w:abstractNumId="1">
    <w:nsid w:val="BF205925"/>
    <w:multiLevelType w:val="singleLevel"/>
    <w:tmpl w:val="BF205925"/>
    <w:lvl w:ilvl="0" w:tentative="0">
      <w:start w:val="1"/>
      <w:numFmt w:val="bullet"/>
      <w:lvlText w:val="●"/>
      <w:lvlJc w:val="left"/>
      <w:pPr>
        <w:ind w:left="420" w:hanging="420"/>
      </w:pPr>
    </w:lvl>
  </w:abstractNum>
  <w:abstractNum w:abstractNumId="2">
    <w:nsid w:val="CF092B84"/>
    <w:multiLevelType w:val="singleLevel"/>
    <w:tmpl w:val="CF092B84"/>
    <w:lvl w:ilvl="0" w:tentative="0">
      <w:start w:val="1"/>
      <w:numFmt w:val="bullet"/>
      <w:lvlText w:val="●"/>
      <w:lvlJc w:val="left"/>
      <w:pPr>
        <w:ind w:left="900" w:hanging="420"/>
      </w:pPr>
    </w:lvl>
  </w:abstractNum>
  <w:abstractNum w:abstractNumId="3">
    <w:nsid w:val="59ADCABA"/>
    <w:multiLevelType w:val="singleLevel"/>
    <w:tmpl w:val="59ADCABA"/>
    <w:lvl w:ilvl="0" w:tentative="0">
      <w:start w:val="1"/>
      <w:numFmt w:val="bullet"/>
      <w:lvlText w:val="●"/>
      <w:lvlJc w:val="left"/>
      <w:pPr>
        <w:ind w:left="90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FhZDA2ZGIwODkzY2JmNGUzZGFlZjRmMDJmMGY1ZDQifQ=="/>
  </w:docVars>
  <w:rsids>
    <w:rsidRoot w:val="00000000"/>
    <w:rsid w:val="1E6926D0"/>
    <w:rsid w:val="51CD43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</w:rPr>
  </w:style>
  <w:style w:type="paragraph" w:styleId="2">
    <w:name w:val="heading 1"/>
    <w:next w:val="1"/>
    <w:uiPriority w:val="0"/>
    <w:pPr>
      <w:keepNext/>
      <w:keepLines/>
      <w:spacing w:before="348" w:after="210"/>
    </w:pPr>
    <w:rPr>
      <w:rFonts w:asciiTheme="minorHAnsi" w:hAnsiTheme="minorHAnsi" w:eastAsiaTheme="minorEastAsia" w:cstheme="minorBidi"/>
      <w:b/>
      <w:kern w:val="2"/>
      <w:sz w:val="3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qFormat/>
    <w:uiPriority w:val="0"/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</w:style>
  <w:style w:type="character" w:styleId="6">
    <w:name w:val="Hyperlink"/>
    <w:qFormat/>
    <w:uiPriority w:val="0"/>
    <w:rPr>
      <w:color w:val="0563C1"/>
      <w:u w:val="single"/>
    </w:rPr>
  </w:style>
  <w:style w:type="paragraph" w:customStyle="1" w:styleId="7">
    <w:name w:val="dingdocnormal"/>
    <w:qFormat/>
    <w:uiPriority w:val="0"/>
    <w:rPr>
      <w:rFonts w:asciiTheme="minorHAnsi" w:hAnsiTheme="minorHAnsi" w:eastAsiaTheme="minorEastAsia" w:cstheme="minorBidi"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1844</Words>
  <Characters>2031</Characters>
  <TotalTime>29</TotalTime>
  <ScaleCrop>false</ScaleCrop>
  <LinksUpToDate>false</LinksUpToDate>
  <CharactersWithSpaces>2041</CharactersWithSpaces>
  <Application>WPS Office_11.1.0.15319_F1E327BC-269C-435d-A152-05C5408002CA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DingTalk</dc:creator>
  <dc:description>DingTalk Document</dc:description>
  <cp:lastModifiedBy>陈微</cp:lastModifiedBy>
  <dcterms:modified xsi:type="dcterms:W3CDTF">2025-12-10T03:47:28Z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22D0601F548447ACA005A6E1A780CDE9_12</vt:lpwstr>
  </property>
</Properties>
</file>