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39"/>
          <w:szCs w:val="39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39"/>
          <w:szCs w:val="39"/>
          <w:shd w:val="clear" w:fill="FFFFFF"/>
        </w:rPr>
        <w:t>国际物流怎么运输大件货物?</w:t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东格林国际货运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与一般运输物品相比，大件货物运输具有超长、超宽、超高、超重等特点，需要使用拖拉机、全挂平板车、门架、起重机、人力拖把等运输工具连接到目的地。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托运人在办理托运手续时，除一般规定外，还须提交货物说明书、装卸、加固等具体要求，并在特殊情况下向有关部门办理运输许可证。货运代理承运人应根据托运人提供的相关信息，了解货物的具体特点，在良好的运输条件和能力下选择合适的车辆，然后办理承运人的运输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承运人应协助托运人调查作业地点和运行路线，了解沿途路线的形状和桥涵的通行能力，并根据大件货物的形状、尺寸和质量制定运输组织计划。其他部门参与的，只有在国际货运代理机构出发前向有关部门申报并同意后才能启动。制定货物装卸、加固等技术方案和操作规程，严格执行，确保合理装载、加固、安全装卸。承运人负责的装卸操作，应当按照托运人的要求执行货物的特点和装卸程序。在发货人的责任范围内，承运人应在约定的时间将车辆开到装卸地点，并进行监督和卸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超限运输的大件货物，应当按照规定向公路管理机构申请超限运输车辆通行证，并按照批准的路线行驶。大件货物在市区运输，须经公安、市工程部门批准。按照规定的路线和时间运行，在货物长、宽、高的地方悬挂明显的安全标志，白天悬挂标志旗；夜间驾驶、停车、休息时设置标志灯，提醒车辆。特种货物时，应配备专用车辆，及时消除障碍物。运输费用由承托人协商确定。公路改造、桥涵加固、清障、护送、装卸等费用由托运人承担。</w:t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ThmZDhmYTIwNTNlZjlhOWMzZDY1MGNmNDMxNDkifQ=="/>
  </w:docVars>
  <w:rsids>
    <w:rsidRoot w:val="7A0B0DB4"/>
    <w:rsid w:val="7A0B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2023-05-26T04:07:00Z</dcterms:created>
  <dc:creator>普普通通</dc:creator>
  <cp:lastModifiedBy>普普通通</cp:lastModifiedBy>
  <dcterms:modified xsi:type="dcterms:W3CDTF">2023-05-26T04:09:42Z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321AA5E92F4A4E2DB88379E967BE5EB6_11</vt:lpwstr>
  </property>
</Properties>
</file>