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292AAE0">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jc w:val="center"/>
        <w:textAlignment w:val="auto"/>
        <w:rPr>
          <w:rFonts w:hint="eastAsia" w:ascii="微软雅黑" w:hAnsi="微软雅黑" w:eastAsia="微软雅黑" w:cs="微软雅黑"/>
          <w:b/>
          <w:bCs/>
          <w:sz w:val="24"/>
          <w:szCs w:val="24"/>
        </w:rPr>
      </w:pPr>
      <w:r>
        <w:rPr>
          <w:rFonts w:hint="eastAsia" w:ascii="微软雅黑" w:hAnsi="微软雅黑" w:eastAsia="微软雅黑" w:cs="微软雅黑"/>
          <w:b/>
          <w:bCs/>
          <w:sz w:val="24"/>
          <w:szCs w:val="24"/>
          <w:lang w:val="en-US" w:eastAsia="zh-CN"/>
        </w:rPr>
        <w:t>便</w:t>
      </w:r>
      <w:r>
        <w:rPr>
          <w:rFonts w:hint="eastAsia" w:ascii="微软雅黑" w:hAnsi="微软雅黑" w:eastAsia="微软雅黑" w:cs="微软雅黑"/>
          <w:b/>
          <w:bCs/>
          <w:sz w:val="24"/>
          <w:szCs w:val="24"/>
        </w:rPr>
        <w:t>携式气相色谱仪之MEMS色谱柱的优势</w:t>
      </w:r>
    </w:p>
    <w:p w14:paraId="117ED743">
      <w:pPr>
        <w:ind w:firstLine="420"/>
        <w:rPr>
          <w:rFonts w:hint="eastAsia" w:ascii="微软雅黑" w:hAnsi="微软雅黑" w:eastAsia="微软雅黑" w:cs="微软雅黑"/>
          <w:sz w:val="21"/>
          <w:szCs w:val="21"/>
        </w:rPr>
      </w:pPr>
      <w:r>
        <w:rPr>
          <w:rFonts w:hint="eastAsia" w:ascii="微软雅黑" w:hAnsi="微软雅黑" w:eastAsia="微软雅黑" w:cs="微软雅黑"/>
          <w:sz w:val="21"/>
          <w:szCs w:val="21"/>
        </w:rPr>
        <w:t>气相色谱仪是一种广泛应用于环境监测、石油勘探、生物制药等领域的分析仪器。传统的气相色谱仪由于体积大、功耗高，难以满足现场检测的需求。近年来，基于微机电</w:t>
      </w:r>
      <w:r>
        <w:rPr>
          <w:rFonts w:hint="eastAsia" w:ascii="微软雅黑" w:hAnsi="微软雅黑" w:eastAsia="微软雅黑" w:cs="微软雅黑"/>
          <w:sz w:val="21"/>
          <w:szCs w:val="21"/>
          <w:lang w:val="en-US" w:eastAsia="zh-CN"/>
        </w:rPr>
        <w:t xml:space="preserve"> </w:t>
      </w:r>
      <w:r>
        <w:rPr>
          <w:rFonts w:hint="eastAsia" w:ascii="微软雅黑" w:hAnsi="微软雅黑" w:eastAsia="微软雅黑" w:cs="微软雅黑"/>
          <w:sz w:val="21"/>
          <w:szCs w:val="21"/>
        </w:rPr>
        <w:t>系统（MEMS）技术的微型气相色谱柱逐渐成为研究热点。MEMS色谱柱以其微型化、便携性、高分离效率等特点，为便</w:t>
      </w:r>
      <w:bookmarkStart w:id="0" w:name="_GoBack"/>
      <w:bookmarkEnd w:id="0"/>
      <w:r>
        <w:rPr>
          <w:rFonts w:hint="eastAsia" w:ascii="微软雅黑" w:hAnsi="微软雅黑" w:eastAsia="微软雅黑" w:cs="微软雅黑"/>
          <w:sz w:val="21"/>
          <w:szCs w:val="21"/>
        </w:rPr>
        <w:t>携式气相色谱仪的发展提供了新的可能性</w:t>
      </w:r>
      <w:r>
        <w:rPr>
          <w:rFonts w:hint="eastAsia" w:ascii="微软雅黑" w:hAnsi="微软雅黑" w:eastAsia="微软雅黑" w:cs="微软雅黑"/>
          <w:sz w:val="21"/>
          <w:szCs w:val="21"/>
          <w:lang w:eastAsia="zh-CN"/>
        </w:rPr>
        <w:t>。</w:t>
      </w:r>
    </w:p>
    <w:p w14:paraId="5826B8C0">
      <w:pPr>
        <w:pStyle w:val="28"/>
        <w:numPr>
          <w:ilvl w:val="0"/>
          <w:numId w:val="1"/>
        </w:numPr>
        <w:rPr>
          <w:rFonts w:hint="eastAsia" w:ascii="微软雅黑" w:hAnsi="微软雅黑" w:eastAsia="微软雅黑" w:cs="微软雅黑"/>
          <w:b/>
          <w:bCs/>
          <w:sz w:val="21"/>
          <w:szCs w:val="21"/>
        </w:rPr>
      </w:pPr>
      <w:r>
        <w:rPr>
          <w:rFonts w:hint="eastAsia" w:ascii="微软雅黑" w:hAnsi="微软雅黑" w:eastAsia="微软雅黑" w:cs="微软雅黑"/>
          <w:b/>
          <w:bCs/>
          <w:sz w:val="21"/>
          <w:szCs w:val="21"/>
        </w:rPr>
        <w:t>MEMS色谱柱的概述</w:t>
      </w:r>
    </w:p>
    <w:p w14:paraId="30B5627A">
      <w:pPr>
        <w:ind w:firstLine="420"/>
        <w:rPr>
          <w:rFonts w:hint="eastAsia" w:ascii="微软雅黑" w:hAnsi="微软雅黑" w:eastAsia="微软雅黑" w:cs="微软雅黑"/>
          <w:sz w:val="21"/>
          <w:szCs w:val="21"/>
        </w:rPr>
      </w:pPr>
      <w:r>
        <w:rPr>
          <w:rFonts w:hint="eastAsia" w:ascii="微软雅黑" w:hAnsi="微软雅黑" w:eastAsia="微软雅黑" w:cs="微软雅黑"/>
          <w:sz w:val="21"/>
          <w:szCs w:val="21"/>
        </w:rPr>
        <w:t>MEMS是一种将机械系统与电子系统集成在一起的技术，它允许在微小尺度上实现复杂的功能。在气相色谱领域，MEMS技术被用于制造微型化的色谱柱，这些色谱柱不仅体积小巧，而且能够实现高效的分离效果。EQ STT-5000便携式气相色谱仪正是采用了这种先进的MEMS色谱柱，从而实现了其在便携性、快速分析和高灵敏度方面的优势。</w:t>
      </w:r>
    </w:p>
    <w:p w14:paraId="1E2791EE">
      <w:pPr>
        <w:pStyle w:val="28"/>
        <w:numPr>
          <w:ilvl w:val="0"/>
          <w:numId w:val="1"/>
        </w:numPr>
        <w:rPr>
          <w:rFonts w:hint="eastAsia" w:ascii="微软雅黑" w:hAnsi="微软雅黑" w:eastAsia="微软雅黑" w:cs="微软雅黑"/>
          <w:b/>
          <w:bCs/>
          <w:sz w:val="21"/>
          <w:szCs w:val="21"/>
        </w:rPr>
      </w:pPr>
      <w:r>
        <w:rPr>
          <w:rFonts w:hint="eastAsia" w:ascii="微软雅黑" w:hAnsi="微软雅黑" w:eastAsia="微软雅黑" w:cs="微软雅黑"/>
          <w:b/>
          <w:bCs/>
          <w:sz w:val="21"/>
          <w:szCs w:val="21"/>
        </w:rPr>
        <w:t>MEMS色谱柱的优势</w:t>
      </w:r>
    </w:p>
    <w:p w14:paraId="462A323B">
      <w:pPr>
        <w:pStyle w:val="28"/>
        <w:numPr>
          <w:ilvl w:val="0"/>
          <w:numId w:val="2"/>
        </w:numPr>
        <w:rPr>
          <w:rFonts w:hint="eastAsia" w:ascii="微软雅黑" w:hAnsi="微软雅黑" w:eastAsia="微软雅黑" w:cs="微软雅黑"/>
          <w:sz w:val="21"/>
          <w:szCs w:val="21"/>
        </w:rPr>
      </w:pPr>
      <w:r>
        <w:rPr>
          <w:rFonts w:hint="eastAsia" w:ascii="微软雅黑" w:hAnsi="微软雅黑" w:eastAsia="微软雅黑" w:cs="微软雅黑"/>
          <w:b/>
          <w:bCs/>
          <w:sz w:val="21"/>
          <w:szCs w:val="21"/>
        </w:rPr>
        <w:t>小型化与便携性：</w:t>
      </w:r>
      <w:r>
        <w:rPr>
          <w:rFonts w:hint="eastAsia" w:ascii="微软雅黑" w:hAnsi="微软雅黑" w:eastAsia="微软雅黑" w:cs="微软雅黑"/>
          <w:sz w:val="21"/>
          <w:szCs w:val="21"/>
        </w:rPr>
        <w:t>MEMS色谱柱的最大特点之一就是其小型化设计。由于采用了微机电系统技术，这些色谱柱可以被制造得非常小，从而使得整个气相色谱仪更加紧凑轻便。这对于需要现场快速检测或移动实验室的应用来说尤为重要，因为操作人员可以轻松携带设备到不同的地点进行采样和分析。</w:t>
      </w:r>
    </w:p>
    <w:p w14:paraId="5BD5DB32">
      <w:pPr>
        <w:pStyle w:val="28"/>
        <w:numPr>
          <w:ilvl w:val="0"/>
          <w:numId w:val="2"/>
        </w:numPr>
        <w:rPr>
          <w:rFonts w:hint="eastAsia" w:ascii="微软雅黑" w:hAnsi="微软雅黑" w:eastAsia="微软雅黑" w:cs="微软雅黑"/>
          <w:sz w:val="21"/>
          <w:szCs w:val="21"/>
        </w:rPr>
      </w:pPr>
      <w:r>
        <w:rPr>
          <w:rFonts w:hint="eastAsia" w:ascii="微软雅黑" w:hAnsi="微软雅黑" w:eastAsia="微软雅黑" w:cs="微软雅黑"/>
          <w:b/>
          <w:bCs/>
          <w:sz w:val="21"/>
          <w:szCs w:val="21"/>
        </w:rPr>
        <w:t>高效分离：</w:t>
      </w:r>
      <w:r>
        <w:rPr>
          <w:rFonts w:hint="eastAsia" w:ascii="微软雅黑" w:hAnsi="微软雅黑" w:eastAsia="微软雅黑" w:cs="微软雅黑"/>
          <w:sz w:val="21"/>
          <w:szCs w:val="21"/>
        </w:rPr>
        <w:t>尽管MEMS色谱柱体积小，但其分离效率却非常高。这得益于MEMS技术能够在微观尺度上精确控制流体的流动和相互作用，从而实现高效的样品分离。在EQ STT-5000中，MEMS色谱柱能够在短时间内完成复杂样品的分离任务，大大提高了分析效率。</w:t>
      </w:r>
    </w:p>
    <w:p w14:paraId="63E53BCF">
      <w:pPr>
        <w:pStyle w:val="28"/>
        <w:numPr>
          <w:ilvl w:val="0"/>
          <w:numId w:val="2"/>
        </w:numPr>
        <w:rPr>
          <w:rFonts w:hint="eastAsia" w:ascii="微软雅黑" w:hAnsi="微软雅黑" w:eastAsia="微软雅黑" w:cs="微软雅黑"/>
          <w:sz w:val="21"/>
          <w:szCs w:val="21"/>
        </w:rPr>
      </w:pPr>
      <w:r>
        <w:rPr>
          <w:rFonts w:hint="eastAsia" w:ascii="微软雅黑" w:hAnsi="微软雅黑" w:eastAsia="微软雅黑" w:cs="微软雅黑"/>
          <w:b/>
          <w:bCs/>
          <w:sz w:val="21"/>
          <w:szCs w:val="21"/>
        </w:rPr>
        <w:t>低功耗：</w:t>
      </w:r>
      <w:r>
        <w:rPr>
          <w:rFonts w:hint="eastAsia" w:ascii="微软雅黑" w:hAnsi="微软雅黑" w:eastAsia="微软雅黑" w:cs="微软雅黑"/>
          <w:sz w:val="21"/>
          <w:szCs w:val="21"/>
        </w:rPr>
        <w:t>MEMS色谱柱在工作时消耗的能量非常少，这使得整个气相色谱仪可以依靠电池供电运行较长时间。这对于需要在野外或无电源环境下工作的应用场景来说非常有利，因为它减少了对外部电源的依赖。</w:t>
      </w:r>
    </w:p>
    <w:p w14:paraId="39F52FE0">
      <w:pPr>
        <w:pStyle w:val="28"/>
        <w:numPr>
          <w:ilvl w:val="0"/>
          <w:numId w:val="2"/>
        </w:numPr>
        <w:rPr>
          <w:rFonts w:hint="eastAsia" w:ascii="微软雅黑" w:hAnsi="微软雅黑" w:eastAsia="微软雅黑" w:cs="微软雅黑"/>
          <w:sz w:val="21"/>
          <w:szCs w:val="21"/>
        </w:rPr>
      </w:pPr>
      <w:r>
        <w:rPr>
          <w:rFonts w:hint="eastAsia" w:ascii="微软雅黑" w:hAnsi="微软雅黑" w:eastAsia="微软雅黑" w:cs="微软雅黑"/>
          <w:b/>
          <w:bCs/>
          <w:sz w:val="21"/>
          <w:szCs w:val="21"/>
        </w:rPr>
        <w:t>高精度与高灵敏度</w:t>
      </w:r>
      <w:r>
        <w:rPr>
          <w:rFonts w:hint="eastAsia" w:ascii="微软雅黑" w:hAnsi="微软雅黑" w:eastAsia="微软雅黑" w:cs="微软雅黑"/>
          <w:sz w:val="21"/>
          <w:szCs w:val="21"/>
        </w:rPr>
        <w:t>：MEMS色谱柱还具备高精度和高灵敏度的特点。它能够准确地识别和测量样品中的微量成分，从而提供更加准确的分析结果。这对于需要检测痕量污染物或进行精细化学分析的应用来说至关重要。</w:t>
      </w:r>
    </w:p>
    <w:p w14:paraId="5B1293D5">
      <w:pPr>
        <w:jc w:val="center"/>
        <w:rPr>
          <w:rFonts w:hint="eastAsia" w:ascii="微软雅黑" w:hAnsi="微软雅黑" w:eastAsia="微软雅黑" w:cs="微软雅黑"/>
          <w:sz w:val="21"/>
          <w:szCs w:val="21"/>
        </w:rPr>
      </w:pPr>
      <w:r>
        <w:rPr>
          <w:rFonts w:hint="eastAsia" w:ascii="微软雅黑" w:hAnsi="微软雅黑" w:eastAsia="微软雅黑" w:cs="微软雅黑"/>
          <w:sz w:val="21"/>
          <w:szCs w:val="21"/>
        </w:rPr>
        <w:drawing>
          <wp:inline distT="0" distB="0" distL="0" distR="0">
            <wp:extent cx="3200400" cy="1285875"/>
            <wp:effectExtent l="0" t="0" r="0" b="9525"/>
            <wp:docPr id="812323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23236" name="图片 1"/>
                    <pic:cNvPicPr>
                      <a:picLocks noChangeAspect="1"/>
                    </pic:cNvPicPr>
                  </pic:nvPicPr>
                  <pic:blipFill>
                    <a:blip r:embed="rId4"/>
                    <a:stretch>
                      <a:fillRect/>
                    </a:stretch>
                  </pic:blipFill>
                  <pic:spPr>
                    <a:xfrm>
                      <a:off x="0" y="0"/>
                      <a:ext cx="3200400" cy="1285875"/>
                    </a:xfrm>
                    <a:prstGeom prst="rect">
                      <a:avLst/>
                    </a:prstGeom>
                  </pic:spPr>
                </pic:pic>
              </a:graphicData>
            </a:graphic>
          </wp:inline>
        </w:drawing>
      </w:r>
    </w:p>
    <w:p w14:paraId="7433D6E9">
      <w:pPr>
        <w:jc w:val="center"/>
        <w:rPr>
          <w:rFonts w:hint="eastAsia" w:ascii="微软雅黑" w:hAnsi="微软雅黑" w:eastAsia="微软雅黑" w:cs="微软雅黑"/>
          <w:sz w:val="21"/>
          <w:szCs w:val="21"/>
        </w:rPr>
      </w:pPr>
      <w:r>
        <w:rPr>
          <w:rFonts w:hint="eastAsia" w:ascii="微软雅黑" w:hAnsi="微软雅黑" w:eastAsia="微软雅黑" w:cs="微软雅黑"/>
          <w:sz w:val="21"/>
          <w:szCs w:val="21"/>
        </w:rPr>
        <w:t>图1：EQ STT-5000 MEMS色谱柱实物图</w:t>
      </w:r>
    </w:p>
    <w:p w14:paraId="7010E313">
      <w:pPr>
        <w:ind w:firstLine="420"/>
        <w:rPr>
          <w:rFonts w:hint="eastAsia" w:ascii="微软雅黑" w:hAnsi="微软雅黑" w:eastAsia="微软雅黑" w:cs="微软雅黑"/>
          <w:sz w:val="21"/>
          <w:szCs w:val="21"/>
        </w:rPr>
      </w:pPr>
      <w:r>
        <w:rPr>
          <w:rFonts w:hint="eastAsia" w:ascii="微软雅黑" w:hAnsi="微软雅黑" w:eastAsia="微软雅黑" w:cs="微软雅黑"/>
          <w:sz w:val="21"/>
          <w:szCs w:val="21"/>
        </w:rPr>
        <w:t>MEMS色谱柱以其微型化、高性能和强适应性，正在重塑便携式气相色谱仪的技术格局。EQ STT-5000的成功应用证明，这项技术不仅解决了传统GC的痛点，更为现场快速检测开辟了全新维度。</w:t>
      </w:r>
    </w:p>
    <w:p w14:paraId="3646FE3B">
      <w:pPr>
        <w:ind w:firstLine="420"/>
        <w:rPr>
          <w:rFonts w:hint="eastAsia" w:ascii="微软雅黑" w:hAnsi="微软雅黑" w:eastAsia="微软雅黑" w:cs="微软雅黑"/>
          <w:sz w:val="21"/>
          <w:szCs w:val="21"/>
        </w:rPr>
      </w:pPr>
      <w:r>
        <w:rPr>
          <w:rFonts w:hint="eastAsia" w:ascii="微软雅黑" w:hAnsi="微软雅黑" w:eastAsia="微软雅黑" w:cs="微软雅黑"/>
          <w:sz w:val="21"/>
          <w:szCs w:val="21"/>
        </w:rPr>
        <w:t>如您想了解更多关于便携式气相色谱仪EQ STT-5000的相关信息，欢迎随时垂询！专业成就未来，北京森馥将不断努力，竭诚为您提供更好的产品和技术服务！</w:t>
      </w:r>
    </w:p>
    <w:p w14:paraId="340EE3C4">
      <w:pPr>
        <w:rPr>
          <w:rFonts w:hint="eastAsia" w:ascii="微软雅黑" w:hAnsi="微软雅黑" w:eastAsia="微软雅黑" w:cs="微软雅黑"/>
          <w:sz w:val="21"/>
          <w:szCs w:val="21"/>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7D704BC"/>
    <w:multiLevelType w:val="multilevel"/>
    <w:tmpl w:val="07D704BC"/>
    <w:lvl w:ilvl="0" w:tentative="0">
      <w:start w:val="1"/>
      <w:numFmt w:val="japaneseCounting"/>
      <w:lvlText w:val="%1、"/>
      <w:lvlJc w:val="left"/>
      <w:pPr>
        <w:ind w:left="720" w:hanging="720"/>
      </w:pPr>
      <w:rPr>
        <w:rFonts w:hint="default"/>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
    <w:nsid w:val="4E794E9A"/>
    <w:multiLevelType w:val="multilevel"/>
    <w:tmpl w:val="4E794E9A"/>
    <w:lvl w:ilvl="0" w:tentative="0">
      <w:start w:val="1"/>
      <w:numFmt w:val="decimal"/>
      <w:lvlText w:val="%1."/>
      <w:lvlJc w:val="left"/>
      <w:pPr>
        <w:ind w:left="780" w:hanging="360"/>
      </w:pPr>
      <w:rPr>
        <w:rFonts w:hint="default"/>
      </w:rPr>
    </w:lvl>
    <w:lvl w:ilvl="1" w:tentative="0">
      <w:start w:val="1"/>
      <w:numFmt w:val="lowerLetter"/>
      <w:lvlText w:val="%2)"/>
      <w:lvlJc w:val="left"/>
      <w:pPr>
        <w:ind w:left="1300" w:hanging="440"/>
      </w:pPr>
    </w:lvl>
    <w:lvl w:ilvl="2" w:tentative="0">
      <w:start w:val="1"/>
      <w:numFmt w:val="lowerRoman"/>
      <w:lvlText w:val="%3."/>
      <w:lvlJc w:val="right"/>
      <w:pPr>
        <w:ind w:left="1740" w:hanging="440"/>
      </w:pPr>
    </w:lvl>
    <w:lvl w:ilvl="3" w:tentative="0">
      <w:start w:val="1"/>
      <w:numFmt w:val="decimal"/>
      <w:lvlText w:val="%4."/>
      <w:lvlJc w:val="left"/>
      <w:pPr>
        <w:ind w:left="2180" w:hanging="440"/>
      </w:pPr>
    </w:lvl>
    <w:lvl w:ilvl="4" w:tentative="0">
      <w:start w:val="1"/>
      <w:numFmt w:val="lowerLetter"/>
      <w:lvlText w:val="%5)"/>
      <w:lvlJc w:val="left"/>
      <w:pPr>
        <w:ind w:left="2620" w:hanging="440"/>
      </w:pPr>
    </w:lvl>
    <w:lvl w:ilvl="5" w:tentative="0">
      <w:start w:val="1"/>
      <w:numFmt w:val="lowerRoman"/>
      <w:lvlText w:val="%6."/>
      <w:lvlJc w:val="right"/>
      <w:pPr>
        <w:ind w:left="3060" w:hanging="440"/>
      </w:pPr>
    </w:lvl>
    <w:lvl w:ilvl="6" w:tentative="0">
      <w:start w:val="1"/>
      <w:numFmt w:val="decimal"/>
      <w:lvlText w:val="%7."/>
      <w:lvlJc w:val="left"/>
      <w:pPr>
        <w:ind w:left="3500" w:hanging="440"/>
      </w:pPr>
    </w:lvl>
    <w:lvl w:ilvl="7" w:tentative="0">
      <w:start w:val="1"/>
      <w:numFmt w:val="lowerLetter"/>
      <w:lvlText w:val="%8)"/>
      <w:lvlJc w:val="left"/>
      <w:pPr>
        <w:ind w:left="3940" w:hanging="440"/>
      </w:pPr>
    </w:lvl>
    <w:lvl w:ilvl="8" w:tentative="0">
      <w:start w:val="1"/>
      <w:numFmt w:val="lowerRoman"/>
      <w:lvlText w:val="%9."/>
      <w:lvlJc w:val="right"/>
      <w:pPr>
        <w:ind w:left="4380" w:hanging="44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575CC"/>
    <w:rsid w:val="005B069D"/>
    <w:rsid w:val="00655F35"/>
    <w:rsid w:val="0076738F"/>
    <w:rsid w:val="00A11A7B"/>
    <w:rsid w:val="00B91951"/>
    <w:rsid w:val="00E1070C"/>
    <w:rsid w:val="00F575CC"/>
    <w:rsid w:val="09442803"/>
    <w:rsid w:val="41566AE7"/>
    <w:rsid w:val="6A456D2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5"/>
    <w:qFormat/>
    <w:uiPriority w:val="9"/>
    <w:pPr>
      <w:keepNext/>
      <w:keepLines/>
      <w:spacing w:before="480" w:after="80"/>
      <w:outlineLvl w:val="0"/>
    </w:pPr>
    <w:rPr>
      <w:rFonts w:asciiTheme="majorHAnsi" w:hAnsiTheme="majorHAnsi" w:eastAsiaTheme="majorEastAsia" w:cstheme="majorBidi"/>
      <w:color w:val="2F5597" w:themeColor="accent1" w:themeShade="BF"/>
      <w:sz w:val="48"/>
      <w:szCs w:val="48"/>
    </w:rPr>
  </w:style>
  <w:style w:type="paragraph" w:styleId="3">
    <w:name w:val="heading 2"/>
    <w:basedOn w:val="1"/>
    <w:next w:val="1"/>
    <w:link w:val="16"/>
    <w:semiHidden/>
    <w:unhideWhenUsed/>
    <w:qFormat/>
    <w:uiPriority w:val="9"/>
    <w:pPr>
      <w:keepNext/>
      <w:keepLines/>
      <w:spacing w:before="160" w:after="80"/>
      <w:outlineLvl w:val="1"/>
    </w:pPr>
    <w:rPr>
      <w:rFonts w:asciiTheme="majorHAnsi" w:hAnsiTheme="majorHAnsi" w:eastAsiaTheme="majorEastAsia" w:cstheme="majorBidi"/>
      <w:color w:val="2F5597" w:themeColor="accent1" w:themeShade="BF"/>
      <w:sz w:val="40"/>
      <w:szCs w:val="40"/>
    </w:rPr>
  </w:style>
  <w:style w:type="paragraph" w:styleId="4">
    <w:name w:val="heading 3"/>
    <w:basedOn w:val="1"/>
    <w:next w:val="1"/>
    <w:link w:val="17"/>
    <w:semiHidden/>
    <w:unhideWhenUsed/>
    <w:qFormat/>
    <w:uiPriority w:val="9"/>
    <w:pPr>
      <w:keepNext/>
      <w:keepLines/>
      <w:spacing w:before="160" w:after="80"/>
      <w:outlineLvl w:val="2"/>
    </w:pPr>
    <w:rPr>
      <w:rFonts w:asciiTheme="majorHAnsi" w:hAnsiTheme="majorHAnsi" w:eastAsiaTheme="majorEastAsia" w:cstheme="majorBidi"/>
      <w:color w:val="2F5597" w:themeColor="accent1" w:themeShade="BF"/>
      <w:sz w:val="32"/>
      <w:szCs w:val="32"/>
    </w:rPr>
  </w:style>
  <w:style w:type="paragraph" w:styleId="5">
    <w:name w:val="heading 4"/>
    <w:basedOn w:val="1"/>
    <w:next w:val="1"/>
    <w:link w:val="18"/>
    <w:semiHidden/>
    <w:unhideWhenUsed/>
    <w:qFormat/>
    <w:uiPriority w:val="9"/>
    <w:pPr>
      <w:keepNext/>
      <w:keepLines/>
      <w:spacing w:before="80" w:after="40"/>
      <w:outlineLvl w:val="3"/>
    </w:pPr>
    <w:rPr>
      <w:rFonts w:cstheme="majorBidi"/>
      <w:color w:val="2F5597" w:themeColor="accent1" w:themeShade="BF"/>
      <w:sz w:val="28"/>
      <w:szCs w:val="28"/>
    </w:rPr>
  </w:style>
  <w:style w:type="paragraph" w:styleId="6">
    <w:name w:val="heading 5"/>
    <w:basedOn w:val="1"/>
    <w:next w:val="1"/>
    <w:link w:val="19"/>
    <w:semiHidden/>
    <w:unhideWhenUsed/>
    <w:qFormat/>
    <w:uiPriority w:val="9"/>
    <w:pPr>
      <w:keepNext/>
      <w:keepLines/>
      <w:spacing w:before="80" w:after="40"/>
      <w:outlineLvl w:val="4"/>
    </w:pPr>
    <w:rPr>
      <w:rFonts w:cstheme="majorBidi"/>
      <w:color w:val="2F5597" w:themeColor="accent1" w:themeShade="BF"/>
      <w:sz w:val="24"/>
      <w:szCs w:val="24"/>
    </w:rPr>
  </w:style>
  <w:style w:type="paragraph" w:styleId="7">
    <w:name w:val="heading 6"/>
    <w:basedOn w:val="1"/>
    <w:next w:val="1"/>
    <w:link w:val="20"/>
    <w:semiHidden/>
    <w:unhideWhenUsed/>
    <w:qFormat/>
    <w:uiPriority w:val="9"/>
    <w:pPr>
      <w:keepNext/>
      <w:keepLines/>
      <w:spacing w:before="40"/>
      <w:outlineLvl w:val="5"/>
    </w:pPr>
    <w:rPr>
      <w:rFonts w:cstheme="majorBidi"/>
      <w:b/>
      <w:bCs/>
      <w:color w:val="2F5597" w:themeColor="accent1" w:themeShade="BF"/>
    </w:rPr>
  </w:style>
  <w:style w:type="paragraph" w:styleId="8">
    <w:name w:val="heading 7"/>
    <w:basedOn w:val="1"/>
    <w:next w:val="1"/>
    <w:link w:val="21"/>
    <w:semiHidden/>
    <w:unhideWhenUsed/>
    <w:qFormat/>
    <w:uiPriority w:val="9"/>
    <w:pPr>
      <w:keepNext/>
      <w:keepLines/>
      <w:spacing w:before="40"/>
      <w:outlineLvl w:val="6"/>
    </w:pPr>
    <w:rPr>
      <w:rFonts w:cstheme="majorBidi"/>
      <w:b/>
      <w:bCs/>
      <w:color w:val="595959" w:themeColor="text1" w:themeTint="A6"/>
      <w14:textFill>
        <w14:solidFill>
          <w14:schemeClr w14:val="tx1">
            <w14:lumMod w14:val="65000"/>
            <w14:lumOff w14:val="35000"/>
          </w14:schemeClr>
        </w14:solidFill>
      </w14:textFill>
    </w:rPr>
  </w:style>
  <w:style w:type="paragraph" w:styleId="9">
    <w:name w:val="heading 8"/>
    <w:basedOn w:val="1"/>
    <w:next w:val="1"/>
    <w:link w:val="22"/>
    <w:semiHidden/>
    <w:unhideWhenUsed/>
    <w:qFormat/>
    <w:uiPriority w:val="9"/>
    <w:pPr>
      <w:keepNext/>
      <w:keepLines/>
      <w:outlineLvl w:val="7"/>
    </w:pPr>
    <w:rPr>
      <w:rFonts w:cstheme="majorBidi"/>
      <w:color w:val="595959" w:themeColor="text1" w:themeTint="A6"/>
      <w14:textFill>
        <w14:solidFill>
          <w14:schemeClr w14:val="tx1">
            <w14:lumMod w14:val="65000"/>
            <w14:lumOff w14:val="35000"/>
          </w14:schemeClr>
        </w14:solidFill>
      </w14:textFill>
    </w:rPr>
  </w:style>
  <w:style w:type="paragraph" w:styleId="10">
    <w:name w:val="heading 9"/>
    <w:basedOn w:val="1"/>
    <w:next w:val="1"/>
    <w:link w:val="23"/>
    <w:semiHidden/>
    <w:unhideWhenUsed/>
    <w:qFormat/>
    <w:uiPriority w:val="9"/>
    <w:pPr>
      <w:keepNext/>
      <w:keepLines/>
      <w:outlineLvl w:val="8"/>
    </w:pPr>
    <w:rPr>
      <w:rFonts w:eastAsiaTheme="majorEastAsia" w:cstheme="majorBidi"/>
      <w:color w:val="595959" w:themeColor="text1" w:themeTint="A6"/>
      <w14:textFill>
        <w14:solidFill>
          <w14:schemeClr w14:val="tx1">
            <w14:lumMod w14:val="65000"/>
            <w14:lumOff w14:val="35000"/>
          </w14:schemeClr>
        </w14:solidFill>
      </w14:textFill>
    </w:rPr>
  </w:style>
  <w:style w:type="character" w:default="1" w:styleId="14">
    <w:name w:val="Default Paragraph Font"/>
    <w:semiHidden/>
    <w:unhideWhenUsed/>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11">
    <w:name w:val="Subtitle"/>
    <w:basedOn w:val="1"/>
    <w:next w:val="1"/>
    <w:link w:val="25"/>
    <w:qFormat/>
    <w:uiPriority w:val="11"/>
    <w:pPr>
      <w:spacing w:after="160"/>
      <w:jc w:val="center"/>
    </w:pPr>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12">
    <w:name w:val="Title"/>
    <w:basedOn w:val="1"/>
    <w:next w:val="1"/>
    <w:link w:val="24"/>
    <w:qFormat/>
    <w:uiPriority w:val="10"/>
    <w:pPr>
      <w:spacing w:after="80"/>
      <w:contextualSpacing/>
      <w:jc w:val="center"/>
    </w:pPr>
    <w:rPr>
      <w:rFonts w:asciiTheme="majorHAnsi" w:hAnsiTheme="majorHAnsi" w:eastAsiaTheme="majorEastAsia" w:cstheme="majorBidi"/>
      <w:spacing w:val="-10"/>
      <w:kern w:val="28"/>
      <w:sz w:val="56"/>
      <w:szCs w:val="56"/>
    </w:rPr>
  </w:style>
  <w:style w:type="character" w:customStyle="1" w:styleId="15">
    <w:name w:val="标题 1 字符"/>
    <w:basedOn w:val="14"/>
    <w:link w:val="2"/>
    <w:qFormat/>
    <w:uiPriority w:val="9"/>
    <w:rPr>
      <w:rFonts w:asciiTheme="majorHAnsi" w:hAnsiTheme="majorHAnsi" w:eastAsiaTheme="majorEastAsia" w:cstheme="majorBidi"/>
      <w:color w:val="2F5597" w:themeColor="accent1" w:themeShade="BF"/>
      <w:sz w:val="48"/>
      <w:szCs w:val="48"/>
    </w:rPr>
  </w:style>
  <w:style w:type="character" w:customStyle="1" w:styleId="16">
    <w:name w:val="标题 2 字符"/>
    <w:basedOn w:val="14"/>
    <w:link w:val="3"/>
    <w:semiHidden/>
    <w:uiPriority w:val="9"/>
    <w:rPr>
      <w:rFonts w:asciiTheme="majorHAnsi" w:hAnsiTheme="majorHAnsi" w:eastAsiaTheme="majorEastAsia" w:cstheme="majorBidi"/>
      <w:color w:val="2F5597" w:themeColor="accent1" w:themeShade="BF"/>
      <w:sz w:val="40"/>
      <w:szCs w:val="40"/>
    </w:rPr>
  </w:style>
  <w:style w:type="character" w:customStyle="1" w:styleId="17">
    <w:name w:val="标题 3 字符"/>
    <w:basedOn w:val="14"/>
    <w:link w:val="4"/>
    <w:semiHidden/>
    <w:uiPriority w:val="9"/>
    <w:rPr>
      <w:rFonts w:asciiTheme="majorHAnsi" w:hAnsiTheme="majorHAnsi" w:eastAsiaTheme="majorEastAsia" w:cstheme="majorBidi"/>
      <w:color w:val="2F5597" w:themeColor="accent1" w:themeShade="BF"/>
      <w:sz w:val="32"/>
      <w:szCs w:val="32"/>
    </w:rPr>
  </w:style>
  <w:style w:type="character" w:customStyle="1" w:styleId="18">
    <w:name w:val="标题 4 字符"/>
    <w:basedOn w:val="14"/>
    <w:link w:val="5"/>
    <w:semiHidden/>
    <w:uiPriority w:val="9"/>
    <w:rPr>
      <w:rFonts w:cstheme="majorBidi"/>
      <w:color w:val="2F5597" w:themeColor="accent1" w:themeShade="BF"/>
      <w:sz w:val="28"/>
      <w:szCs w:val="28"/>
    </w:rPr>
  </w:style>
  <w:style w:type="character" w:customStyle="1" w:styleId="19">
    <w:name w:val="标题 5 字符"/>
    <w:basedOn w:val="14"/>
    <w:link w:val="6"/>
    <w:semiHidden/>
    <w:uiPriority w:val="9"/>
    <w:rPr>
      <w:rFonts w:cstheme="majorBidi"/>
      <w:color w:val="2F5597" w:themeColor="accent1" w:themeShade="BF"/>
      <w:sz w:val="24"/>
      <w:szCs w:val="24"/>
    </w:rPr>
  </w:style>
  <w:style w:type="character" w:customStyle="1" w:styleId="20">
    <w:name w:val="标题 6 字符"/>
    <w:basedOn w:val="14"/>
    <w:link w:val="7"/>
    <w:semiHidden/>
    <w:qFormat/>
    <w:uiPriority w:val="9"/>
    <w:rPr>
      <w:rFonts w:cstheme="majorBidi"/>
      <w:b/>
      <w:bCs/>
      <w:color w:val="2F5597" w:themeColor="accent1" w:themeShade="BF"/>
    </w:rPr>
  </w:style>
  <w:style w:type="character" w:customStyle="1" w:styleId="21">
    <w:name w:val="标题 7 字符"/>
    <w:basedOn w:val="14"/>
    <w:link w:val="8"/>
    <w:semiHidden/>
    <w:qFormat/>
    <w:uiPriority w:val="9"/>
    <w:rPr>
      <w:rFonts w:cstheme="majorBidi"/>
      <w:b/>
      <w:bCs/>
      <w:color w:val="595959" w:themeColor="text1" w:themeTint="A6"/>
      <w14:textFill>
        <w14:solidFill>
          <w14:schemeClr w14:val="tx1">
            <w14:lumMod w14:val="65000"/>
            <w14:lumOff w14:val="35000"/>
          </w14:schemeClr>
        </w14:solidFill>
      </w14:textFill>
    </w:rPr>
  </w:style>
  <w:style w:type="character" w:customStyle="1" w:styleId="22">
    <w:name w:val="标题 8 字符"/>
    <w:basedOn w:val="14"/>
    <w:link w:val="9"/>
    <w:semiHidden/>
    <w:uiPriority w:val="9"/>
    <w:rPr>
      <w:rFonts w:cstheme="majorBidi"/>
      <w:color w:val="595959" w:themeColor="text1" w:themeTint="A6"/>
      <w14:textFill>
        <w14:solidFill>
          <w14:schemeClr w14:val="tx1">
            <w14:lumMod w14:val="65000"/>
            <w14:lumOff w14:val="35000"/>
          </w14:schemeClr>
        </w14:solidFill>
      </w14:textFill>
    </w:rPr>
  </w:style>
  <w:style w:type="character" w:customStyle="1" w:styleId="23">
    <w:name w:val="标题 9 字符"/>
    <w:basedOn w:val="14"/>
    <w:link w:val="10"/>
    <w:semiHidden/>
    <w:uiPriority w:val="9"/>
    <w:rPr>
      <w:rFonts w:eastAsiaTheme="majorEastAsia" w:cstheme="majorBidi"/>
      <w:color w:val="595959" w:themeColor="text1" w:themeTint="A6"/>
      <w14:textFill>
        <w14:solidFill>
          <w14:schemeClr w14:val="tx1">
            <w14:lumMod w14:val="65000"/>
            <w14:lumOff w14:val="35000"/>
          </w14:schemeClr>
        </w14:solidFill>
      </w14:textFill>
    </w:rPr>
  </w:style>
  <w:style w:type="character" w:customStyle="1" w:styleId="24">
    <w:name w:val="标题 字符"/>
    <w:basedOn w:val="14"/>
    <w:link w:val="12"/>
    <w:qFormat/>
    <w:uiPriority w:val="10"/>
    <w:rPr>
      <w:rFonts w:asciiTheme="majorHAnsi" w:hAnsiTheme="majorHAnsi" w:eastAsiaTheme="majorEastAsia" w:cstheme="majorBidi"/>
      <w:spacing w:val="-10"/>
      <w:kern w:val="28"/>
      <w:sz w:val="56"/>
      <w:szCs w:val="56"/>
    </w:rPr>
  </w:style>
  <w:style w:type="character" w:customStyle="1" w:styleId="25">
    <w:name w:val="副标题 字符"/>
    <w:basedOn w:val="14"/>
    <w:link w:val="11"/>
    <w:uiPriority w:val="11"/>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26">
    <w:name w:val="Quote"/>
    <w:basedOn w:val="1"/>
    <w:next w:val="1"/>
    <w:link w:val="27"/>
    <w:qFormat/>
    <w:uiPriority w:val="29"/>
    <w:pPr>
      <w:spacing w:before="160" w:after="160"/>
      <w:jc w:val="center"/>
    </w:pPr>
    <w:rPr>
      <w:i/>
      <w:iCs/>
      <w:color w:val="404040" w:themeColor="text1" w:themeTint="BF"/>
      <w14:textFill>
        <w14:solidFill>
          <w14:schemeClr w14:val="tx1">
            <w14:lumMod w14:val="75000"/>
            <w14:lumOff w14:val="25000"/>
          </w14:schemeClr>
        </w14:solidFill>
      </w14:textFill>
    </w:rPr>
  </w:style>
  <w:style w:type="character" w:customStyle="1" w:styleId="27">
    <w:name w:val="引用 字符"/>
    <w:basedOn w:val="14"/>
    <w:link w:val="26"/>
    <w:uiPriority w:val="29"/>
    <w:rPr>
      <w:i/>
      <w:iCs/>
      <w:color w:val="404040" w:themeColor="text1" w:themeTint="BF"/>
      <w14:textFill>
        <w14:solidFill>
          <w14:schemeClr w14:val="tx1">
            <w14:lumMod w14:val="75000"/>
            <w14:lumOff w14:val="25000"/>
          </w14:schemeClr>
        </w14:solidFill>
      </w14:textFill>
    </w:rPr>
  </w:style>
  <w:style w:type="paragraph" w:styleId="28">
    <w:name w:val="List Paragraph"/>
    <w:basedOn w:val="1"/>
    <w:qFormat/>
    <w:uiPriority w:val="34"/>
    <w:pPr>
      <w:ind w:left="720"/>
      <w:contextualSpacing/>
    </w:pPr>
  </w:style>
  <w:style w:type="character" w:customStyle="1" w:styleId="29">
    <w:name w:val="Intense Emphasis"/>
    <w:basedOn w:val="14"/>
    <w:qFormat/>
    <w:uiPriority w:val="21"/>
    <w:rPr>
      <w:i/>
      <w:iCs/>
      <w:color w:val="2F5597" w:themeColor="accent1" w:themeShade="BF"/>
    </w:rPr>
  </w:style>
  <w:style w:type="paragraph" w:styleId="30">
    <w:name w:val="Intense Quote"/>
    <w:basedOn w:val="1"/>
    <w:next w:val="1"/>
    <w:link w:val="31"/>
    <w:qFormat/>
    <w:uiPriority w:val="30"/>
    <w:pPr>
      <w:pBdr>
        <w:top w:val="single" w:color="2F5496" w:themeColor="accent1" w:themeShade="BF" w:sz="4" w:space="10"/>
        <w:bottom w:val="single" w:color="2F5496" w:themeColor="accent1" w:themeShade="BF" w:sz="4" w:space="10"/>
      </w:pBdr>
      <w:spacing w:before="360" w:after="360"/>
      <w:ind w:left="864" w:right="864"/>
      <w:jc w:val="center"/>
    </w:pPr>
    <w:rPr>
      <w:i/>
      <w:iCs/>
      <w:color w:val="2F5597" w:themeColor="accent1" w:themeShade="BF"/>
    </w:rPr>
  </w:style>
  <w:style w:type="character" w:customStyle="1" w:styleId="31">
    <w:name w:val="明显引用 字符"/>
    <w:basedOn w:val="14"/>
    <w:link w:val="30"/>
    <w:uiPriority w:val="30"/>
    <w:rPr>
      <w:i/>
      <w:iCs/>
      <w:color w:val="2F5597" w:themeColor="accent1" w:themeShade="BF"/>
    </w:rPr>
  </w:style>
  <w:style w:type="character" w:customStyle="1" w:styleId="32">
    <w:name w:val="Intense Reference"/>
    <w:basedOn w:val="14"/>
    <w:qFormat/>
    <w:uiPriority w:val="32"/>
    <w:rPr>
      <w:b/>
      <w:bCs/>
      <w:smallCaps/>
      <w:color w:val="2F5597" w:themeColor="accent1" w:themeShade="BF"/>
      <w:spacing w:val="5"/>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889</Words>
  <Characters>978</Characters>
  <Lines>7</Lines>
  <Paragraphs>2</Paragraphs>
  <TotalTime>1493</TotalTime>
  <ScaleCrop>false</ScaleCrop>
  <LinksUpToDate>false</LinksUpToDate>
  <CharactersWithSpaces>984</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2025-03-28T07:37:00Z</dcterms:created>
  <dc:creator>STT-ZHT</dc:creator>
  <cp:lastModifiedBy>北京森馥-空气部</cp:lastModifiedBy>
  <dcterms:modified xsi:type="dcterms:W3CDTF">2025-06-04T06:15:08Z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eyJoZGlkIjoiZjI5MThlODlmY2FmMjU5Nzc1ODZjMTgwNDIwZmJhMTYiLCJ1c2VySWQiOiIzMDQ5MzkxNjcifQ==</vt:lpwstr>
  </property>
  <property fmtid="{D5CDD505-2E9C-101B-9397-08002B2CF9AE}" pid="3" name="KSOProductBuildVer">
    <vt:lpwstr>2052-12.1.0.21171</vt:lpwstr>
  </property>
  <property fmtid="{D5CDD505-2E9C-101B-9397-08002B2CF9AE}" pid="4" name="ICV">
    <vt:lpwstr>594ED705908042AF9EA397A8CA2D6FF0_12</vt:lpwstr>
  </property>
</Properties>
</file>