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F847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全球数字相控阵系统市场到2031年将达到2.91亿美元，2025-2031年复合增长率为12.7%，由BAE Systems和CesiumAstro推动</w:t>
      </w:r>
    </w:p>
    <w:p w14:paraId="43294D50">
      <w:pPr>
        <w:rPr>
          <w:b/>
          <w:bCs/>
        </w:rPr>
      </w:pPr>
      <w:r>
        <w:rPr>
          <w:rFonts w:hint="eastAsia"/>
        </w:rPr>
        <w:drawing>
          <wp:inline distT="0" distB="0" distL="0" distR="0">
            <wp:extent cx="5274310" cy="3832860"/>
            <wp:effectExtent l="0" t="0" r="2540" b="0"/>
            <wp:docPr id="105038233" name="图片 1" descr="Phased Array Equipment - RSL ND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38233" name="图片 1" descr="Phased Array Equipment - RSL ND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A4D16">
      <w:r>
        <w:t>全球数字相控阵系统市场正进入加速增长阶段，随着软件定义天线从小众应用转向主流的雷达、卫星通信和先进无线系统。据</w:t>
      </w:r>
      <w:r>
        <w:rPr>
          <w:rFonts w:hint="eastAsia"/>
        </w:rPr>
        <w:t>QYResearch（恒州博智）最新</w:t>
      </w:r>
      <w:r>
        <w:t>报告显示，市场规模预计将从2024年的1.26亿美元增长到2031年的2.91亿美元，在2025年至2031年间实现</w:t>
      </w:r>
      <w:r>
        <w:rPr>
          <w:b/>
          <w:bCs/>
        </w:rPr>
        <w:t>12.7%的复合年增长率</w:t>
      </w:r>
      <w:r>
        <w:t>。这一快速增长得益于低轨卫星星座的多波束阵列、新一代战斗机雷达的发展，以及射频前端单元级数字化的广泛采用。</w:t>
      </w:r>
    </w:p>
    <w:p w14:paraId="0DFBF5C6"/>
    <w:p w14:paraId="0EBC5708"/>
    <w:p w14:paraId="6A638EA4">
      <w:pPr>
        <w:rPr>
          <w:b/>
          <w:bCs/>
        </w:rPr>
      </w:pPr>
      <w:r>
        <w:rPr>
          <w:b/>
          <w:bCs/>
        </w:rPr>
        <w:t>2025年行业动态</w:t>
      </w:r>
    </w:p>
    <w:p w14:paraId="08642763">
      <w:r>
        <w:rPr>
          <w:b/>
          <w:bCs/>
        </w:rPr>
        <w:t>BAE Systems</w:t>
      </w:r>
      <w:r>
        <w:t> 已将其ECRS Mk2雷达系统推进至飞行测试集成阶段。继2024年取得成功里程碑后，该项目正向生产阶段推进，配备专用试验机，突显行业向多功能相控阵系统转变的趋势，这类系统能够在同一平台上实现雷达探测和电子攻击功能。</w:t>
      </w:r>
    </w:p>
    <w:p w14:paraId="36AAAE6B"/>
    <w:p w14:paraId="0547B378">
      <w:r>
        <w:rPr>
          <w:b/>
          <w:bCs/>
        </w:rPr>
        <w:t>CesiumAstro</w:t>
      </w:r>
      <w:r>
        <w:t> 在2025年获得台湾太空中心合同，提供软件定义载荷和地面终端，用于台湾首个低轨卫星星座。这一成果建立在其2024年发布的多波束Vireo相控阵产品基础上，持续在卫星和航空航天应用中获得市场牵引力。</w:t>
      </w:r>
    </w:p>
    <w:p w14:paraId="41313925"/>
    <w:p w14:paraId="2ABCC668">
      <w:r>
        <w:rPr>
          <w:b/>
          <w:bCs/>
        </w:rPr>
        <w:t>Northwood Space</w:t>
      </w:r>
      <w:r>
        <w:t> 在2025年中期展示了其Portal地面系统，实现在同一相控阵面上</w:t>
      </w:r>
      <w:r>
        <w:rPr>
          <w:b/>
          <w:bCs/>
        </w:rPr>
        <w:t>1千瓦发射功率</w:t>
      </w:r>
      <w:r>
        <w:t>和</w:t>
      </w:r>
      <w:r>
        <w:rPr>
          <w:b/>
          <w:bCs/>
        </w:rPr>
        <w:t>探测到皮瓦级以下信号</w:t>
      </w:r>
      <w:r>
        <w:t>的能力，这是低轨大规模卫星操作中电子扫描地面站的重要突破。</w:t>
      </w:r>
    </w:p>
    <w:p w14:paraId="11E66ED1"/>
    <w:p w14:paraId="27144605">
      <w:r>
        <w:rPr>
          <w:b/>
          <w:bCs/>
        </w:rPr>
        <w:t>MI-Wave</w:t>
      </w:r>
      <w:r>
        <w:t> 在2025年扩展了其相控阵产品组合，覆盖从C波段到V波段。这些系统具备高分辨率相位和增益控制、远程用户界面以及超过100个波束位置存储，广泛应用于卫星通信和下一代移动网络市场。</w:t>
      </w:r>
    </w:p>
    <w:p w14:paraId="63C7753B"/>
    <w:p w14:paraId="4FCEF72C">
      <w:r>
        <w:rPr>
          <w:b/>
          <w:bCs/>
        </w:rPr>
        <w:t>Analog Devices</w:t>
      </w:r>
      <w:r>
        <w:t> 持续推动数字阵列的小型化。其ADAR1000四通道波束形成芯片以及目标为32T/32R混合波束成形的X波段开发平台，展示了向单元级数字化发展的趋势，并具备对增益和相位的精细控制能力。</w:t>
      </w:r>
    </w:p>
    <w:p w14:paraId="51ED2627"/>
    <w:p w14:paraId="11DD97D6">
      <w:pPr>
        <w:rPr>
          <w:b/>
          <w:bCs/>
        </w:rPr>
      </w:pPr>
      <w:r>
        <w:rPr>
          <w:b/>
          <w:bCs/>
        </w:rPr>
        <w:t>领先企业</w:t>
      </w:r>
    </w:p>
    <w:p w14:paraId="7D16B545">
      <w:r>
        <w:t>MI-Wave</w:t>
      </w:r>
      <w:r>
        <w:br w:type="textWrapping"/>
      </w:r>
      <w:r>
        <w:t>BAE Systems</w:t>
      </w:r>
      <w:r>
        <w:br w:type="textWrapping"/>
      </w:r>
      <w:r>
        <w:t>CesiumAstro</w:t>
      </w:r>
      <w:r>
        <w:br w:type="textWrapping"/>
      </w:r>
      <w:r>
        <w:t>Analog Devices, Inc.</w:t>
      </w:r>
      <w:r>
        <w:br w:type="textWrapping"/>
      </w:r>
      <w:r>
        <w:t>Northwood</w:t>
      </w:r>
    </w:p>
    <w:p w14:paraId="6B3511AC"/>
    <w:p w14:paraId="6DF3EC31">
      <w:pPr>
        <w:rPr>
          <w:b/>
          <w:bCs/>
        </w:rPr>
      </w:pPr>
      <w:r>
        <w:rPr>
          <w:b/>
          <w:bCs/>
        </w:rPr>
        <w:t>应用领域</w:t>
      </w:r>
    </w:p>
    <w:p w14:paraId="41B9059E">
      <w:r>
        <w:t>雷达系统</w:t>
      </w:r>
      <w:r>
        <w:br w:type="textWrapping"/>
      </w:r>
      <w:r>
        <w:t>卫星通信</w:t>
      </w:r>
      <w:r>
        <w:br w:type="textWrapping"/>
      </w:r>
      <w:r>
        <w:t>5G/6G通信</w:t>
      </w:r>
      <w:r>
        <w:br w:type="textWrapping"/>
      </w:r>
      <w:r>
        <w:t>航空航天与国防</w:t>
      </w:r>
    </w:p>
    <w:p w14:paraId="721954F0"/>
    <w:p w14:paraId="50DC7386">
      <w:pPr>
        <w:rPr>
          <w:b/>
          <w:bCs/>
        </w:rPr>
      </w:pPr>
      <w:r>
        <w:rPr>
          <w:b/>
          <w:bCs/>
        </w:rPr>
        <w:t>类型分类</w:t>
      </w:r>
    </w:p>
    <w:p w14:paraId="3448AABB">
      <w:r>
        <w:t>硬件</w:t>
      </w:r>
      <w:r>
        <w:br w:type="textWrapping"/>
      </w:r>
      <w:r>
        <w:t>软件与服务</w:t>
      </w:r>
    </w:p>
    <w:p w14:paraId="62CA939C"/>
    <w:p w14:paraId="108DB30C">
      <w:pPr>
        <w:rPr>
          <w:b/>
          <w:bCs/>
        </w:rPr>
      </w:pPr>
      <w:r>
        <w:rPr>
          <w:b/>
          <w:bCs/>
        </w:rPr>
        <w:t>最新市场数据</w:t>
      </w:r>
    </w:p>
    <w:p w14:paraId="271A9200">
      <w:pPr>
        <w:numPr>
          <w:ilvl w:val="0"/>
          <w:numId w:val="1"/>
        </w:numPr>
      </w:pPr>
      <w:r>
        <w:t>全球市场规模：2024年为1.26亿美元，预计到2031年增长至2.91亿美元</w:t>
      </w:r>
    </w:p>
    <w:p w14:paraId="415FDE25">
      <w:pPr>
        <w:numPr>
          <w:ilvl w:val="0"/>
          <w:numId w:val="1"/>
        </w:numPr>
      </w:pPr>
      <w:r>
        <w:t>复合年增长率（2025–2031）：12.7%</w:t>
      </w:r>
    </w:p>
    <w:p w14:paraId="15DA0A9C">
      <w:pPr>
        <w:numPr>
          <w:ilvl w:val="0"/>
          <w:numId w:val="1"/>
        </w:numPr>
      </w:pPr>
      <w:r>
        <w:t>应用结构：雷达系统在2024年占据最大收入份额，预计到2031年仍将保持强劲增长</w:t>
      </w:r>
    </w:p>
    <w:p w14:paraId="68D5BBFD">
      <w:pPr>
        <w:numPr>
          <w:ilvl w:val="0"/>
          <w:numId w:val="1"/>
        </w:numPr>
      </w:pPr>
      <w:r>
        <w:t>区域展望：北美在先进相控阵研发和国防项目中领先；亚太地区因卫星星座和雷达现代化快速扩张；欧洲通过ECRS Mk2等重大防务雷达升级取得进展</w:t>
      </w:r>
    </w:p>
    <w:p w14:paraId="6A99D763"/>
    <w:p w14:paraId="2AE8E22F">
      <w:pPr>
        <w:rPr>
          <w:b/>
          <w:bCs/>
        </w:rPr>
      </w:pPr>
      <w:r>
        <w:rPr>
          <w:b/>
          <w:bCs/>
        </w:rPr>
        <w:t>产品快照</w:t>
      </w:r>
    </w:p>
    <w:p w14:paraId="4339EA29">
      <w:pPr>
        <w:rPr>
          <w:b/>
          <w:bCs/>
        </w:rPr>
      </w:pPr>
      <w:r>
        <w:rPr>
          <w:b/>
          <w:bCs/>
        </w:rPr>
        <w:t>MI-Wave — 相控阵系统</w:t>
      </w:r>
    </w:p>
    <w:p w14:paraId="1FD8EC81">
      <w:pPr>
        <w:numPr>
          <w:ilvl w:val="0"/>
          <w:numId w:val="2"/>
        </w:numPr>
      </w:pPr>
      <w:r>
        <w:t>频率覆盖：C/L/S波段、X波段、Ka波段和Q/V波段</w:t>
      </w:r>
    </w:p>
    <w:p w14:paraId="5FF5E0E3">
      <w:pPr>
        <w:numPr>
          <w:ilvl w:val="0"/>
          <w:numId w:val="2"/>
        </w:numPr>
      </w:pPr>
      <w:r>
        <w:t>相位分辨率：360°电子波束扫描，步长约2.8°</w:t>
      </w:r>
    </w:p>
    <w:p w14:paraId="76C13E00">
      <w:pPr>
        <w:numPr>
          <w:ilvl w:val="0"/>
          <w:numId w:val="2"/>
        </w:numPr>
      </w:pPr>
      <w:r>
        <w:t>增益控制：&gt;31 dB范围，分辨率小于0.5 dB</w:t>
      </w:r>
    </w:p>
    <w:p w14:paraId="6E748886">
      <w:pPr>
        <w:numPr>
          <w:ilvl w:val="0"/>
          <w:numId w:val="2"/>
        </w:numPr>
      </w:pPr>
      <w:r>
        <w:t>特点：远程GUI控制、以太网/无线接口、最多121个波束位置存储</w:t>
      </w:r>
    </w:p>
    <w:p w14:paraId="07A666B5">
      <w:pPr>
        <w:numPr>
          <w:ilvl w:val="0"/>
          <w:numId w:val="2"/>
        </w:numPr>
      </w:pPr>
      <w:r>
        <w:t>应用：军用雷达、卫星通信、5G/6G</w:t>
      </w:r>
    </w:p>
    <w:p w14:paraId="15BEE222">
      <w:pPr>
        <w:rPr>
          <w:b/>
          <w:bCs/>
        </w:rPr>
      </w:pPr>
      <w:r>
        <w:rPr>
          <w:b/>
          <w:bCs/>
        </w:rPr>
        <w:t>BAE Systems — ECRS Mk2雷达</w:t>
      </w:r>
    </w:p>
    <w:p w14:paraId="56F5E48D">
      <w:pPr>
        <w:numPr>
          <w:ilvl w:val="0"/>
          <w:numId w:val="3"/>
        </w:numPr>
      </w:pPr>
      <w:r>
        <w:t>多功能有源相控阵雷达，具备电子攻击能力</w:t>
      </w:r>
    </w:p>
    <w:p w14:paraId="324DE9E3">
      <w:pPr>
        <w:numPr>
          <w:ilvl w:val="0"/>
          <w:numId w:val="3"/>
        </w:numPr>
      </w:pPr>
      <w:r>
        <w:t>2025年进入专用试验机飞行测试集成阶段</w:t>
      </w:r>
    </w:p>
    <w:p w14:paraId="72127C2F">
      <w:pPr>
        <w:numPr>
          <w:ilvl w:val="0"/>
          <w:numId w:val="3"/>
        </w:numPr>
      </w:pPr>
      <w:r>
        <w:t>获得英国超过2亿英镑的初始生产资金支持</w:t>
      </w:r>
    </w:p>
    <w:p w14:paraId="4A33054B">
      <w:pPr>
        <w:numPr>
          <w:ilvl w:val="0"/>
          <w:numId w:val="3"/>
        </w:numPr>
      </w:pPr>
      <w:r>
        <w:t>战略作用：扩展“台风”战斗机的作战能力</w:t>
      </w:r>
    </w:p>
    <w:p w14:paraId="225EEF95">
      <w:pPr>
        <w:rPr>
          <w:b/>
          <w:bCs/>
        </w:rPr>
      </w:pPr>
      <w:r>
        <w:rPr>
          <w:b/>
          <w:bCs/>
        </w:rPr>
        <w:t>CesiumAstro — Ka波段卫星通信终端</w:t>
      </w:r>
    </w:p>
    <w:p w14:paraId="2F19D8BC">
      <w:pPr>
        <w:numPr>
          <w:ilvl w:val="0"/>
          <w:numId w:val="4"/>
        </w:numPr>
      </w:pPr>
      <w:r>
        <w:t>频率范围：接收17.7–21.2 GHz，发射27.5–31 GHz</w:t>
      </w:r>
    </w:p>
    <w:p w14:paraId="0D9C6138">
      <w:pPr>
        <w:numPr>
          <w:ilvl w:val="0"/>
          <w:numId w:val="4"/>
        </w:numPr>
      </w:pPr>
      <w:r>
        <w:t>有效全向辐射功率（EIRP）：47–56 dBW（取决于配置）</w:t>
      </w:r>
    </w:p>
    <w:p w14:paraId="434A484E">
      <w:pPr>
        <w:numPr>
          <w:ilvl w:val="0"/>
          <w:numId w:val="4"/>
        </w:numPr>
      </w:pPr>
      <w:r>
        <w:t>噪声温度增益比（G/T）：8–15 dB/K</w:t>
      </w:r>
    </w:p>
    <w:p w14:paraId="13C4C390">
      <w:pPr>
        <w:numPr>
          <w:ilvl w:val="0"/>
          <w:numId w:val="4"/>
        </w:numPr>
      </w:pPr>
      <w:r>
        <w:t>功率预算：140–900 W（取决于型号）</w:t>
      </w:r>
    </w:p>
    <w:p w14:paraId="7E8F1C03">
      <w:pPr>
        <w:numPr>
          <w:ilvl w:val="0"/>
          <w:numId w:val="4"/>
        </w:numPr>
      </w:pPr>
      <w:r>
        <w:t>路线图：2025年航空终端认证，多波束演示已完成</w:t>
      </w:r>
    </w:p>
    <w:p w14:paraId="5332A1D7">
      <w:pPr>
        <w:rPr>
          <w:b/>
          <w:bCs/>
        </w:rPr>
      </w:pPr>
      <w:r>
        <w:rPr>
          <w:b/>
          <w:bCs/>
        </w:rPr>
        <w:t>Analog Devices — ADAR1000波束形成芯片</w:t>
      </w:r>
    </w:p>
    <w:p w14:paraId="58778D98">
      <w:pPr>
        <w:numPr>
          <w:ilvl w:val="0"/>
          <w:numId w:val="5"/>
        </w:numPr>
      </w:pPr>
      <w:r>
        <w:t>四路发射/接收通道</w:t>
      </w:r>
    </w:p>
    <w:p w14:paraId="7D7FEDE9">
      <w:pPr>
        <w:numPr>
          <w:ilvl w:val="0"/>
          <w:numId w:val="5"/>
        </w:numPr>
      </w:pPr>
      <w:r>
        <w:t>频率范围：8–16 GHz（X与Ku波段）</w:t>
      </w:r>
    </w:p>
    <w:p w14:paraId="2FD700DA">
      <w:pPr>
        <w:numPr>
          <w:ilvl w:val="0"/>
          <w:numId w:val="5"/>
        </w:numPr>
      </w:pPr>
      <w:r>
        <w:t>相位控制：360°全向，具备高精度分辨率</w:t>
      </w:r>
    </w:p>
    <w:p w14:paraId="664872C0">
      <w:pPr>
        <w:numPr>
          <w:ilvl w:val="0"/>
          <w:numId w:val="5"/>
        </w:numPr>
      </w:pPr>
      <w:r>
        <w:t>增益控制：≥31 dB，步长精度0.5 dB</w:t>
      </w:r>
    </w:p>
    <w:p w14:paraId="04671B80">
      <w:pPr>
        <w:numPr>
          <w:ilvl w:val="0"/>
          <w:numId w:val="5"/>
        </w:numPr>
      </w:pPr>
      <w:r>
        <w:t>生态系统：应用于ADI的X波段开发平台，用于32T/32R相控阵演示</w:t>
      </w:r>
    </w:p>
    <w:p w14:paraId="0296B89F">
      <w:pPr>
        <w:rPr>
          <w:b/>
          <w:bCs/>
        </w:rPr>
      </w:pPr>
      <w:r>
        <w:rPr>
          <w:b/>
          <w:bCs/>
        </w:rPr>
        <w:t>Northwood — Portal地面相控阵</w:t>
      </w:r>
    </w:p>
    <w:p w14:paraId="6B356B4C">
      <w:pPr>
        <w:numPr>
          <w:ilvl w:val="0"/>
          <w:numId w:val="6"/>
        </w:numPr>
      </w:pPr>
      <w:r>
        <w:t>发射功率：演示约1千瓦</w:t>
      </w:r>
    </w:p>
    <w:p w14:paraId="7B624402">
      <w:pPr>
        <w:numPr>
          <w:ilvl w:val="0"/>
          <w:numId w:val="6"/>
        </w:numPr>
      </w:pPr>
      <w:r>
        <w:t>接收灵敏度：可探测到皮瓦级以下信号</w:t>
      </w:r>
    </w:p>
    <w:p w14:paraId="03D80C2C">
      <w:pPr>
        <w:numPr>
          <w:ilvl w:val="0"/>
          <w:numId w:val="6"/>
        </w:numPr>
      </w:pPr>
      <w:r>
        <w:t>功能：在单一相控阵面上同时实现高功率发射与超灵敏接收</w:t>
      </w:r>
    </w:p>
    <w:p w14:paraId="1257A8D0">
      <w:pPr>
        <w:numPr>
          <w:ilvl w:val="0"/>
          <w:numId w:val="6"/>
        </w:numPr>
      </w:pPr>
      <w:r>
        <w:t>意义：推动地面站从机械抛物面向可扩展的电子扫描架构转型</w:t>
      </w:r>
    </w:p>
    <w:p w14:paraId="47F3E936"/>
    <w:p w14:paraId="7346988D">
      <w:pPr>
        <w:rPr>
          <w:b/>
          <w:bCs/>
        </w:rPr>
      </w:pPr>
      <w:r>
        <w:rPr>
          <w:b/>
          <w:bCs/>
        </w:rPr>
        <w:t>下游客户</w:t>
      </w:r>
    </w:p>
    <w:p w14:paraId="7657548D">
      <w:r>
        <w:t>Lockheed Martin</w:t>
      </w:r>
      <w:r>
        <w:br w:type="textWrapping"/>
      </w:r>
      <w:r>
        <w:t>Raytheon</w:t>
      </w:r>
      <w:r>
        <w:br w:type="textWrapping"/>
      </w:r>
      <w:r>
        <w:t>Northrop Grumman</w:t>
      </w:r>
      <w:r>
        <w:br w:type="textWrapping"/>
      </w:r>
      <w:r>
        <w:t>Leonardo</w:t>
      </w:r>
      <w:r>
        <w:br w:type="textWrapping"/>
      </w:r>
      <w:r>
        <w:t>Thales</w:t>
      </w:r>
      <w:r>
        <w:br w:type="textWrapping"/>
      </w:r>
      <w:r>
        <w:t>Saab</w:t>
      </w:r>
      <w:r>
        <w:br w:type="textWrapping"/>
      </w:r>
      <w:r>
        <w:t>HENSOLDT</w:t>
      </w:r>
      <w:r>
        <w:br w:type="textWrapping"/>
      </w:r>
      <w:r>
        <w:t>Airbus Defence and Space</w:t>
      </w:r>
      <w:r>
        <w:br w:type="textWrapping"/>
      </w:r>
      <w:r>
        <w:t>Boeing Defense, Space &amp; Security</w:t>
      </w:r>
      <w:r>
        <w:br w:type="textWrapping"/>
      </w:r>
      <w:r>
        <w:t>Israel Aerospace Industries</w:t>
      </w:r>
      <w:r>
        <w:br w:type="textWrapping"/>
      </w:r>
      <w:r>
        <w:t>Elbit Systems</w:t>
      </w:r>
      <w:r>
        <w:br w:type="textWrapping"/>
      </w:r>
      <w:r>
        <w:t>Viasat</w:t>
      </w:r>
      <w:r>
        <w:br w:type="textWrapping"/>
      </w:r>
      <w:r>
        <w:t>Hughes Network Systems</w:t>
      </w:r>
      <w:r>
        <w:br w:type="textWrapping"/>
      </w:r>
      <w:r>
        <w:t>SES</w:t>
      </w:r>
      <w:r>
        <w:br w:type="textWrapping"/>
      </w:r>
      <w:r>
        <w:t>OneWeb</w:t>
      </w:r>
    </w:p>
    <w:p w14:paraId="0F53A4D4"/>
    <w:p w14:paraId="16E71962">
      <w:pPr>
        <w:rPr>
          <w:b/>
          <w:bCs/>
        </w:rPr>
      </w:pPr>
      <w:r>
        <w:rPr>
          <w:b/>
          <w:bCs/>
        </w:rPr>
        <w:t>市场趋势</w:t>
      </w:r>
    </w:p>
    <w:p w14:paraId="3AC57934">
      <w:pPr>
        <w:rPr>
          <w:b/>
          <w:bCs/>
        </w:rPr>
      </w:pPr>
      <w:r>
        <w:rPr>
          <w:b/>
          <w:bCs/>
        </w:rPr>
        <w:t>软件定义数字化</w:t>
      </w:r>
    </w:p>
    <w:p w14:paraId="44C786FF">
      <w:r>
        <w:t>2025年的主导趋势是向单元级数字化转型，每个天线单元都配备数字化器件并由软件控制。这种架构能够在同一阵列上实现雷达、通信和电子战功能，减少硬件冗余，并支持快速功能升级。</w:t>
      </w:r>
    </w:p>
    <w:p w14:paraId="05595095"/>
    <w:p w14:paraId="3592CCF0">
      <w:pPr>
        <w:rPr>
          <w:b/>
          <w:bCs/>
        </w:rPr>
      </w:pPr>
      <w:r>
        <w:rPr>
          <w:b/>
          <w:bCs/>
        </w:rPr>
        <w:t>多功能战斗机雷达扩展</w:t>
      </w:r>
    </w:p>
    <w:p w14:paraId="5BCCE708">
      <w:r>
        <w:t>防务项目正在推动近期应用。Eurofighter Typhoon的ECRS Mk2凸显出更广泛的行业趋势，即多功能雷达阵列能够同时执行监视、干扰和电子攻击。2025年的初始生产承诺确认其为北约现代化战略的核心。</w:t>
      </w:r>
    </w:p>
    <w:p w14:paraId="41AA436C"/>
    <w:p w14:paraId="5EC8018F">
      <w:pPr>
        <w:rPr>
          <w:b/>
          <w:bCs/>
        </w:rPr>
      </w:pPr>
      <w:r>
        <w:rPr>
          <w:b/>
          <w:bCs/>
        </w:rPr>
        <w:t>Ka波段移动终端</w:t>
      </w:r>
    </w:p>
    <w:p w14:paraId="39F0BB1E">
      <w:r>
        <w:t>卫星通信正加速向Ka波段转移，特别是在航空和海事市场。具备高EIRP和G/T值的多波束相控阵正在取代机械天线，为商用航空和国防移动平台提供无缝的星座漫游和高速率传输。</w:t>
      </w:r>
    </w:p>
    <w:p w14:paraId="44F51098"/>
    <w:p w14:paraId="63474484">
      <w:pPr>
        <w:rPr>
          <w:b/>
          <w:bCs/>
        </w:rPr>
      </w:pPr>
      <w:r>
        <w:rPr>
          <w:b/>
          <w:bCs/>
        </w:rPr>
        <w:t>地面段演进</w:t>
      </w:r>
    </w:p>
    <w:p w14:paraId="401C54E5">
      <w:r>
        <w:t>Northwood的Portal等电子扫描地面阵列展示了替代传统抛物面天线的可行性。高发射功率与超灵敏接收的结合，为低轨卫星网络提供低成本、可扩展的部署方式，降低站点复杂性并提升灵活性。</w:t>
      </w:r>
    </w:p>
    <w:p w14:paraId="7E7CFEC0"/>
    <w:p w14:paraId="19F19FF9">
      <w:pPr>
        <w:rPr>
          <w:b/>
          <w:bCs/>
        </w:rPr>
      </w:pPr>
      <w:r>
        <w:rPr>
          <w:b/>
          <w:bCs/>
        </w:rPr>
        <w:t>半导体小型化</w:t>
      </w:r>
    </w:p>
    <w:p w14:paraId="6592D192">
      <w:r>
        <w:t>半导体技术进展，以Analog Devices的ADAR1000和开发平台为代表，正在压缩相控阵的尺寸、重量和功耗。单元级精细的相位和增益控制正在推动紧凑型、低成本阵列的出现，适用于防务和商用通信。</w:t>
      </w:r>
    </w:p>
    <w:p w14:paraId="74104DF6"/>
    <w:p w14:paraId="4C7EBE22">
      <w:pPr>
        <w:rPr>
          <w:b/>
          <w:bCs/>
        </w:rPr>
      </w:pPr>
      <w:r>
        <w:rPr>
          <w:b/>
          <w:bCs/>
        </w:rPr>
        <w:t>小卫星应用</w:t>
      </w:r>
    </w:p>
    <w:p w14:paraId="3550EE00">
      <w:r>
        <w:t>小卫星正迅速从传统UHF和S波段转向高频段，特别是Ka波段，以支持更高数据吞吐量。这一趋势直接推动对轻量化、平板式相控阵天线的需求，它们具备灵活波束控制和多波束操作能力。</w:t>
      </w:r>
    </w:p>
    <w:p w14:paraId="7CC7530F"/>
    <w:p w14:paraId="6C7B1B63">
      <w:pPr>
        <w:rPr>
          <w:b/>
          <w:bCs/>
        </w:rPr>
      </w:pPr>
      <w:r>
        <w:rPr>
          <w:b/>
          <w:bCs/>
        </w:rPr>
        <w:t>行业生态信号</w:t>
      </w:r>
    </w:p>
    <w:p w14:paraId="49D694FB">
      <w:r>
        <w:t>2024年和2025年的行业会议与对话强调了毫米波扩展和数字波束形成是核心主题。行业共识认为，相控阵系统正成为软件驱动的系统，适应性、可重构性以及与人工智能算法的集成将是未来竞争的关键因素。</w:t>
      </w:r>
    </w:p>
    <w:p w14:paraId="481E504D"/>
    <w:p w14:paraId="4DFB821F">
      <w:pPr>
        <w:rPr>
          <w:b/>
          <w:bCs/>
        </w:rPr>
      </w:pPr>
      <w:r>
        <w:rPr>
          <w:b/>
          <w:bCs/>
        </w:rPr>
        <w:t>结论</w:t>
      </w:r>
    </w:p>
    <w:p w14:paraId="44BBCB88">
      <w:r>
        <w:t>数字相控阵系统市场在2025年进入转型阶段。Eurofighter雷达现代化、商用卫星通信向Ka波段多波束阵列的扩展、地面架构突破与半导体进步正在融合。随着预计到2031年实现12.7%的复合增长率，该市场为现有企业和新进入者带来重大机遇，而雷达、通信和电子战之间的界限也在软件定义的框架下逐渐模糊。</w:t>
      </w:r>
    </w:p>
    <w:p w14:paraId="737C0C4D"/>
    <w:p w14:paraId="78F0D563">
      <w:pPr>
        <w:rPr>
          <w:b/>
          <w:bCs/>
        </w:rPr>
      </w:pPr>
      <w:bookmarkStart w:id="0" w:name="_GoBack"/>
      <w:r>
        <w:rPr>
          <w:b/>
          <w:bCs/>
        </w:rPr>
        <w:t>关于我们</w:t>
      </w:r>
    </w:p>
    <w:p w14:paraId="4A373B10">
      <w:r>
        <w:t>QY Research与全球超过71,000家领先企业建立了紧密合作关系。我们拥有超过20,000名全球行业专家，构建了强大的全球网络以高效收集洞察和原始数据。</w:t>
      </w:r>
    </w:p>
    <w:p w14:paraId="4F64EB6A"/>
    <w:p w14:paraId="43E1B7A5">
      <w:r>
        <w:t>我们的36步验证体系确保数据的可靠性与质量。凭借超过200万份报告，我们已成为全球最大的市场报告供应商。我们的全球数据库覆盖超过2,000个来源，涵盖大多数国家的数据，包括进出口详情。</w:t>
      </w:r>
    </w:p>
    <w:p w14:paraId="0421C369"/>
    <w:p w14:paraId="7893226E"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9402C0"/>
    <w:multiLevelType w:val="multilevel"/>
    <w:tmpl w:val="2B9402C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>
    <w:nsid w:val="3B9E6E20"/>
    <w:multiLevelType w:val="multilevel"/>
    <w:tmpl w:val="3B9E6E2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>
    <w:nsid w:val="4D690723"/>
    <w:multiLevelType w:val="multilevel"/>
    <w:tmpl w:val="4D69072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>
    <w:nsid w:val="60C0638D"/>
    <w:multiLevelType w:val="multilevel"/>
    <w:tmpl w:val="60C0638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>
    <w:nsid w:val="635B7730"/>
    <w:multiLevelType w:val="multilevel"/>
    <w:tmpl w:val="635B773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>
    <w:nsid w:val="77C934BB"/>
    <w:multiLevelType w:val="multilevel"/>
    <w:tmpl w:val="77C934B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C09"/>
    <w:rsid w:val="00252E6F"/>
    <w:rsid w:val="006A74A8"/>
    <w:rsid w:val="0079070E"/>
    <w:rsid w:val="007A698A"/>
    <w:rsid w:val="009C7C09"/>
    <w:rsid w:val="00AB2525"/>
    <w:rsid w:val="00C00444"/>
    <w:rsid w:val="00C02B33"/>
    <w:rsid w:val="00F75822"/>
    <w:rsid w:val="64C0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Hyperlink"/>
    <w:basedOn w:val="1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6"/>
    <w:link w:val="6"/>
    <w:semiHidden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3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6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6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6"/>
    <w:link w:val="12"/>
    <w:uiPriority w:val="99"/>
    <w:rPr>
      <w:sz w:val="18"/>
      <w:szCs w:val="18"/>
    </w:rPr>
  </w:style>
  <w:style w:type="character" w:customStyle="1" w:styleId="37">
    <w:name w:val="页脚 字符"/>
    <w:basedOn w:val="16"/>
    <w:link w:val="11"/>
    <w:uiPriority w:val="99"/>
    <w:rPr>
      <w:sz w:val="18"/>
      <w:szCs w:val="18"/>
    </w:rPr>
  </w:style>
  <w:style w:type="character" w:customStyle="1" w:styleId="38">
    <w:name w:val="Unresolved Mention"/>
    <w:basedOn w:val="1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2447</Words>
  <Characters>3322</Characters>
  <Lines>26</Lines>
  <Paragraphs>7</Paragraphs>
  <TotalTime>4</TotalTime>
  <ScaleCrop>false</ScaleCrop>
  <LinksUpToDate>false</LinksUpToDate>
  <CharactersWithSpaces>3394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2025-08-22T22:53:00Z</dcterms:created>
  <dc:creator>Administrator</dc:creator>
  <cp:lastModifiedBy>鼕鼕</cp:lastModifiedBy>
  <dcterms:modified xsi:type="dcterms:W3CDTF">2025-09-08T07:16:14Z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5530388AF1624901B52FA31DBF773B60_12</vt:lpwstr>
  </property>
</Properties>
</file>