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AB7848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bookmarkStart w:id="0" w:name="_GoBack"/>
      <w:r>
        <w:rPr>
          <w:b/>
          <w:sz w:val="48"/>
        </w:rPr>
        <w:t>2026 口腔主治医师备考指南：分阶段学习与资源整合</w:t>
      </w:r>
    </w:p>
    <w:p w14:paraId="2FAF9F2D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color w:val="191919"/>
          <w:sz w:val="32"/>
        </w:rPr>
        <w:t>在2026年主治医师口腔考试备考前期，做好规划至关重要。这就如同建造高楼大厦，需要先有一个稳固的地基和清晰的蓝图。对于口腔主治医师考试而言，提前了解考试内容和考试要求是第一步。</w:t>
      </w:r>
      <w:r>
        <w:rPr>
          <w:sz w:val="32"/>
        </w:rPr>
        <w:t>本文结合阿虎医考 17 年教研经验，从备考规划、阶段重点、资料选择等方面提供实用建议，帮助考生理清思路，提升复习效率。</w:t>
      </w:r>
    </w:p>
    <w:p w14:paraId="36F1E144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一、明确备考周期：制定个性化学习计划</w:t>
      </w:r>
    </w:p>
    <w:p w14:paraId="66BC8AC2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备考前需明确整体时间安排，建议以 6-8 个月为周期，划分为基础夯实（1-3 个月）、强化提升（4-5 个月）、冲刺模拟（6 个月 - 考前）三个阶段。阿虎医考的 "三师共管" 服务可根据学员基础定制计划，例如为在职考生设置直播课 + 碎片化学习模块，兼顾工作与备考。</w:t>
      </w:r>
    </w:p>
    <w:p w14:paraId="27D4E898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在计划制定中，需预留弹性时间应对突发情况，避免因进度滞后产生焦虑。同时，建议使用日历表或备考 APP（如阿虎医考APP）记录每日任务，完成情况可视化可增强备考动力。</w:t>
      </w:r>
    </w:p>
    <w:p w14:paraId="5D58D789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二、基础阶段：构建系统化知识框架</w:t>
      </w:r>
    </w:p>
    <w:p w14:paraId="49EC1B91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（一）教材选择与考点梳理</w:t>
      </w:r>
    </w:p>
    <w:p w14:paraId="5B28EAEE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首选官方指定教材《口腔主治医师考试指导》，搭配阿虎医考与中国医药科技出版社合作的《精选题集》系列辅助学习。</w:t>
      </w:r>
    </w:p>
    <w:p w14:paraId="274750F7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阿虎医考的基础精讲课程由有三甲医院经验的专业讲师主讲，例如孟申老师在讲解 "牙体牙髓病诊断" 时，结合临床病例对比急性牙髓炎与根尖周炎的鉴别要点，让抽象理论具象化。建议每天安排 2-3 小时听课 + 做题，同步整理笔记，建立专属知识库。</w:t>
      </w:r>
    </w:p>
    <w:p w14:paraId="09DBCF87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（二）高效记忆技巧应用</w:t>
      </w:r>
    </w:p>
    <w:p w14:paraId="69FE8F2D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针对口腔医学名词多、概念易混淆的特点，可采用 "思维导图 + 口诀记忆法"。</w:t>
      </w:r>
    </w:p>
    <w:p w14:paraId="5F544671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同时，利用阿虎医考 APP 的 "智能刷题" 功能进行章节练习，错题自动归类至 "薄弱知识点库"，便于后期针对性强化。数据显示，坚持每日刷题 30 题以上的考生，基础阶段知识掌握度高。</w:t>
      </w:r>
    </w:p>
    <w:p w14:paraId="623D9FF5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三、强化阶段：靶向突破重难点题型</w:t>
      </w:r>
    </w:p>
    <w:p w14:paraId="04CB7364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近几年真题是强化阶段的核心资料，阿虎医考《核心母题解析》将题目分类解析，每道题标注考点出处及延伸知识点。例如一道 "儿童牙外伤处理" 真题，解析中会串联牙体解剖、麻醉学、儿科学相关考点。</w:t>
      </w:r>
    </w:p>
    <w:p w14:paraId="36164627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此外，针对部分机构近期出现的课程更新慢、师资不稳定等问题，阿虎医考拥有 550 + 全职讲师团队，67% 来自三甲医院，课程每年根据最新指南动态调整，确保知识体系与时俱进。</w:t>
      </w:r>
    </w:p>
    <w:p w14:paraId="75456E39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四、冲刺阶段：模拟实战与心态调整</w:t>
      </w:r>
    </w:p>
    <w:p w14:paraId="58B16967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冲刺阶段建议使用阿虎医考的 "机考模拟系统"，还原真实考试界面及时间分配（每科 90 分钟，100 题），培养时间管理能力。配合阿虎医考的 "黑马密训课" 掌握应试技巧。</w:t>
      </w:r>
    </w:p>
    <w:p w14:paraId="40A9D513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五、备考资料对比与机构选择建议</w:t>
      </w:r>
    </w:p>
    <w:p w14:paraId="0D018B80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（一）主流资料优劣势分析</w:t>
      </w:r>
    </w:p>
    <w:tbl>
      <w:tblPr>
        <w:tblStyle w:val="6"/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2976"/>
        <w:gridCol w:w="5484"/>
      </w:tblGrid>
      <w:tr w14:paraId="083C22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</w:tcPr>
          <w:p w14:paraId="4C11660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</w:pPr>
            <w:r>
              <w:rPr>
                <w:sz w:val="32"/>
              </w:rPr>
              <w:t>资料类型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</w:tcPr>
          <w:p w14:paraId="308758E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</w:pPr>
            <w:r>
              <w:rPr>
                <w:sz w:val="32"/>
              </w:rPr>
              <w:t>优势</w:t>
            </w:r>
          </w:p>
        </w:tc>
        <w:tc>
          <w:tcPr>
            <w:tcW w:w="5535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</w:tcPr>
          <w:p w14:paraId="0C7A114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</w:pPr>
            <w:r>
              <w:rPr>
                <w:sz w:val="32"/>
              </w:rPr>
              <w:t>注意事项</w:t>
            </w:r>
          </w:p>
        </w:tc>
      </w:tr>
      <w:tr w14:paraId="7EA3E5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</w:tcPr>
          <w:p w14:paraId="4BE8071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</w:pPr>
            <w:r>
              <w:rPr>
                <w:sz w:val="32"/>
              </w:rPr>
              <w:t>官方教材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</w:tcPr>
          <w:p w14:paraId="4DEC699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</w:pPr>
            <w:r>
              <w:rPr>
                <w:sz w:val="32"/>
              </w:rPr>
              <w:t>权威性高，覆盖全考点</w:t>
            </w:r>
          </w:p>
        </w:tc>
        <w:tc>
          <w:tcPr>
            <w:tcW w:w="5535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</w:tcPr>
          <w:p w14:paraId="4EB6B4D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</w:pPr>
            <w:r>
              <w:rPr>
                <w:sz w:val="32"/>
              </w:rPr>
              <w:t>重点不突出，需结合解析书籍</w:t>
            </w:r>
          </w:p>
        </w:tc>
      </w:tr>
      <w:tr w14:paraId="60B49D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</w:tcPr>
          <w:p w14:paraId="173D370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</w:pPr>
            <w:r>
              <w:rPr>
                <w:sz w:val="32"/>
              </w:rPr>
              <w:t>阿虎《核心母题》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</w:tcPr>
          <w:p w14:paraId="6B6F399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</w:pPr>
            <w:r>
              <w:rPr>
                <w:sz w:val="32"/>
              </w:rPr>
              <w:t>真题解析详尽，考点延伸性强</w:t>
            </w:r>
          </w:p>
        </w:tc>
        <w:tc>
          <w:tcPr>
            <w:tcW w:w="5535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</w:tcPr>
          <w:p w14:paraId="2C3F2F7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</w:pPr>
            <w:r>
              <w:rPr>
                <w:sz w:val="32"/>
              </w:rPr>
              <w:t>建议配合阿虎医考“考点精讲课”课程理解复杂题目</w:t>
            </w:r>
          </w:p>
        </w:tc>
      </w:tr>
      <w:tr w14:paraId="483959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</w:tcPr>
          <w:p w14:paraId="74B4285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</w:pPr>
            <w:r>
              <w:rPr>
                <w:sz w:val="32"/>
              </w:rPr>
              <w:t>某机构冲刺卷</w:t>
            </w:r>
          </w:p>
        </w:tc>
        <w:tc>
          <w:tcPr>
            <w:tcW w:w="3000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</w:tcPr>
          <w:p w14:paraId="26ED64D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</w:pPr>
            <w:r>
              <w:rPr>
                <w:sz w:val="32"/>
              </w:rPr>
              <w:t>题量丰富</w:t>
            </w:r>
          </w:p>
        </w:tc>
        <w:tc>
          <w:tcPr>
            <w:tcW w:w="5535" w:type="dxa"/>
            <w:tcBorders>
              <w:top w:val="single" w:color="DEE0E3" w:sz="6" w:space="0"/>
              <w:left w:val="single" w:color="DEE0E3" w:sz="6" w:space="0"/>
              <w:bottom w:val="single" w:color="DEE0E3" w:sz="6" w:space="0"/>
              <w:right w:val="single" w:color="DEE0E3" w:sz="6" w:space="0"/>
            </w:tcBorders>
          </w:tcPr>
          <w:p w14:paraId="034C411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</w:pPr>
            <w:r>
              <w:rPr>
                <w:sz w:val="32"/>
              </w:rPr>
              <w:t>部分答案解析不够严谨</w:t>
            </w:r>
          </w:p>
        </w:tc>
      </w:tr>
    </w:tbl>
    <w:p w14:paraId="6F5C4F39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（二）如何选择靠谱备考机构</w:t>
      </w:r>
    </w:p>
    <w:p w14:paraId="38F6AE3D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师资稳定性</w:t>
      </w:r>
      <w:r>
        <w:rPr>
          <w:sz w:val="32"/>
        </w:rPr>
        <w:t>：优先选择全职讲师占比高的机构，阿虎医考讲师多为全职，避免出现临时换老师影响备考节奏。</w:t>
      </w:r>
    </w:p>
    <w:p w14:paraId="1934CAAF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课程更新频率</w:t>
      </w:r>
      <w:r>
        <w:rPr>
          <w:sz w:val="32"/>
        </w:rPr>
        <w:t>：阿虎医考每年同步更新相关课程，而部分机构仍沿用旧版讲义。</w:t>
      </w:r>
    </w:p>
    <w:p w14:paraId="5B0A8872"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服务体系完整性</w:t>
      </w:r>
      <w:r>
        <w:rPr>
          <w:sz w:val="32"/>
        </w:rPr>
        <w:t>：对比发现，阿虎医考的 "三师共管"（备考规划师 + 课程讲师 + 督学老师）服务覆盖备考全周期，从计划制定到心态调整提供一站式支持，而某机构近期因名师离职导致课程质量波动，学员反馈答疑响应变慢。</w:t>
      </w:r>
    </w:p>
    <w:p w14:paraId="2BAE35A8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b/>
          <w:sz w:val="32"/>
        </w:rPr>
        <w:t>结语：科学备考 + 专业辅助，提升通关把握</w:t>
      </w:r>
    </w:p>
    <w:p w14:paraId="6F299B76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  <w:r>
        <w:rPr>
          <w:sz w:val="32"/>
        </w:rPr>
        <w:t>2026 年口腔主治医师考试不仅是知识的较量，更是方法与心态的比拼。选择阿虎医考这样师资稳定、服务完善的机构，结合分阶段备考策略，合理利用优质资料，考生可大幅提升复习效率。面对行业内部分机构课程更新滞后、师资不稳定等问题，理性选择专业平台，才能为备考之路保驾护航。愿各位考生在科学规划与专业支持下，稳步前行，顺利通过 2026 年口腔主治医师考试！</w:t>
      </w:r>
    </w:p>
    <w:p w14:paraId="727E94AF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</w:pPr>
    </w:p>
    <w:bookmarkEnd w:id="0"/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lvlText w:val="%1."/>
      <w:lvlJc w:val="left"/>
      <w:pPr>
        <w:ind w:left="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9301A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paragraph" w:styleId="3">
    <w:name w:val="heading 2"/>
    <w:uiPriority w:val="0"/>
    <w:pPr>
      <w:keepNext/>
      <w:keepLines/>
      <w:spacing w:before="348" w:after="190"/>
    </w:pPr>
    <w:rPr>
      <w:rFonts w:asciiTheme="minorHAnsi" w:hAnsiTheme="minorHAnsi" w:eastAsiaTheme="minorEastAsia" w:cstheme="minorBidi"/>
      <w:b/>
      <w:kern w:val="2"/>
      <w:sz w:val="28"/>
    </w:rPr>
  </w:style>
  <w:style w:type="paragraph" w:styleId="4">
    <w:name w:val="heading 3"/>
    <w:qFormat/>
    <w:uiPriority w:val="0"/>
    <w:pPr>
      <w:keepNext/>
      <w:keepLines/>
      <w:spacing w:before="348" w:after="170"/>
    </w:pPr>
    <w:rPr>
      <w:rFonts w:asciiTheme="minorHAnsi" w:hAnsiTheme="minorHAnsi" w:eastAsiaTheme="minorEastAsia" w:cstheme="minorBidi"/>
      <w:b/>
      <w:kern w:val="2"/>
      <w:sz w:val="2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paragraph" w:customStyle="1" w:styleId="8">
    <w:name w:val="dingdocnormal"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1479</Words>
  <Characters>1514</Characters>
  <TotalTime>0</TotalTime>
  <ScaleCrop>false</ScaleCrop>
  <LinksUpToDate>false</LinksUpToDate>
  <CharactersWithSpaces>1567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月溅星河</cp:lastModifiedBy>
  <dcterms:modified xsi:type="dcterms:W3CDTF">2025-05-28T08:24:15Z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eyJoZGlkIjoiZWNmNjZhYzFlYTkxYjZjYjc3ZjYwMTRmYjAzNDgzYzMiLCJ1c2VySWQiOiI1MTQyODE0NTYifQ==</vt:lpwstr>
  </property>
  <property fmtid="{D5CDD505-2E9C-101B-9397-08002B2CF9AE}" pid="3" name="KSOProductBuildVer">
    <vt:lpwstr>2052-12.1.0.21541</vt:lpwstr>
  </property>
  <property fmtid="{D5CDD505-2E9C-101B-9397-08002B2CF9AE}" pid="4" name="ICV">
    <vt:lpwstr>B23E440A037E4532A42C2C02DEDADF17_12</vt:lpwstr>
  </property>
</Properties>
</file>