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80" w:after="480" w:line="288" w:lineRule="auto"/>
        <w:ind w:left="0"/>
      </w:pPr>
      <w:r>
        <w:rPr>
          <w:rFonts w:ascii="Arial" w:hAnsi="Arial" w:eastAsia="等线" w:cs="Arial"/>
          <w:b/>
          <w:sz w:val="52"/>
        </w:rPr>
        <w:t>DRS应用十佳案例：解锁nanopore全长RNA直接测序的变革性力量</w:t>
      </w:r>
      <w:r>
        <w:rPr>
          <w:rFonts w:ascii="Arial" w:hAnsi="Arial" w:eastAsia="等线" w:cs="Arial"/>
          <w:sz w:val="22"/>
        </w:rPr>
        <w:t xml:space="preserve"> </w:t>
      </w:r>
    </w:p>
    <w:p>
      <w:pPr>
        <w:spacing w:before="320" w:after="120" w:line="288" w:lineRule="auto"/>
        <w:ind w:left="0"/>
        <w:jc w:val="left"/>
        <w:outlineLvl w:val="1"/>
      </w:pPr>
      <w:bookmarkStart w:id="0" w:name="heading_1"/>
      <w:r>
        <w:rPr>
          <w:rFonts w:ascii="Arial" w:hAnsi="Arial" w:eastAsia="等线" w:cs="Arial"/>
          <w:b/>
          <w:sz w:val="32"/>
        </w:rPr>
        <w:t>引言：</w:t>
      </w:r>
      <w:bookmarkEnd w:id="0"/>
    </w:p>
    <w:p>
      <w:pPr>
        <w:spacing w:before="120" w:after="120" w:line="288" w:lineRule="auto"/>
        <w:ind w:left="0"/>
        <w:jc w:val="left"/>
      </w:pPr>
      <w:r>
        <w:rPr>
          <w:rFonts w:ascii="Arial" w:hAnsi="Arial" w:eastAsia="等线" w:cs="Arial"/>
          <w:sz w:val="22"/>
        </w:rPr>
        <w:t>RNA分子是生命活动的核心调控者，其复杂性远超我们的想象。从多样化的异构体到丰富的化学修饰，再到动态的表达变化，RNA的这些特性使其在细胞功能和疾病发生中扮演着关键角色。然而，这种复杂性也给传统的RNA测序技术带来了巨大的挑战。传统的RNA二代测序方法依赖于逆转录和短读长测序，不仅无法直接读取RNA分子的天然结构，还容易在处理过程中丢失重要的修饰信息和长片段结构。这使得科学家们在探索RNA的完整功能时，常常受限于技术瓶颈。</w:t>
      </w:r>
    </w:p>
    <w:p>
      <w:pPr>
        <w:spacing w:before="120" w:after="120" w:line="288" w:lineRule="auto"/>
        <w:ind w:left="0"/>
        <w:jc w:val="left"/>
      </w:pPr>
      <w:r>
        <w:rPr>
          <w:rFonts w:ascii="Arial" w:hAnsi="Arial" w:eastAsia="等线" w:cs="Arial"/>
          <w:sz w:val="22"/>
        </w:rPr>
        <w:t xml:space="preserve"> </w:t>
      </w:r>
    </w:p>
    <w:p>
      <w:pPr>
        <w:spacing w:before="120" w:after="120" w:line="288" w:lineRule="auto"/>
        <w:ind w:left="0"/>
        <w:jc w:val="left"/>
      </w:pPr>
      <w:r>
        <w:rPr>
          <w:rFonts w:ascii="Arial" w:hAnsi="Arial" w:eastAsia="等线" w:cs="Arial"/>
          <w:sz w:val="22"/>
        </w:rPr>
        <w:t>幸运的是，Nanopore DRS（Direct RNA Sequencing）技术的出现，为RNA研究带来了革命性的突破。DRS技术无需逆转录，能够直接、实时地读取天然RNA分子的全长序列，包括其修饰信息和复杂的异构体结构。这种技术不仅保留了RNA分子的原始特征，还能够以单分子水平的精度解析RNA的动态变化，为研究RNA的功能和调控机制提供了前所未有的工具。</w:t>
      </w:r>
    </w:p>
    <w:p>
      <w:pPr>
        <w:spacing w:before="120" w:after="120" w:line="288" w:lineRule="auto"/>
        <w:ind w:left="0"/>
        <w:jc w:val="left"/>
      </w:pPr>
      <w:r>
        <w:rPr>
          <w:rFonts w:ascii="Arial" w:hAnsi="Arial" w:eastAsia="等线" w:cs="Arial"/>
          <w:sz w:val="22"/>
        </w:rPr>
        <w:t xml:space="preserve"> </w:t>
      </w:r>
    </w:p>
    <w:p>
      <w:pPr>
        <w:spacing w:before="120" w:after="120" w:line="288" w:lineRule="auto"/>
        <w:ind w:left="0"/>
        <w:jc w:val="left"/>
      </w:pPr>
      <w:r>
        <w:rPr>
          <w:rFonts w:ascii="Arial" w:hAnsi="Arial" w:eastAsia="等线" w:cs="Arial"/>
          <w:sz w:val="22"/>
        </w:rPr>
        <w:t>本文旨在通过十个来自不同领域的突破性应用案例，展示DRS技术如何解决关键的生物学和医学难题。这些案例涵盖了从基础科研到临床应用的广泛场景，包括新转录本的发现、RNA修饰的直接检测、融合基因的全长测序、病毒转录本的剪接事件等。通过这些案例，我们将揭示DRS技术如何推动科学发现和临床转化，为生命科学研究带来新的机遇和可能性。</w:t>
      </w:r>
    </w:p>
    <w:p>
      <w:pPr>
        <w:spacing w:before="120" w:after="120" w:line="288" w:lineRule="auto"/>
        <w:ind w:left="0"/>
        <w:jc w:val="left"/>
      </w:pPr>
      <w:r>
        <w:rPr>
          <w:rFonts w:ascii="Arial" w:hAnsi="Arial" w:eastAsia="等线" w:cs="Arial"/>
          <w:sz w:val="22"/>
        </w:rPr>
        <w:t xml:space="preserve"> </w:t>
      </w:r>
    </w:p>
    <w:p>
      <w:pPr>
        <w:spacing w:before="320" w:after="120" w:line="288" w:lineRule="auto"/>
        <w:ind w:left="0"/>
        <w:jc w:val="left"/>
        <w:outlineLvl w:val="1"/>
      </w:pPr>
      <w:bookmarkStart w:id="1" w:name="heading_2"/>
      <w:r>
        <w:rPr>
          <w:rFonts w:ascii="Arial" w:hAnsi="Arial" w:eastAsia="等线" w:cs="Arial"/>
          <w:b/>
          <w:sz w:val="32"/>
        </w:rPr>
        <w:t>案例一：Nanopore长读长RNA测序技术在人类细胞系转录组分析中的系统性评估</w:t>
      </w:r>
      <w:bookmarkEnd w:id="1"/>
    </w:p>
    <w:p>
      <w:pPr>
        <w:spacing w:before="120" w:after="120" w:line="288" w:lineRule="auto"/>
        <w:ind w:left="0"/>
        <w:jc w:val="left"/>
      </w:pPr>
      <w:r>
        <w:rPr>
          <w:rFonts w:ascii="Arial" w:hAnsi="Arial" w:eastAsia="等线" w:cs="Arial"/>
          <w:sz w:val="22"/>
        </w:rPr>
        <w:t>文章标题：A systematic benchmark of Nanopore long-read RNA sequencing for transcript-level analysis in human cell lines</w:t>
      </w:r>
    </w:p>
    <w:p>
      <w:pPr>
        <w:spacing w:before="120" w:after="120" w:line="288" w:lineRule="auto"/>
        <w:ind w:left="0"/>
        <w:jc w:val="left"/>
      </w:pPr>
      <w:r>
        <w:rPr>
          <w:rFonts w:ascii="Arial" w:hAnsi="Arial" w:eastAsia="等线" w:cs="Arial"/>
          <w:sz w:val="22"/>
        </w:rPr>
        <w:t>期刊：Nature Methods</w:t>
      </w:r>
    </w:p>
    <w:p>
      <w:pPr>
        <w:spacing w:before="120" w:after="120" w:line="288" w:lineRule="auto"/>
        <w:ind w:left="0"/>
        <w:jc w:val="left"/>
      </w:pPr>
      <w:r>
        <w:rPr>
          <w:rFonts w:ascii="Arial" w:hAnsi="Arial" w:eastAsia="等线" w:cs="Arial"/>
          <w:sz w:val="22"/>
        </w:rPr>
        <w:t>影响因子：36.1</w:t>
      </w:r>
    </w:p>
    <w:p>
      <w:pPr>
        <w:spacing w:before="120" w:after="120" w:line="288" w:lineRule="auto"/>
        <w:ind w:left="0"/>
        <w:jc w:val="left"/>
      </w:pPr>
      <w:r>
        <w:rPr>
          <w:rFonts w:ascii="Arial" w:hAnsi="Arial" w:eastAsia="等线" w:cs="Arial"/>
          <w:sz w:val="22"/>
        </w:rPr>
        <w:t>发表年份：2025</w:t>
      </w:r>
    </w:p>
    <w:p>
      <w:pPr>
        <w:spacing w:before="120" w:after="120" w:line="288" w:lineRule="auto"/>
        <w:ind w:left="0"/>
        <w:jc w:val="left"/>
      </w:pPr>
      <w:r>
        <w:rPr>
          <w:rFonts w:ascii="Arial" w:hAnsi="Arial" w:eastAsia="等线" w:cs="Arial"/>
          <w:b/>
          <w:sz w:val="22"/>
        </w:rPr>
        <w:t>【痛点】挑战复杂的转录组研究</w:t>
      </w:r>
    </w:p>
    <w:p>
      <w:pPr>
        <w:spacing w:before="120" w:after="120" w:line="288" w:lineRule="auto"/>
        <w:ind w:left="0"/>
        <w:jc w:val="left"/>
      </w:pPr>
      <w:r>
        <w:rPr>
          <w:rFonts w:ascii="Arial" w:hAnsi="Arial" w:eastAsia="等线" w:cs="Arial"/>
          <w:sz w:val="22"/>
        </w:rPr>
        <w:t>人类基因组编码超过20万种RNA，其中许多RNA转录本来源于同一个基因，形成高度相似的可变剪接异构体（alternative isoforms）。这些异构体的复杂性和多样性，使得准确地识别和定量它们的表达量成为转录组研究的一大痛点。传统的短读长RNA测序技术由于读长限制，难以跨越完整的转录本，无法准确区分高度相似的异构体，更难以发现新转录本或融合转录本，这给深入理解基因调控和疾病机制带来了巨大的挑战。此外，RNA分子上的修饰（如N6-甲基腺苷，m6A）在基因表达调控中扮演重要角色，但现有技术通常需要额外的化学处理步骤，增加了实验复杂性和潜在的偏差。</w:t>
      </w:r>
    </w:p>
    <w:p>
      <w:pPr>
        <w:spacing w:before="120" w:after="120" w:line="288" w:lineRule="auto"/>
        <w:ind w:left="0"/>
        <w:jc w:val="left"/>
      </w:pPr>
      <w:r>
        <w:rPr>
          <w:rFonts w:ascii="Arial" w:hAnsi="Arial" w:eastAsia="等线" w:cs="Arial"/>
          <w:b/>
          <w:sz w:val="22"/>
        </w:rPr>
        <w:t>【突破】Nanopore长读长RNA测序的系统性基准评估</w:t>
      </w:r>
    </w:p>
    <w:p>
      <w:pPr>
        <w:spacing w:before="120" w:after="120" w:line="288" w:lineRule="auto"/>
        <w:ind w:left="0"/>
        <w:jc w:val="left"/>
      </w:pPr>
      <w:r>
        <w:rPr>
          <w:rFonts w:ascii="Arial" w:hAnsi="Arial" w:eastAsia="等线" w:cs="Arial"/>
          <w:sz w:val="22"/>
        </w:rPr>
        <w:t>本研究通过对七种人类细胞系进行五种不同的RNA测序方案的系统性比较，包括短读长cDNA测序、Nanopore长读长直接RNA（Direct RNA）测序、免扩增直接cDNA测序以及PCR扩增cDNA测序，同时引入PacBio IsoSeq和额外的全转录组N6-甲基腺苷（m6A）修饰谱数据，对Nanopore长读长RNA测序在转录本水平分析中的能力进行了全面评估。</w:t>
      </w:r>
    </w:p>
    <w:p>
      <w:pPr>
        <w:spacing w:before="120" w:after="120" w:line="288" w:lineRule="auto"/>
        <w:ind w:left="0"/>
        <w:jc w:val="left"/>
      </w:pPr>
      <w:r>
        <w:rPr>
          <w:rFonts w:ascii="Arial" w:hAnsi="Arial" w:eastAsia="等线" w:cs="Arial"/>
          <w:sz w:val="22"/>
        </w:rPr>
        <w:t>研究团队的突破性发现包括：</w:t>
      </w:r>
    </w:p>
    <w:p>
      <w:pPr>
        <w:numPr>
          <w:ilvl w:val="0"/>
          <w:numId w:val="1"/>
        </w:numPr>
        <w:spacing w:before="120" w:after="120" w:line="288" w:lineRule="auto"/>
        <w:ind w:left="0"/>
        <w:jc w:val="left"/>
      </w:pPr>
      <w:r>
        <w:rPr>
          <w:rFonts w:ascii="Arial" w:hAnsi="Arial" w:eastAsia="等线" w:cs="Arial"/>
          <w:b/>
          <w:sz w:val="22"/>
        </w:rPr>
        <w:t>长读长测序的卓越表现：</w:t>
      </w:r>
      <w:r>
        <w:rPr>
          <w:rFonts w:ascii="Arial" w:hAnsi="Arial" w:eastAsia="等线" w:cs="Arial"/>
          <w:sz w:val="22"/>
        </w:rPr>
        <w:t>研究指出，与短读长测序相比，Nanopore等长读长RNA测序能够更鲁棒地识别主要的异构体。这得益于其能够直接跨越整个转录本，从而捕获完整的异构体信息，有效区分高度相似的转录本。</w:t>
      </w:r>
    </w:p>
    <w:p>
      <w:pPr>
        <w:numPr>
          <w:ilvl w:val="0"/>
          <w:numId w:val="2"/>
        </w:numPr>
        <w:spacing w:before="120" w:after="120" w:line="288" w:lineRule="auto"/>
        <w:ind w:left="0"/>
        <w:jc w:val="left"/>
      </w:pPr>
      <w:r>
        <w:rPr>
          <w:rFonts w:ascii="Arial" w:hAnsi="Arial" w:eastAsia="等线" w:cs="Arial"/>
          <w:b/>
          <w:sz w:val="22"/>
        </w:rPr>
        <w:t>多维度数据整合与验证：</w:t>
      </w:r>
      <w:r>
        <w:rPr>
          <w:rFonts w:ascii="Arial" w:hAnsi="Arial" w:eastAsia="等线" w:cs="Arial"/>
          <w:sz w:val="22"/>
        </w:rPr>
        <w:t>通过整合不同测序技术（包括Nanopore DRS）的数据，并结合spike-in对照以及m6A修饰数据，研究团队全面描述了在读长、覆盖度、通量和转录本表达方面的差异，为长读长RNA测序的数据分析和方法开发提供了宝贵的资源。</w:t>
      </w:r>
    </w:p>
    <w:p>
      <w:pPr>
        <w:numPr>
          <w:ilvl w:val="0"/>
          <w:numId w:val="3"/>
        </w:numPr>
        <w:spacing w:before="120" w:after="120" w:line="288" w:lineRule="auto"/>
        <w:ind w:left="0"/>
        <w:jc w:val="left"/>
      </w:pPr>
      <w:r>
        <w:rPr>
          <w:rFonts w:ascii="Arial" w:hAnsi="Arial" w:eastAsia="等线" w:cs="Arial"/>
          <w:b/>
          <w:sz w:val="22"/>
        </w:rPr>
        <w:t>DRS的独特优势：</w:t>
      </w:r>
      <w:r>
        <w:rPr>
          <w:rFonts w:ascii="Arial" w:hAnsi="Arial" w:eastAsia="等线" w:cs="Arial"/>
          <w:sz w:val="22"/>
        </w:rPr>
        <w:t xml:space="preserve">Nanopore Direct RNA Sequencing（DRS）无需反转录和PCR扩增的特性，直接读取RNA分子，从而： </w:t>
      </w:r>
    </w:p>
    <w:p>
      <w:pPr>
        <w:numPr>
          <w:ilvl w:val="0"/>
          <w:numId w:val="4"/>
        </w:numPr>
        <w:spacing w:before="120" w:after="120" w:line="288" w:lineRule="auto"/>
        <w:ind w:left="453"/>
        <w:jc w:val="left"/>
      </w:pPr>
      <w:r>
        <w:rPr>
          <w:rFonts w:ascii="Arial" w:hAnsi="Arial" w:eastAsia="等线" w:cs="Arial"/>
          <w:sz w:val="22"/>
        </w:rPr>
        <w:t>最大程度保留原始RNA信息：避免了逆转录酶和聚合酶引入的序列偏好和错误。</w:t>
      </w:r>
    </w:p>
    <w:p>
      <w:pPr>
        <w:numPr>
          <w:ilvl w:val="0"/>
          <w:numId w:val="5"/>
        </w:numPr>
        <w:spacing w:before="120" w:after="120" w:line="288" w:lineRule="auto"/>
        <w:ind w:left="453"/>
        <w:jc w:val="left"/>
      </w:pPr>
      <w:r>
        <w:rPr>
          <w:rFonts w:ascii="Arial" w:hAnsi="Arial" w:eastAsia="等线" w:cs="Arial"/>
          <w:sz w:val="22"/>
        </w:rPr>
        <w:t>直接检测RNA修饰：例如，研究中展示了其识别N6-甲基腺苷（m6A）RNA修饰的能力，这无需额外的化学处理步骤，简化了表观转录组学的研究。</w:t>
      </w:r>
    </w:p>
    <w:p>
      <w:pPr>
        <w:numPr>
          <w:ilvl w:val="0"/>
          <w:numId w:val="6"/>
        </w:numPr>
        <w:spacing w:before="120" w:after="120" w:line="288" w:lineRule="auto"/>
        <w:ind w:left="453"/>
        <w:jc w:val="left"/>
      </w:pPr>
      <w:r>
        <w:rPr>
          <w:rFonts w:ascii="Arial" w:hAnsi="Arial" w:eastAsia="等线" w:cs="Arial"/>
          <w:sz w:val="22"/>
        </w:rPr>
        <w:t>更准确地识别新转录本和融合转录本：全长读取能力使其在复杂的基因组区域中发现未知转录本或罕见融合事件具有显著优势。</w:t>
      </w:r>
    </w:p>
    <w:p>
      <w:pPr>
        <w:spacing w:before="120" w:after="120" w:line="288" w:lineRule="auto"/>
        <w:ind w:left="0"/>
        <w:jc w:val="left"/>
      </w:pPr>
      <w:r>
        <w:rPr>
          <w:rFonts w:ascii="Arial" w:hAnsi="Arial" w:eastAsia="等线" w:cs="Arial"/>
          <w:b/>
          <w:sz w:val="22"/>
        </w:rPr>
        <w:t>【价值】赋能复杂转录组研究的SG-NEx数据集</w:t>
      </w:r>
    </w:p>
    <w:p>
      <w:pPr>
        <w:spacing w:before="120" w:after="120" w:line="288" w:lineRule="auto"/>
        <w:ind w:left="0"/>
        <w:jc w:val="left"/>
      </w:pPr>
      <w:r>
        <w:rPr>
          <w:rFonts w:ascii="Arial" w:hAnsi="Arial" w:eastAsia="等线" w:cs="Arial"/>
          <w:sz w:val="22"/>
        </w:rPr>
        <w:t>本研究产出的SG-NEx（Singapore Nanopore Experience）数据集，提供了理解和分析复杂转录组的综合资源。其核心价值体现在：</w:t>
      </w:r>
    </w:p>
    <w:p>
      <w:pPr>
        <w:spacing w:before="120" w:after="120" w:line="288" w:lineRule="auto"/>
        <w:ind w:left="0"/>
        <w:jc w:val="left"/>
      </w:pPr>
      <w:r>
        <w:rPr>
          <w:rFonts w:ascii="Arial" w:hAnsi="Arial" w:eastAsia="等线" w:cs="Arial"/>
          <w:b/>
          <w:sz w:val="22"/>
        </w:rPr>
        <w:t>全面识别复杂异构体：</w:t>
      </w:r>
      <w:r>
        <w:rPr>
          <w:rFonts w:ascii="Arial" w:hAnsi="Arial" w:eastAsia="等线" w:cs="Arial"/>
          <w:sz w:val="22"/>
        </w:rPr>
        <w:t>SG-NEx数据清晰地展示了长读长RNA测序，尤其是Nanopore DRS，在识别替代异构体和发现新型转录本方面的强大能力。这对于理解基因功能多样性、疾病发生发展中的转录组调控至关重要。</w:t>
      </w:r>
    </w:p>
    <w:p>
      <w:pPr>
        <w:numPr>
          <w:ilvl w:val="0"/>
          <w:numId w:val="7"/>
        </w:numPr>
        <w:spacing w:before="120" w:after="120" w:line="288" w:lineRule="auto"/>
        <w:ind w:left="0"/>
        <w:jc w:val="left"/>
      </w:pPr>
      <w:r>
        <w:rPr>
          <w:rFonts w:ascii="Arial" w:hAnsi="Arial" w:eastAsia="等线" w:cs="Arial"/>
          <w:b/>
          <w:sz w:val="22"/>
        </w:rPr>
        <w:t>融合转录本和RNA修饰的直接洞察：</w:t>
      </w:r>
      <w:r>
        <w:rPr>
          <w:rFonts w:ascii="Arial" w:hAnsi="Arial" w:eastAsia="等线" w:cs="Arial"/>
          <w:sz w:val="22"/>
        </w:rPr>
        <w:t>该数据集突出了DRS在直接鉴定融合转录本以及N6-甲基腺苷（m6A）RNA修饰方面的独特价值。融合转录本常与肿瘤发生发展相关，而m6A修饰则在基因表达调控中发挥核心作用。DRS的直接检测能力极大地简化了这些复杂生物学事件的研究。</w:t>
      </w:r>
    </w:p>
    <w:p>
      <w:pPr>
        <w:numPr>
          <w:ilvl w:val="0"/>
          <w:numId w:val="8"/>
        </w:numPr>
        <w:spacing w:before="120" w:after="120" w:line="288" w:lineRule="auto"/>
        <w:ind w:left="0"/>
        <w:jc w:val="left"/>
      </w:pPr>
      <w:r>
        <w:rPr>
          <w:rFonts w:ascii="Arial" w:hAnsi="Arial" w:eastAsia="等线" w:cs="Arial"/>
          <w:b/>
          <w:sz w:val="22"/>
        </w:rPr>
        <w:t>推动计算方法发展：</w:t>
      </w:r>
      <w:r>
        <w:rPr>
          <w:rFonts w:ascii="Arial" w:hAnsi="Arial" w:eastAsia="等线" w:cs="Arial"/>
          <w:sz w:val="22"/>
        </w:rPr>
        <w:t>SG-NEx数据集为开发和基准测试用于分析复杂转录组的计算方法提供了宝贵的真实世界数据。这将加速生物信息学工具的创新，进一步挖掘长读长RNA测序的潜力。</w:t>
      </w:r>
    </w:p>
    <w:p>
      <w:pPr>
        <w:numPr>
          <w:ilvl w:val="0"/>
          <w:numId w:val="9"/>
        </w:numPr>
        <w:spacing w:before="120" w:after="120" w:line="288" w:lineRule="auto"/>
        <w:ind w:left="0"/>
        <w:jc w:val="left"/>
      </w:pPr>
      <w:r>
        <w:rPr>
          <w:rFonts w:ascii="Arial" w:hAnsi="Arial" w:eastAsia="等线" w:cs="Arial"/>
          <w:b/>
          <w:sz w:val="22"/>
        </w:rPr>
        <w:t>解锁新的生物学见解：</w:t>
      </w:r>
      <w:r>
        <w:rPr>
          <w:rFonts w:ascii="Arial" w:hAnsi="Arial" w:eastAsia="等线" w:cs="Arial"/>
          <w:sz w:val="22"/>
        </w:rPr>
        <w:t>综合来看，本研究不仅验证了Nanopore长读长RNA测序在转录组分析中的卓越性能，更重要的是，它为研究人员提供了强大的工具和数据资源，以深入解析复杂的转录组，发现新的生物学机制，并加速在疾病研究、药物开发等领域的突破。</w:t>
      </w:r>
    </w:p>
    <w:p>
      <w:pPr>
        <w:spacing w:before="120" w:after="120" w:line="288" w:lineRule="auto"/>
        <w:ind w:left="0"/>
        <w:jc w:val="center"/>
      </w:pPr>
      <w:r>
        <w:drawing>
          <wp:inline distT="0" distB="0" distL="0" distR="0">
            <wp:extent cx="5257800" cy="3686175"/>
            <wp:effectExtent l="0" t="0" r="0" b="9525"/>
            <wp:docPr id="1" name="Drawing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0"/>
                    <pic:cNvPicPr>
                      <a:picLocks noChangeAspect="1"/>
                    </pic:cNvPicPr>
                  </pic:nvPicPr>
                  <pic:blipFill>
                    <a:blip r:embed="rId6"/>
                    <a:stretch>
                      <a:fillRect/>
                    </a:stretch>
                  </pic:blipFill>
                  <pic:spPr>
                    <a:xfrm>
                      <a:off x="0" y="0"/>
                      <a:ext cx="5257800" cy="3686175"/>
                    </a:xfrm>
                    <a:prstGeom prst="rect">
                      <a:avLst/>
                    </a:prstGeom>
                  </pic:spPr>
                </pic:pic>
              </a:graphicData>
            </a:graphic>
          </wp:inline>
        </w:drawing>
      </w:r>
    </w:p>
    <w:p>
      <w:pPr>
        <w:spacing w:before="120" w:after="120" w:line="288" w:lineRule="auto"/>
        <w:ind w:left="0"/>
        <w:jc w:val="left"/>
      </w:pPr>
      <w:r>
        <w:rPr>
          <w:rFonts w:ascii="Arial" w:hAnsi="Arial" w:eastAsia="等线" w:cs="Arial"/>
          <w:sz w:val="22"/>
        </w:rPr>
        <w:t xml:space="preserve"> </w:t>
      </w:r>
    </w:p>
    <w:p>
      <w:pPr>
        <w:spacing w:before="320" w:after="120" w:line="288" w:lineRule="auto"/>
        <w:ind w:left="0"/>
        <w:jc w:val="left"/>
        <w:outlineLvl w:val="1"/>
      </w:pPr>
      <w:bookmarkStart w:id="2" w:name="heading_3"/>
      <w:r>
        <w:rPr>
          <w:rFonts w:ascii="Arial" w:hAnsi="Arial" w:eastAsia="等线" w:cs="Arial"/>
          <w:b/>
          <w:sz w:val="32"/>
        </w:rPr>
        <w:t>案例二：单分子水平揭示 HIV-1 RNA 表观转录组与 m6A 修饰的功能</w:t>
      </w:r>
      <w:bookmarkEnd w:id="2"/>
    </w:p>
    <w:p>
      <w:pPr>
        <w:spacing w:before="120" w:after="120" w:line="288" w:lineRule="auto"/>
        <w:ind w:left="0"/>
        <w:jc w:val="left"/>
      </w:pPr>
      <w:r>
        <w:rPr>
          <w:rFonts w:ascii="Arial" w:hAnsi="Arial" w:eastAsia="等线" w:cs="Arial"/>
          <w:sz w:val="22"/>
        </w:rPr>
        <w:t>文章标题：Single-molecule epitranscriptomic analysis of full-length HIV-1 RNAs reveals functional roles of site-specific m6As</w:t>
      </w:r>
    </w:p>
    <w:p>
      <w:pPr>
        <w:spacing w:before="120" w:after="120" w:line="288" w:lineRule="auto"/>
        <w:ind w:left="0"/>
        <w:jc w:val="left"/>
      </w:pPr>
      <w:r>
        <w:rPr>
          <w:rFonts w:ascii="Arial" w:hAnsi="Arial" w:eastAsia="等线" w:cs="Arial"/>
          <w:sz w:val="22"/>
        </w:rPr>
        <w:t>期刊：Nature Microbiology</w:t>
      </w:r>
    </w:p>
    <w:p>
      <w:pPr>
        <w:spacing w:before="120" w:after="120" w:line="288" w:lineRule="auto"/>
        <w:ind w:left="0"/>
        <w:jc w:val="left"/>
      </w:pPr>
      <w:r>
        <w:rPr>
          <w:rFonts w:ascii="Arial" w:hAnsi="Arial" w:eastAsia="等线" w:cs="Arial"/>
          <w:sz w:val="22"/>
        </w:rPr>
        <w:t>影响因子：20.5</w:t>
      </w:r>
    </w:p>
    <w:p>
      <w:pPr>
        <w:spacing w:before="120" w:after="120" w:line="288" w:lineRule="auto"/>
        <w:ind w:left="0"/>
        <w:jc w:val="left"/>
      </w:pPr>
      <w:r>
        <w:rPr>
          <w:rFonts w:ascii="Arial" w:hAnsi="Arial" w:eastAsia="等线" w:cs="Arial"/>
          <w:sz w:val="22"/>
        </w:rPr>
        <w:t>发表年份：2024</w:t>
      </w:r>
    </w:p>
    <w:p>
      <w:pPr>
        <w:spacing w:before="120" w:after="120" w:line="288" w:lineRule="auto"/>
        <w:ind w:left="0"/>
        <w:jc w:val="left"/>
      </w:pPr>
      <w:r>
        <w:rPr>
          <w:rFonts w:ascii="Arial" w:hAnsi="Arial" w:eastAsia="等线" w:cs="Arial"/>
          <w:b/>
          <w:sz w:val="22"/>
        </w:rPr>
        <w:t>【痛点】挑战复杂的转录组研究</w:t>
      </w:r>
    </w:p>
    <w:p>
      <w:pPr>
        <w:spacing w:before="120" w:after="120" w:line="288" w:lineRule="auto"/>
        <w:ind w:left="0"/>
        <w:jc w:val="left"/>
      </w:pPr>
      <w:r>
        <w:rPr>
          <w:rFonts w:ascii="Arial" w:hAnsi="Arial" w:eastAsia="等线" w:cs="Arial"/>
          <w:sz w:val="22"/>
        </w:rPr>
        <w:t>艾滋病病毒（HIV-1）的复制和感染机制复杂，其中RNA上的化学修饰，特别是N6-甲基腺苷（m6A），被认为在病毒生命周期中扮演重要角色。然而，传统的RNA修饰研究方法存在显著痛点：</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缺乏单分子分辨率：</w:t>
      </w:r>
      <w:r>
        <w:rPr>
          <w:rFonts w:ascii="Arial" w:hAnsi="Arial" w:eastAsia="等线" w:cs="Arial"/>
          <w:sz w:val="22"/>
        </w:rPr>
        <w:t>大多数研究仅能提供群体平均的修饰水平，无法解析单个RNA分子上不同修饰的共存模式及其对功能的影响。</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依赖片段化RNA：</w:t>
      </w:r>
      <w:r>
        <w:rPr>
          <w:rFonts w:ascii="Arial" w:hAnsi="Arial" w:eastAsia="等线" w:cs="Arial"/>
          <w:sz w:val="22"/>
        </w:rPr>
        <w:t>现有技术通常需要将RNA分子片段化进行分析，这使得研究人员难以理解全长RNA分子上修饰的复杂景观以及其对剪接、稳定性等过程的整体影响。</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间接分析与低分辨率：</w:t>
      </w:r>
      <w:r>
        <w:rPr>
          <w:rFonts w:ascii="Arial" w:hAnsi="Arial" w:eastAsia="等线" w:cs="Arial"/>
          <w:sz w:val="22"/>
        </w:rPr>
        <w:t>许多研究依赖于通过干扰宿主效应因子来间接推断修饰的功能，且分辨率较低，难以精确定位位点特异性m6A的功能。</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技术复杂性：</w:t>
      </w:r>
      <w:r>
        <w:rPr>
          <w:rFonts w:ascii="Arial" w:hAnsi="Arial" w:eastAsia="等线" w:cs="Arial"/>
          <w:sz w:val="22"/>
        </w:rPr>
        <w:t>传统的m6A检测方法，如meRIP-seq，通常涉及抗体富集和片段化测序，增加了实验复杂性和潜在的偏差。</w:t>
      </w:r>
    </w:p>
    <w:p>
      <w:pPr>
        <w:spacing w:before="120" w:after="120" w:line="288" w:lineRule="auto"/>
        <w:ind w:left="0"/>
        <w:jc w:val="left"/>
      </w:pPr>
      <w:r>
        <w:rPr>
          <w:rFonts w:ascii="Arial" w:hAnsi="Arial" w:eastAsia="等线" w:cs="Arial"/>
          <w:sz w:val="22"/>
        </w:rPr>
        <w:t>这些局限性阻碍了对HIV-1 RNA修饰的进化优势和其在病毒复制中具体作用的深入理解。</w:t>
      </w:r>
    </w:p>
    <w:p>
      <w:pPr>
        <w:spacing w:before="120" w:after="120" w:line="288" w:lineRule="auto"/>
        <w:ind w:left="0"/>
        <w:jc w:val="left"/>
      </w:pPr>
      <w:r>
        <w:rPr>
          <w:rFonts w:ascii="Arial" w:hAnsi="Arial" w:eastAsia="等线" w:cs="Arial"/>
          <w:b/>
          <w:sz w:val="22"/>
        </w:rPr>
        <w:t>【突破】Nanopore 直接RNA测序实现单分子表观转录组分析</w:t>
      </w:r>
    </w:p>
    <w:p>
      <w:pPr>
        <w:spacing w:before="120" w:after="120" w:line="288" w:lineRule="auto"/>
        <w:ind w:left="0"/>
        <w:jc w:val="left"/>
      </w:pPr>
      <w:r>
        <w:rPr>
          <w:rFonts w:ascii="Arial" w:hAnsi="Arial" w:eastAsia="等线" w:cs="Arial"/>
          <w:sz w:val="22"/>
        </w:rPr>
        <w:t>本研究通过采用直接RNA测序（Direct RNA Sequencing, DRS） 方法，在全长、单分子水平和核苷酸分辨率上对HIV-1 RNA的化学修饰进行了开创性的分析。这一突破性技术使得研究人员能够：</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直接读取全长RNA分子：</w:t>
      </w:r>
      <w:r>
        <w:rPr>
          <w:rFonts w:ascii="Arial" w:hAnsi="Arial" w:eastAsia="等线" w:cs="Arial"/>
          <w:sz w:val="22"/>
        </w:rPr>
        <w:t>DRS避免了反转录和PCR扩增，直接对RNA分子进行测序，从而能够捕捉到全长HIV-1 RNA的修饰景观，克服了传统方法对RNA片段化的依赖。</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单分子水平的修饰检测：</w:t>
      </w:r>
      <w:r>
        <w:rPr>
          <w:rFonts w:ascii="Arial" w:hAnsi="Arial" w:eastAsia="等线" w:cs="Arial"/>
          <w:sz w:val="22"/>
        </w:rPr>
        <w:t>通过分析DRS在读取RNA分子时由于修饰导致的电流信号变化，研究团队能够直接检测并定位单个RNA分子上的m6A修饰，从而实现前所未有的单分子分辨率。</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揭示HIV-1 RNA简单的修饰景观：</w:t>
      </w:r>
      <w:r>
        <w:rPr>
          <w:rFonts w:ascii="Arial" w:hAnsi="Arial" w:eastAsia="等线" w:cs="Arial"/>
          <w:sz w:val="22"/>
        </w:rPr>
        <w:t>令人惊讶的是，研究发现HIV-1 RNA的修饰景观相对简单，主要突出显示了三个主要的m6A位点（A8079、A8975、A8989），这与宿主细胞中复杂的m6A修饰图谱形成对比。</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m6A与剪接调控的直接关联：</w:t>
      </w:r>
      <w:r>
        <w:rPr>
          <w:rFonts w:ascii="Arial" w:hAnsi="Arial" w:eastAsia="等线" w:cs="Arial"/>
          <w:sz w:val="22"/>
        </w:rPr>
        <w:t>研究通过构建位点特异性m6A突变体并结合DRS分析，直接揭示了这些核心m6A位点在HIV-1 RNA剪接调控中的功能作用，特别是其对完全剪接（CS）RNA和部分剪接（PS）RNA比例的影响。</w:t>
      </w:r>
    </w:p>
    <w:p>
      <w:pPr>
        <w:spacing w:before="120" w:after="120" w:line="288" w:lineRule="auto"/>
        <w:ind w:left="0"/>
        <w:jc w:val="left"/>
      </w:pPr>
      <w:r>
        <w:rPr>
          <w:rFonts w:ascii="Arial" w:hAnsi="Arial" w:eastAsia="等线" w:cs="Arial"/>
          <w:b/>
          <w:sz w:val="22"/>
        </w:rPr>
        <w:t>【价值】解锁HIV-1 RNA复制的关键机制与潜在治疗靶点</w:t>
      </w:r>
    </w:p>
    <w:p>
      <w:pPr>
        <w:spacing w:before="120" w:after="120" w:line="288" w:lineRule="auto"/>
        <w:ind w:left="0"/>
        <w:jc w:val="left"/>
      </w:pPr>
      <w:r>
        <w:rPr>
          <w:rFonts w:ascii="Arial" w:hAnsi="Arial" w:eastAsia="等线" w:cs="Arial"/>
          <w:sz w:val="22"/>
        </w:rPr>
        <w:t>本研究的突破性发现具有深远的价值：</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揭示m6A调控HIV-1 RNA剪接：</w:t>
      </w:r>
      <w:r>
        <w:rPr>
          <w:rFonts w:ascii="Arial" w:hAnsi="Arial" w:eastAsia="等线" w:cs="Arial"/>
          <w:sz w:val="22"/>
        </w:rPr>
        <w:t xml:space="preserve"> 首次在单分子水平上证明了位点特异性m6A修饰（特别是A8079、A8975和A8989位点）通过直接影响HIV-1 RNA的剪接模式，从而调控病毒蛋白的表达和病毒复制。这为理解HIV-1生命周期中的基因表达调控提供了全新的视角。</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挑战传统“功能冗余”观点：</w:t>
      </w:r>
      <w:r>
        <w:rPr>
          <w:rFonts w:ascii="Arial" w:hAnsi="Arial" w:eastAsia="等线" w:cs="Arial"/>
          <w:sz w:val="22"/>
        </w:rPr>
        <w:t xml:space="preserve"> 尽管在HIV-1 RNA上检测到多个m6A位点，但研究结果表明这些位点并非完全功能冗余，而是具有独特的或协同的功能。这为更精确地靶向m6A修饰提供了基础。</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为抗病毒药物开发提供新靶点：</w:t>
      </w:r>
      <w:r>
        <w:rPr>
          <w:rFonts w:ascii="Arial" w:hAnsi="Arial" w:eastAsia="等线" w:cs="Arial"/>
          <w:sz w:val="22"/>
        </w:rPr>
        <w:t xml:space="preserve"> 明确了m6A修饰在HIV-1复制中的关键作用，特别是其对剪接的影响，为开发靶向HIV-1 RNA m6A修饰的新型抗病毒药物提供了有潜力的靶点。例如，可以设计抑制m6A写入酶或利用其读取机制来干扰病毒复制。</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推动单分子表观转录组学发展：</w:t>
      </w:r>
      <w:r>
        <w:rPr>
          <w:rFonts w:ascii="Arial" w:hAnsi="Arial" w:eastAsia="等线" w:cs="Arial"/>
          <w:sz w:val="22"/>
        </w:rPr>
        <w:t xml:space="preserve"> 本研究验证了Nanopore DRS在复杂病原体RNA修饰研究中的强大能力，为未来其他病毒或细胞体系的单分子表观转录组学研究树立了典范，有望加速对多种生物学过程的深入理解。</w:t>
      </w:r>
    </w:p>
    <w:p>
      <w:pPr>
        <w:spacing w:before="120" w:after="120" w:line="288" w:lineRule="auto"/>
        <w:ind w:left="0"/>
        <w:jc w:val="center"/>
      </w:pPr>
      <w:r>
        <w:drawing>
          <wp:inline distT="0" distB="0" distL="0" distR="0">
            <wp:extent cx="4362450" cy="3581400"/>
            <wp:effectExtent l="0" t="0" r="0" b="0"/>
            <wp:docPr id="2" name="Draw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1"/>
                    <pic:cNvPicPr>
                      <a:picLocks noChangeAspect="1"/>
                    </pic:cNvPicPr>
                  </pic:nvPicPr>
                  <pic:blipFill>
                    <a:blip r:embed="rId7"/>
                    <a:stretch>
                      <a:fillRect/>
                    </a:stretch>
                  </pic:blipFill>
                  <pic:spPr>
                    <a:xfrm>
                      <a:off x="0" y="0"/>
                      <a:ext cx="4362450" cy="3581400"/>
                    </a:xfrm>
                    <a:prstGeom prst="rect">
                      <a:avLst/>
                    </a:prstGeom>
                  </pic:spPr>
                </pic:pic>
              </a:graphicData>
            </a:graphic>
          </wp:inline>
        </w:drawing>
      </w:r>
    </w:p>
    <w:p>
      <w:pPr>
        <w:spacing w:before="120" w:after="120" w:line="288" w:lineRule="auto"/>
        <w:ind w:left="0"/>
        <w:jc w:val="left"/>
      </w:pPr>
      <w:r>
        <w:rPr>
          <w:rFonts w:ascii="Arial" w:hAnsi="Arial" w:eastAsia="等线" w:cs="Arial"/>
          <w:sz w:val="22"/>
        </w:rPr>
        <w:t xml:space="preserve"> </w:t>
      </w:r>
    </w:p>
    <w:p>
      <w:pPr>
        <w:spacing w:before="320" w:after="120" w:line="288" w:lineRule="auto"/>
        <w:ind w:left="0"/>
        <w:jc w:val="left"/>
        <w:outlineLvl w:val="1"/>
      </w:pPr>
      <w:bookmarkStart w:id="3" w:name="heading_4"/>
      <w:r>
        <w:rPr>
          <w:rFonts w:ascii="Arial" w:hAnsi="Arial" w:eastAsia="等线" w:cs="Arial"/>
          <w:b/>
          <w:sz w:val="32"/>
        </w:rPr>
        <w:t>案例三：NERD-seq革新nanopore直接RNA测序，拓展非编码RNA研究视野</w:t>
      </w:r>
      <w:bookmarkEnd w:id="3"/>
    </w:p>
    <w:p>
      <w:pPr>
        <w:spacing w:before="120" w:after="120" w:line="288" w:lineRule="auto"/>
        <w:ind w:left="0"/>
        <w:jc w:val="left"/>
      </w:pPr>
      <w:r>
        <w:rPr>
          <w:rFonts w:ascii="Arial" w:hAnsi="Arial" w:eastAsia="等线" w:cs="Arial"/>
          <w:sz w:val="22"/>
        </w:rPr>
        <w:t>文章标题：NERD-seq: a novel approach of Nanopore direct RNA sequencing that expands representation of non-coding RNAs</w:t>
      </w:r>
    </w:p>
    <w:p>
      <w:pPr>
        <w:spacing w:before="120" w:after="120" w:line="288" w:lineRule="auto"/>
        <w:ind w:left="0"/>
        <w:jc w:val="left"/>
      </w:pPr>
      <w:r>
        <w:rPr>
          <w:rFonts w:ascii="Arial" w:hAnsi="Arial" w:eastAsia="等线" w:cs="Arial"/>
          <w:sz w:val="22"/>
        </w:rPr>
        <w:t>期刊：Genome Biology</w:t>
      </w:r>
    </w:p>
    <w:p>
      <w:pPr>
        <w:spacing w:before="120" w:after="120" w:line="288" w:lineRule="auto"/>
        <w:ind w:left="0"/>
        <w:jc w:val="left"/>
      </w:pPr>
      <w:r>
        <w:rPr>
          <w:rFonts w:ascii="Arial" w:hAnsi="Arial" w:eastAsia="等线" w:cs="Arial"/>
          <w:sz w:val="22"/>
        </w:rPr>
        <w:t>影响因子：10.1</w:t>
      </w:r>
    </w:p>
    <w:p>
      <w:pPr>
        <w:spacing w:before="120" w:after="120" w:line="288" w:lineRule="auto"/>
        <w:ind w:left="0"/>
        <w:jc w:val="left"/>
      </w:pPr>
      <w:r>
        <w:rPr>
          <w:rFonts w:ascii="Arial" w:hAnsi="Arial" w:eastAsia="等线" w:cs="Arial"/>
          <w:sz w:val="22"/>
        </w:rPr>
        <w:t>发表年份：2024</w:t>
      </w:r>
    </w:p>
    <w:p>
      <w:pPr>
        <w:spacing w:before="120" w:after="120" w:line="288" w:lineRule="auto"/>
        <w:ind w:left="0"/>
        <w:jc w:val="left"/>
      </w:pPr>
      <w:r>
        <w:rPr>
          <w:rFonts w:ascii="Arial" w:hAnsi="Arial" w:eastAsia="等线" w:cs="Arial"/>
          <w:b/>
          <w:sz w:val="22"/>
        </w:rPr>
        <w:t>【痛点】非编码RNA研究的局限性与挑战</w:t>
      </w:r>
    </w:p>
    <w:p>
      <w:pPr>
        <w:spacing w:before="120" w:after="120" w:line="288" w:lineRule="auto"/>
        <w:ind w:left="0"/>
        <w:jc w:val="left"/>
      </w:pPr>
      <w:r>
        <w:rPr>
          <w:rFonts w:ascii="Arial" w:hAnsi="Arial" w:eastAsia="等线" w:cs="Arial"/>
          <w:sz w:val="22"/>
        </w:rPr>
        <w:t>非编码RNA（ncRNAs）在细胞生命活动中扮演着极其重要的调控角色，它们的功能多样且复杂。然而，传统的RNA测序技术在非编码RNA研究中存在显著痛点：</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现有直接RNA测序方法的局限：</w:t>
      </w:r>
      <w:r>
        <w:rPr>
          <w:rFonts w:ascii="Arial" w:hAnsi="Arial" w:eastAsia="等线" w:cs="Arial"/>
          <w:sz w:val="22"/>
        </w:rPr>
        <w:t>尽管Nanopore直接RNA测序（DRS）能够直接测序RNA并检测修饰，但常规DRS通常依赖于poly(A)富集，这意味着它主要关注带有poly(A)尾的mRNA，而大量不带poly(A)尾的非编码RNA（如tRNA、rRNA、snRNA、snoRNA等）以及一些不具有poly(A)尾的mRNA异构体（如组蛋白mRNA）则难以被捕获和研究。</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转录组完整性缺失：</w:t>
      </w:r>
      <w:r>
        <w:rPr>
          <w:rFonts w:ascii="Arial" w:hAnsi="Arial" w:eastAsia="等线" w:cs="Arial"/>
          <w:sz w:val="22"/>
        </w:rPr>
        <w:t>这种poly(A)偏好性导致了对细胞内真实转录组图谱的偏颇描绘，使得研究人员无法全面了解非编码RNA的复杂性及其在细胞功能中的作用。</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RNA修饰检测受限：</w:t>
      </w:r>
      <w:r>
        <w:rPr>
          <w:rFonts w:ascii="Arial" w:hAnsi="Arial" w:eastAsia="等线" w:cs="Arial"/>
          <w:sz w:val="22"/>
        </w:rPr>
        <w:t>非编码RNA是RNA修饰的重要底物，但如果无法有效捕获这些RNA，对它们上修饰的直接检测和功能研究就无从谈起。</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实验设计与数据分析的复杂性：</w:t>
      </w:r>
      <w:r>
        <w:rPr>
          <w:rFonts w:ascii="Arial" w:hAnsi="Arial" w:eastAsia="等线" w:cs="Arial"/>
          <w:sz w:val="22"/>
        </w:rPr>
        <w:t>为了克服这些局限，研究人员往往需要采用多重、复杂的实验流程或对现有技术进行繁琐的修改，这增加了实验成本和数据分析的难度。</w:t>
      </w:r>
    </w:p>
    <w:p>
      <w:pPr>
        <w:spacing w:before="120" w:after="120" w:line="288" w:lineRule="auto"/>
        <w:ind w:left="0"/>
        <w:jc w:val="left"/>
      </w:pPr>
      <w:r>
        <w:rPr>
          <w:rFonts w:ascii="Arial" w:hAnsi="Arial" w:eastAsia="等线" w:cs="Arial"/>
          <w:b/>
          <w:sz w:val="22"/>
        </w:rPr>
        <w:t>【突破】NERD-seq：无需Poly(A)富集的直接RNA测序新策略</w:t>
      </w:r>
    </w:p>
    <w:p>
      <w:pPr>
        <w:spacing w:before="120" w:after="120" w:line="288" w:lineRule="auto"/>
        <w:ind w:left="0"/>
        <w:jc w:val="left"/>
      </w:pPr>
      <w:r>
        <w:rPr>
          <w:rFonts w:ascii="Arial" w:hAnsi="Arial" w:eastAsia="等线" w:cs="Arial"/>
          <w:sz w:val="22"/>
        </w:rPr>
        <w:t>本研究提出了一种创新的Nanopore直接RNA测序方法——NERD-seq（Non-Enrichment RNA Direct-seq），它成功克服了传统DRS对poly(A)富集的依赖，从而显著拓展了非编码RNA的测序范围。其突破性体现在：</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去除Poly(A)富集步骤：</w:t>
      </w:r>
      <w:r>
        <w:rPr>
          <w:rFonts w:ascii="Arial" w:hAnsi="Arial" w:eastAsia="等线" w:cs="Arial"/>
          <w:sz w:val="22"/>
        </w:rPr>
        <w:t>NERD-seq的核心在于移除了传统的poly(A)富集步骤。通过优化接头连接和测序流程，该方法可以直接对总RNA进行测序，从而能够捕捉到细胞内所有类型的RNA分子，包括大量不带poly(A)尾的非编码RNA。</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更广泛的RNA类型覆盖：</w:t>
      </w:r>
      <w:r>
        <w:rPr>
          <w:rFonts w:ascii="Arial" w:hAnsi="Arial" w:eastAsia="等线" w:cs="Arial"/>
          <w:sz w:val="22"/>
        </w:rPr>
        <w:t>研究结果表明，NERD-seq能够显著提高对rRNA、tRNA、snRNA、snoRNA、miRNA以及一些不带poly(A)尾的mRNA（如组蛋白mRNA）的捕获效率，从而提供了更全面的转录组图谱。</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保留RNA修饰检测能力：</w:t>
      </w:r>
      <w:r>
        <w:rPr>
          <w:rFonts w:ascii="Arial" w:hAnsi="Arial" w:eastAsia="等线" w:cs="Arial"/>
          <w:sz w:val="22"/>
        </w:rPr>
        <w:t>尽管移除了poly(A)富集步骤，NERD-seq仍然保留了Nanopore直接RNA测序直接检测RNA修饰的能力，这使得研究人员能够对更广泛的非编码RNA上的修饰进行高分辨率分析。</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识别新的转录本起始位点（TSS）和转录本终止位点（TTS）：</w:t>
      </w:r>
      <w:r>
        <w:rPr>
          <w:rFonts w:ascii="Arial" w:hAnsi="Arial" w:eastAsia="等线" w:cs="Arial"/>
          <w:sz w:val="22"/>
        </w:rPr>
        <w:t>通过对全长RNA的直接测序，NERD-seq能够更准确地识别和量化新的TSS和TTS，这对于理解基因的转录调控和转录本的成熟过程至关重要。</w:t>
      </w:r>
    </w:p>
    <w:p>
      <w:pPr>
        <w:spacing w:before="120" w:after="120" w:line="288" w:lineRule="auto"/>
        <w:ind w:left="0"/>
        <w:jc w:val="left"/>
      </w:pPr>
      <w:r>
        <w:rPr>
          <w:rFonts w:ascii="Arial" w:hAnsi="Arial" w:eastAsia="等线" w:cs="Arial"/>
          <w:b/>
          <w:sz w:val="22"/>
        </w:rPr>
        <w:t>【价值】开启非编码RNA研究的新纪元</w:t>
      </w:r>
    </w:p>
    <w:p>
      <w:pPr>
        <w:spacing w:before="120" w:after="120" w:line="288" w:lineRule="auto"/>
        <w:ind w:left="0"/>
        <w:jc w:val="left"/>
      </w:pPr>
      <w:r>
        <w:rPr>
          <w:rFonts w:ascii="Arial" w:hAnsi="Arial" w:eastAsia="等线" w:cs="Arial"/>
          <w:sz w:val="22"/>
        </w:rPr>
        <w:t>NERD-seq的诞生具有革命性意义，其价值主要体现在：</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非编码RNA研究的全面性：</w:t>
      </w:r>
      <w:r>
        <w:rPr>
          <w:rFonts w:ascii="Arial" w:hAnsi="Arial" w:eastAsia="等线" w:cs="Arial"/>
          <w:sz w:val="22"/>
        </w:rPr>
        <w:t>NERD-seq首次提供了一种能够全面捕获细胞内所有RNA类型（包括mRNA和各类ncRNA）的单分子、全长测序方法。这极大地扩展了非编码RNA研究的范围，使科学家能够更深入地探索它们在各种生物学过程和疾病中的作用。</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更准确的转录组全景图：</w:t>
      </w:r>
      <w:r>
        <w:rPr>
          <w:rFonts w:ascii="Arial" w:hAnsi="Arial" w:eastAsia="等线" w:cs="Arial"/>
          <w:sz w:val="22"/>
        </w:rPr>
        <w:t>通过消除poly(A)偏好性，NERD-seq能够提供更接近真实细胞内情况的转录组图谱，这将有助于纠正过去因技术限制而导致的对转录组构成的错误认知。</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加速RNA修饰研究：</w:t>
      </w:r>
      <w:r>
        <w:rPr>
          <w:rFonts w:ascii="Arial" w:hAnsi="Arial" w:eastAsia="等线" w:cs="Arial"/>
          <w:sz w:val="22"/>
        </w:rPr>
        <w:t>鉴于非编码RNA是重要的RNA修饰底物，NERD-seq将显著加速对这些RNA上修饰的检测和功能研究，为表观转录组学领域带来新的突破。</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发现未知生物学功能：</w:t>
      </w:r>
      <w:r>
        <w:rPr>
          <w:rFonts w:ascii="Arial" w:hAnsi="Arial" w:eastAsia="等线" w:cs="Arial"/>
          <w:sz w:val="22"/>
        </w:rPr>
        <w:t>能够有效捕获和测序过去被忽略或难以研究的非编码RNA，有望发现新的RNA分子及其生物学功能，从而为疾病机制研究和治疗策略开发提供新的靶点和思路。</w:t>
      </w:r>
    </w:p>
    <w:p>
      <w:pPr>
        <w:spacing w:before="120" w:after="120" w:line="288" w:lineRule="auto"/>
        <w:ind w:left="0"/>
        <w:jc w:val="left"/>
      </w:pPr>
      <w:r>
        <w:rPr>
          <w:rFonts w:ascii="Arial" w:hAnsi="Arial" w:eastAsia="等线" w:cs="Arial"/>
          <w:sz w:val="22"/>
        </w:rPr>
        <w:t xml:space="preserve">·  </w:t>
      </w:r>
      <w:r>
        <w:rPr>
          <w:rFonts w:ascii="Arial" w:hAnsi="Arial" w:eastAsia="等线" w:cs="Arial"/>
          <w:b/>
          <w:sz w:val="22"/>
        </w:rPr>
        <w:t>简化实验流程，提高效率：</w:t>
      </w:r>
      <w:r>
        <w:rPr>
          <w:rFonts w:ascii="Arial" w:hAnsi="Arial" w:eastAsia="等线" w:cs="Arial"/>
          <w:sz w:val="22"/>
        </w:rPr>
        <w:t>NERD-seq通过优化实验流程，降低了对特殊RNA处理的依赖，使得非编码RNA的测序变得更加简单和高效，为实验室提供了更便捷的研究工具。</w:t>
      </w:r>
    </w:p>
    <w:p>
      <w:pPr>
        <w:spacing w:before="120" w:after="120" w:line="288" w:lineRule="auto"/>
        <w:ind w:left="0"/>
        <w:jc w:val="center"/>
      </w:pPr>
      <w:r>
        <w:drawing>
          <wp:inline distT="0" distB="0" distL="0" distR="0">
            <wp:extent cx="3609975" cy="8867775"/>
            <wp:effectExtent l="0" t="0" r="9525" b="9525"/>
            <wp:docPr id="3" name="Draw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rawing 2"/>
                    <pic:cNvPicPr>
                      <a:picLocks noChangeAspect="1"/>
                    </pic:cNvPicPr>
                  </pic:nvPicPr>
                  <pic:blipFill>
                    <a:blip r:embed="rId8"/>
                    <a:stretch>
                      <a:fillRect/>
                    </a:stretch>
                  </pic:blipFill>
                  <pic:spPr>
                    <a:xfrm>
                      <a:off x="0" y="0"/>
                      <a:ext cx="3609975" cy="8867775"/>
                    </a:xfrm>
                    <a:prstGeom prst="rect">
                      <a:avLst/>
                    </a:prstGeom>
                  </pic:spPr>
                </pic:pic>
              </a:graphicData>
            </a:graphic>
          </wp:inline>
        </w:drawing>
      </w:r>
    </w:p>
    <w:p>
      <w:pPr>
        <w:spacing w:before="320" w:after="120" w:line="288" w:lineRule="auto"/>
        <w:ind w:left="0"/>
        <w:jc w:val="left"/>
        <w:outlineLvl w:val="1"/>
      </w:pPr>
      <w:bookmarkStart w:id="4" w:name="heading_5"/>
      <w:r>
        <w:rPr>
          <w:rFonts w:ascii="Arial" w:hAnsi="Arial" w:eastAsia="等线" w:cs="Arial"/>
          <w:b/>
          <w:sz w:val="32"/>
        </w:rPr>
        <w:t>案例四：攻克tRNA修饰分析的“疑难杂症”</w:t>
      </w:r>
      <w:bookmarkEnd w:id="4"/>
    </w:p>
    <w:p>
      <w:pPr>
        <w:spacing w:before="120" w:after="120" w:line="288" w:lineRule="auto"/>
        <w:ind w:left="0"/>
        <w:jc w:val="left"/>
      </w:pPr>
      <w:r>
        <w:rPr>
          <w:rFonts w:ascii="Arial" w:hAnsi="Arial" w:eastAsia="等线" w:cs="Arial"/>
          <w:sz w:val="22"/>
        </w:rPr>
        <w:t xml:space="preserve">文章标题： Combining Nanopore direct RNA sequencing with genetics and mass spectrometry for analysis of T-loop base modifications across 42 yeast tRNA isoacceptors </w:t>
      </w:r>
    </w:p>
    <w:p>
      <w:pPr>
        <w:spacing w:before="120" w:after="120" w:line="288" w:lineRule="auto"/>
        <w:ind w:left="0"/>
        <w:jc w:val="left"/>
      </w:pPr>
      <w:r>
        <w:rPr>
          <w:rFonts w:ascii="Arial" w:hAnsi="Arial" w:eastAsia="等线" w:cs="Arial"/>
          <w:sz w:val="22"/>
        </w:rPr>
        <w:t>发表期刊： Nucleic Acids Research</w:t>
      </w:r>
    </w:p>
    <w:p>
      <w:pPr>
        <w:spacing w:before="120" w:after="120" w:line="288" w:lineRule="auto"/>
        <w:ind w:left="0"/>
        <w:jc w:val="left"/>
      </w:pPr>
      <w:r>
        <w:rPr>
          <w:rFonts w:ascii="Arial" w:hAnsi="Arial" w:eastAsia="等线" w:cs="Arial"/>
          <w:sz w:val="22"/>
        </w:rPr>
        <w:t>影响因子： 16.7</w:t>
      </w:r>
    </w:p>
    <w:p>
      <w:pPr>
        <w:spacing w:before="120" w:after="120" w:line="288" w:lineRule="auto"/>
        <w:ind w:left="0"/>
        <w:jc w:val="left"/>
      </w:pPr>
      <w:r>
        <w:rPr>
          <w:rFonts w:ascii="Arial" w:hAnsi="Arial" w:eastAsia="等线" w:cs="Arial"/>
          <w:sz w:val="22"/>
        </w:rPr>
        <w:t>发表年份： 2024</w:t>
      </w:r>
    </w:p>
    <w:p>
      <w:pPr>
        <w:spacing w:before="120" w:after="120" w:line="288" w:lineRule="auto"/>
        <w:ind w:left="0"/>
        <w:jc w:val="left"/>
      </w:pPr>
      <w:r>
        <w:rPr>
          <w:rFonts w:ascii="Arial" w:hAnsi="Arial" w:eastAsia="等线" w:cs="Arial"/>
          <w:b/>
          <w:sz w:val="22"/>
        </w:rPr>
        <w:t>痛点：传统方法难以全面、高通量解析tRNA T-loop修饰</w:t>
      </w:r>
    </w:p>
    <w:p>
      <w:pPr>
        <w:spacing w:before="120" w:after="120" w:line="288" w:lineRule="auto"/>
        <w:ind w:left="0"/>
        <w:jc w:val="left"/>
      </w:pPr>
      <w:r>
        <w:rPr>
          <w:rFonts w:ascii="Arial" w:hAnsi="Arial" w:eastAsia="等线" w:cs="Arial"/>
          <w:sz w:val="22"/>
        </w:rPr>
        <w:t>tRNA（转运RNA）是基因表达中至关重要的分子，其上的各种核苷酸修饰在维持tRNA结构稳定性、调控蛋白质合成效率和准确性等方面发挥着关键作用。特别是在tRNA的T-loop区域，存在多种复杂的修饰，如假尿苷 (Ψ)、二氢尿苷 (D)、肌苷 (I) 等。这些修饰的准确识别和定量对于理解tRNA生物学功能、揭示疾病机制至关重要。</w:t>
      </w:r>
    </w:p>
    <w:p>
      <w:pPr>
        <w:spacing w:before="120" w:after="120" w:line="288" w:lineRule="auto"/>
        <w:ind w:left="0"/>
        <w:jc w:val="left"/>
      </w:pPr>
      <w:r>
        <w:rPr>
          <w:rFonts w:ascii="Arial" w:hAnsi="Arial" w:eastAsia="等线" w:cs="Arial"/>
          <w:sz w:val="22"/>
        </w:rPr>
        <w:t>然而，传统的tRNA修饰检测方法面临诸多挑战：</w:t>
      </w:r>
    </w:p>
    <w:p>
      <w:pPr>
        <w:numPr>
          <w:ilvl w:val="0"/>
          <w:numId w:val="10"/>
        </w:numPr>
        <w:spacing w:before="120" w:after="120" w:line="288" w:lineRule="auto"/>
        <w:ind w:left="0"/>
        <w:jc w:val="left"/>
      </w:pPr>
      <w:r>
        <w:rPr>
          <w:rFonts w:ascii="Arial" w:hAnsi="Arial" w:eastAsia="等线" w:cs="Arial"/>
          <w:b/>
          <w:sz w:val="22"/>
        </w:rPr>
        <w:t>低通量：</w:t>
      </w:r>
      <w:r>
        <w:rPr>
          <w:rFonts w:ascii="Arial" w:hAnsi="Arial" w:eastAsia="等线" w:cs="Arial"/>
          <w:sz w:val="22"/>
        </w:rPr>
        <w:t xml:space="preserve"> 许多方法一次只能分析少数几种tRNA或少数几种修饰，无法实现对全基因组范围内多类别tRNA修饰的系统性检测。</w:t>
      </w:r>
    </w:p>
    <w:p>
      <w:pPr>
        <w:numPr>
          <w:ilvl w:val="0"/>
          <w:numId w:val="11"/>
        </w:numPr>
        <w:spacing w:before="120" w:after="120" w:line="288" w:lineRule="auto"/>
        <w:ind w:left="0"/>
        <w:jc w:val="left"/>
      </w:pPr>
      <w:r>
        <w:rPr>
          <w:rFonts w:ascii="Arial" w:hAnsi="Arial" w:eastAsia="等线" w:cs="Arial"/>
          <w:b/>
          <w:sz w:val="22"/>
        </w:rPr>
        <w:t>依赖酶学或化学处理：</w:t>
      </w:r>
      <w:r>
        <w:rPr>
          <w:rFonts w:ascii="Arial" w:hAnsi="Arial" w:eastAsia="等线" w:cs="Arial"/>
          <w:sz w:val="22"/>
        </w:rPr>
        <w:t xml:space="preserve"> 大多数方法需要对RNA进行酶切、逆转录或化学标记等预处理，这些步骤可能引入偏差或损伤RNA，且难以区分同分异构修饰。</w:t>
      </w:r>
    </w:p>
    <w:p>
      <w:pPr>
        <w:numPr>
          <w:ilvl w:val="0"/>
          <w:numId w:val="12"/>
        </w:numPr>
        <w:spacing w:before="120" w:after="120" w:line="288" w:lineRule="auto"/>
        <w:ind w:left="0"/>
        <w:jc w:val="left"/>
      </w:pPr>
      <w:r>
        <w:rPr>
          <w:rFonts w:ascii="Arial" w:hAnsi="Arial" w:eastAsia="等线" w:cs="Arial"/>
          <w:b/>
          <w:sz w:val="22"/>
        </w:rPr>
        <w:t>无法精确区分异构体修饰：</w:t>
      </w:r>
      <w:r>
        <w:rPr>
          <w:rFonts w:ascii="Arial" w:hAnsi="Arial" w:eastAsia="等线" w:cs="Arial"/>
          <w:sz w:val="22"/>
        </w:rPr>
        <w:t xml:space="preserve"> 某些修饰（如假尿苷和二氢尿苷）在质谱中可能呈现相似的特征，难以精确区分。</w:t>
      </w:r>
    </w:p>
    <w:p>
      <w:pPr>
        <w:numPr>
          <w:ilvl w:val="0"/>
          <w:numId w:val="13"/>
        </w:numPr>
        <w:spacing w:before="120" w:after="120" w:line="288" w:lineRule="auto"/>
        <w:ind w:left="0"/>
        <w:jc w:val="left"/>
      </w:pPr>
      <w:r>
        <w:rPr>
          <w:rFonts w:ascii="Arial" w:hAnsi="Arial" w:eastAsia="等线" w:cs="Arial"/>
          <w:b/>
          <w:sz w:val="22"/>
        </w:rPr>
        <w:t>修饰丰度低或动态变化：</w:t>
      </w:r>
      <w:r>
        <w:rPr>
          <w:rFonts w:ascii="Arial" w:hAnsi="Arial" w:eastAsia="等线" w:cs="Arial"/>
          <w:sz w:val="22"/>
        </w:rPr>
        <w:t xml:space="preserve"> 一些修饰的丰度较低，或在不同生理条件下动态变化，传统方法灵敏度不足。</w:t>
      </w:r>
    </w:p>
    <w:p>
      <w:pPr>
        <w:numPr>
          <w:ilvl w:val="0"/>
          <w:numId w:val="14"/>
        </w:numPr>
        <w:spacing w:before="120" w:after="120" w:line="288" w:lineRule="auto"/>
        <w:ind w:left="0"/>
        <w:jc w:val="left"/>
      </w:pPr>
      <w:r>
        <w:rPr>
          <w:rFonts w:ascii="Arial" w:hAnsi="Arial" w:eastAsia="等线" w:cs="Arial"/>
          <w:b/>
          <w:sz w:val="22"/>
        </w:rPr>
        <w:t>需要大量起始材料：</w:t>
      </w:r>
      <w:r>
        <w:rPr>
          <w:rFonts w:ascii="Arial" w:hAnsi="Arial" w:eastAsia="等线" w:cs="Arial"/>
          <w:sz w:val="22"/>
        </w:rPr>
        <w:t xml:space="preserve"> 多数高灵敏度方法对起始RNA量有较高要求，限制了在稀有样本中的应用。</w:t>
      </w:r>
    </w:p>
    <w:p>
      <w:pPr>
        <w:spacing w:before="120" w:after="120" w:line="288" w:lineRule="auto"/>
        <w:ind w:left="0"/>
        <w:jc w:val="left"/>
      </w:pPr>
      <w:r>
        <w:rPr>
          <w:rFonts w:ascii="Arial" w:hAnsi="Arial" w:eastAsia="等线" w:cs="Arial"/>
          <w:sz w:val="22"/>
        </w:rPr>
        <w:t>这些限制使得全面、准确地解析复杂生物体系中tRNA T-loop修饰的图谱成为一项“疑难杂症”，严重阻碍了我们对tRNA功能的深入理解。</w:t>
      </w:r>
    </w:p>
    <w:p>
      <w:pPr>
        <w:spacing w:before="120" w:after="120" w:line="288" w:lineRule="auto"/>
        <w:ind w:left="0"/>
        <w:jc w:val="left"/>
      </w:pPr>
      <w:r>
        <w:rPr>
          <w:rFonts w:ascii="Arial" w:hAnsi="Arial" w:eastAsia="等线" w:cs="Arial"/>
          <w:b/>
          <w:sz w:val="22"/>
        </w:rPr>
        <w:t>突破：Nanopore DRS与遗传学、质谱联用，解锁tRNA修饰解析新范式</w:t>
      </w:r>
    </w:p>
    <w:p>
      <w:pPr>
        <w:spacing w:before="120" w:after="120" w:line="288" w:lineRule="auto"/>
        <w:ind w:left="0"/>
        <w:jc w:val="left"/>
      </w:pPr>
      <w:r>
        <w:rPr>
          <w:rFonts w:ascii="Arial" w:hAnsi="Arial" w:eastAsia="等线" w:cs="Arial"/>
          <w:sz w:val="22"/>
        </w:rPr>
        <w:t>本研究巧妙地结合了</w:t>
      </w:r>
      <w:r>
        <w:rPr>
          <w:rFonts w:ascii="Arial" w:hAnsi="Arial" w:eastAsia="等线" w:cs="Arial"/>
          <w:b/>
          <w:sz w:val="22"/>
        </w:rPr>
        <w:t>Nanopore直接RNA测序（DRS）</w:t>
      </w:r>
      <w:r>
        <w:rPr>
          <w:rFonts w:ascii="Arial" w:hAnsi="Arial" w:eastAsia="等线" w:cs="Arial"/>
          <w:sz w:val="22"/>
        </w:rPr>
        <w:t>、</w:t>
      </w:r>
      <w:r>
        <w:rPr>
          <w:rFonts w:ascii="Arial" w:hAnsi="Arial" w:eastAsia="等线" w:cs="Arial"/>
          <w:b/>
          <w:sz w:val="22"/>
        </w:rPr>
        <w:t>遗传学</w:t>
      </w:r>
      <w:r>
        <w:rPr>
          <w:rFonts w:ascii="Arial" w:hAnsi="Arial" w:eastAsia="等线" w:cs="Arial"/>
          <w:sz w:val="22"/>
        </w:rPr>
        <w:t>和</w:t>
      </w:r>
      <w:r>
        <w:rPr>
          <w:rFonts w:ascii="Arial" w:hAnsi="Arial" w:eastAsia="等线" w:cs="Arial"/>
          <w:b/>
          <w:sz w:val="22"/>
        </w:rPr>
        <w:t>质谱分析</w:t>
      </w:r>
      <w:r>
        <w:rPr>
          <w:rFonts w:ascii="Arial" w:hAnsi="Arial" w:eastAsia="等线" w:cs="Arial"/>
          <w:sz w:val="22"/>
        </w:rPr>
        <w:t>这三大技术，为tRNA T-loop修饰的全面高通量分析提供了革命性的解决方案。其核心突破在于：</w:t>
      </w:r>
    </w:p>
    <w:p>
      <w:pPr>
        <w:numPr>
          <w:ilvl w:val="0"/>
          <w:numId w:val="15"/>
        </w:numPr>
        <w:spacing w:before="120" w:after="120" w:line="288" w:lineRule="auto"/>
        <w:ind w:left="0"/>
        <w:jc w:val="left"/>
      </w:pPr>
      <w:r>
        <w:rPr>
          <w:rFonts w:ascii="Arial" w:hAnsi="Arial" w:eastAsia="等线" w:cs="Arial"/>
          <w:b/>
          <w:sz w:val="22"/>
        </w:rPr>
        <w:t>DRS的直接修饰检测能力：</w:t>
      </w:r>
      <w:r>
        <w:rPr>
          <w:rFonts w:ascii="Arial" w:hAnsi="Arial" w:eastAsia="等线" w:cs="Arial"/>
          <w:sz w:val="22"/>
        </w:rPr>
        <w:t xml:space="preserve"> Nanopore DRS通过检测RNA分子通过纳米孔时引起的电流信号变化，直接读取RNA序列，且能够识别出非标准的核苷酸修饰，无需逆转录或扩增。这避免了传统方法引入的偏差和对修饰的干扰。本文利用DRS分析了酵母中42种tRNA异源受体的T-loop区域，直接捕捉了修饰信号。</w:t>
      </w:r>
    </w:p>
    <w:p>
      <w:pPr>
        <w:numPr>
          <w:ilvl w:val="0"/>
          <w:numId w:val="16"/>
        </w:numPr>
        <w:spacing w:before="120" w:after="120" w:line="288" w:lineRule="auto"/>
        <w:ind w:left="0"/>
        <w:jc w:val="left"/>
      </w:pPr>
      <w:r>
        <w:rPr>
          <w:rFonts w:ascii="Arial" w:hAnsi="Arial" w:eastAsia="等线" w:cs="Arial"/>
          <w:b/>
          <w:sz w:val="22"/>
        </w:rPr>
        <w:t>遗传学工具的精准操控：</w:t>
      </w:r>
      <w:r>
        <w:rPr>
          <w:rFonts w:ascii="Arial" w:hAnsi="Arial" w:eastAsia="等线" w:cs="Arial"/>
          <w:sz w:val="22"/>
        </w:rPr>
        <w:t xml:space="preserve"> 研究者利用酵母遗传学工具，构建了具有特定修饰缺失突变体的酵母菌株。通过比较野生型和突变体的DRS信号差异，能够准确地归因并鉴定特定的修饰类型。例如，通过分析mod5Δ和pus1Δ等突变体，研究人员成功识别了tRNA上的m6A和Ψ修饰对纳米孔信号的影响。</w:t>
      </w:r>
    </w:p>
    <w:p>
      <w:pPr>
        <w:numPr>
          <w:ilvl w:val="0"/>
          <w:numId w:val="17"/>
        </w:numPr>
        <w:spacing w:before="120" w:after="120" w:line="288" w:lineRule="auto"/>
        <w:ind w:left="0"/>
        <w:jc w:val="left"/>
      </w:pPr>
      <w:r>
        <w:rPr>
          <w:rFonts w:ascii="Arial" w:hAnsi="Arial" w:eastAsia="等线" w:cs="Arial"/>
          <w:b/>
          <w:sz w:val="22"/>
        </w:rPr>
        <w:t>质谱的精确验证与定量：</w:t>
      </w:r>
      <w:r>
        <w:rPr>
          <w:rFonts w:ascii="Arial" w:hAnsi="Arial" w:eastAsia="等线" w:cs="Arial"/>
          <w:sz w:val="22"/>
        </w:rPr>
        <w:t xml:space="preserve"> 质谱分析作为修饰检测的“金标准”，被用于精确验证DRS的修饰预测。通过高分辨率质谱（如LC-MS/MS）对特定的tRNA片段进行分析，能够实现对修饰的精确分子量测定和定量。本研究通过质谱对一些难以用DRS独立鉴定的修饰进行了确认和定量。</w:t>
      </w:r>
    </w:p>
    <w:p>
      <w:pPr>
        <w:numPr>
          <w:ilvl w:val="0"/>
          <w:numId w:val="18"/>
        </w:numPr>
        <w:spacing w:before="120" w:after="120" w:line="288" w:lineRule="auto"/>
        <w:ind w:left="0"/>
        <w:jc w:val="left"/>
      </w:pPr>
      <w:r>
        <w:rPr>
          <w:rFonts w:ascii="Arial" w:hAnsi="Arial" w:eastAsia="等线" w:cs="Arial"/>
          <w:b/>
          <w:sz w:val="22"/>
        </w:rPr>
        <w:t>互补性整合：</w:t>
      </w:r>
      <w:r>
        <w:rPr>
          <w:rFonts w:ascii="Arial" w:hAnsi="Arial" w:eastAsia="等线" w:cs="Arial"/>
          <w:sz w:val="22"/>
        </w:rPr>
        <w:t xml:space="preserve"> 该研究的精妙之处在于将三种技术的优势互补：DRS提供高通量的直接修饰信号，遗传学提供修饰的基因背景验证，而质谱提供高精度的化学结构确认和定量。这种多维度的数据整合，极大地提高了修饰识别的准确性和可靠性。例如，文章展示了DRS如何检测到修饰引起的电信号变化，并通过遗传学和质谱加以验证，从而推断出特定的修饰（如Ψ和D）的存在及其位置。</w:t>
      </w:r>
    </w:p>
    <w:p>
      <w:pPr>
        <w:spacing w:before="120" w:after="120" w:line="288" w:lineRule="auto"/>
        <w:ind w:left="0"/>
        <w:jc w:val="left"/>
      </w:pPr>
      <w:r>
        <w:rPr>
          <w:rFonts w:ascii="Arial" w:hAnsi="Arial" w:eastAsia="等线" w:cs="Arial"/>
          <w:b/>
          <w:sz w:val="22"/>
        </w:rPr>
        <w:t>价值：开启tRNA修饰组学研究的新篇章</w:t>
      </w:r>
    </w:p>
    <w:p>
      <w:pPr>
        <w:spacing w:before="120" w:after="120" w:line="288" w:lineRule="auto"/>
        <w:ind w:left="0"/>
        <w:jc w:val="left"/>
      </w:pPr>
      <w:r>
        <w:rPr>
          <w:rFonts w:ascii="Arial" w:hAnsi="Arial" w:eastAsia="等线" w:cs="Arial"/>
          <w:sz w:val="22"/>
        </w:rPr>
        <w:t>这项研究的突破性进展，为tRNA修饰组学研究带来了深远价值：</w:t>
      </w:r>
    </w:p>
    <w:p>
      <w:pPr>
        <w:numPr>
          <w:ilvl w:val="0"/>
          <w:numId w:val="19"/>
        </w:numPr>
        <w:spacing w:before="120" w:after="120" w:line="288" w:lineRule="auto"/>
        <w:ind w:left="0"/>
        <w:jc w:val="left"/>
      </w:pPr>
      <w:r>
        <w:rPr>
          <w:rFonts w:ascii="Arial" w:hAnsi="Arial" w:eastAsia="等线" w:cs="Arial"/>
          <w:b/>
          <w:sz w:val="22"/>
        </w:rPr>
        <w:t>高通量全面解析tRNA修饰图谱：</w:t>
      </w:r>
      <w:r>
        <w:rPr>
          <w:rFonts w:ascii="Arial" w:hAnsi="Arial" w:eastAsia="等线" w:cs="Arial"/>
          <w:sz w:val="22"/>
        </w:rPr>
        <w:t xml:space="preserve"> 该方法首次实现了对42种酵母tRNA异源受体T-loop区域的近乎全面的修饰图谱分析，揭示了以前难以察觉的修饰位点和类型，极大地拓展了我们对tRNA修饰多样性的认知。</w:t>
      </w:r>
    </w:p>
    <w:p>
      <w:pPr>
        <w:numPr>
          <w:ilvl w:val="0"/>
          <w:numId w:val="20"/>
        </w:numPr>
        <w:spacing w:before="120" w:after="120" w:line="288" w:lineRule="auto"/>
        <w:ind w:left="0"/>
        <w:jc w:val="left"/>
      </w:pPr>
      <w:r>
        <w:rPr>
          <w:rFonts w:ascii="Arial" w:hAnsi="Arial" w:eastAsia="等线" w:cs="Arial"/>
          <w:b/>
          <w:sz w:val="22"/>
        </w:rPr>
        <w:t>提高修饰识别的准确性与特异性：</w:t>
      </w:r>
      <w:r>
        <w:rPr>
          <w:rFonts w:ascii="Arial" w:hAnsi="Arial" w:eastAsia="等线" w:cs="Arial"/>
          <w:sz w:val="22"/>
        </w:rPr>
        <w:t xml:space="preserve"> 通过结合DRS的直接检测优势、遗传学的基因背景验证和质谱的金标准确认，该方法显著提升了tRNA修饰识别的准确性和特异性，有效解决了传统方法中修饰区分不清、假阳性率高的问题。</w:t>
      </w:r>
    </w:p>
    <w:p>
      <w:pPr>
        <w:numPr>
          <w:ilvl w:val="0"/>
          <w:numId w:val="21"/>
        </w:numPr>
        <w:spacing w:before="120" w:after="120" w:line="288" w:lineRule="auto"/>
        <w:ind w:left="0"/>
        <w:jc w:val="left"/>
      </w:pPr>
      <w:r>
        <w:rPr>
          <w:rFonts w:ascii="Arial" w:hAnsi="Arial" w:eastAsia="等线" w:cs="Arial"/>
          <w:b/>
          <w:sz w:val="22"/>
        </w:rPr>
        <w:t>推动复杂生物学问题的解决：</w:t>
      </w:r>
      <w:r>
        <w:rPr>
          <w:rFonts w:ascii="Arial" w:hAnsi="Arial" w:eastAsia="等线" w:cs="Arial"/>
          <w:sz w:val="22"/>
        </w:rPr>
        <w:t xml:space="preserve"> 能够精确解析tRNA修饰，对于深入理解tRNA在翻译调控、应激响应、疾病发生发展（如癌症、神经退行性疾病）中的作用至关重要。例如，了解tRNA修饰如何影响翻译效率或基因表达，可以为药物开发和疾病治疗提供新靶点。</w:t>
      </w:r>
    </w:p>
    <w:p>
      <w:pPr>
        <w:numPr>
          <w:ilvl w:val="0"/>
          <w:numId w:val="22"/>
        </w:numPr>
        <w:spacing w:before="120" w:after="120" w:line="288" w:lineRule="auto"/>
        <w:ind w:left="0"/>
        <w:jc w:val="left"/>
      </w:pPr>
      <w:r>
        <w:rPr>
          <w:rFonts w:ascii="Arial" w:hAnsi="Arial" w:eastAsia="等线" w:cs="Arial"/>
          <w:b/>
          <w:sz w:val="22"/>
        </w:rPr>
        <w:t>为DRS应用树立典范：</w:t>
      </w:r>
      <w:r>
        <w:rPr>
          <w:rFonts w:ascii="Arial" w:hAnsi="Arial" w:eastAsia="等线" w:cs="Arial"/>
          <w:sz w:val="22"/>
        </w:rPr>
        <w:t xml:space="preserve"> 本研究不仅展示了Nanopore DRS在核酸修饰检测领域的强大潜力，也为其他复杂核酸修饰（如mRNA修饰）的研究提供了借鉴和范式。其多技术整合的思路，为未来生命科学研究提供了新的策略。</w:t>
      </w:r>
    </w:p>
    <w:p>
      <w:pPr>
        <w:numPr>
          <w:ilvl w:val="0"/>
          <w:numId w:val="23"/>
        </w:numPr>
        <w:spacing w:before="120" w:after="120" w:line="288" w:lineRule="auto"/>
        <w:ind w:left="0"/>
        <w:jc w:val="left"/>
      </w:pPr>
      <w:r>
        <w:rPr>
          <w:rFonts w:ascii="Arial" w:hAnsi="Arial" w:eastAsia="等线" w:cs="Arial"/>
          <w:b/>
          <w:sz w:val="22"/>
        </w:rPr>
        <w:t>节约时间和资源：</w:t>
      </w:r>
      <w:r>
        <w:rPr>
          <w:rFonts w:ascii="Arial" w:hAnsi="Arial" w:eastAsia="等线" w:cs="Arial"/>
          <w:sz w:val="22"/>
        </w:rPr>
        <w:t xml:space="preserve"> 相较于传统方法的繁琐步骤和高耗时，DRS的直接性可以显著缩短实验周期，提高研究效率。虽然初期投入可能较高，但长期来看，其带来的高通量和高准确性将节约大量时间和资源。</w:t>
      </w:r>
    </w:p>
    <w:p>
      <w:pPr>
        <w:spacing w:before="120" w:after="120" w:line="288" w:lineRule="auto"/>
        <w:ind w:left="0"/>
        <w:jc w:val="left"/>
      </w:pPr>
      <w:r>
        <w:rPr>
          <w:rFonts w:ascii="Arial" w:hAnsi="Arial" w:eastAsia="等线" w:cs="Arial"/>
          <w:sz w:val="22"/>
        </w:rPr>
        <w:t>总之，这项研究以其创新的技术整合和对tRNA修饰解析的深入贡献，无疑是Nanopore DRS在生命科学领域应用的又一里程碑式案例，为未来核酸修饰研究奠定了坚实基础。</w:t>
      </w:r>
    </w:p>
    <w:p>
      <w:pPr>
        <w:spacing w:before="120" w:after="120" w:line="288" w:lineRule="auto"/>
        <w:ind w:left="0"/>
        <w:jc w:val="center"/>
      </w:pPr>
      <w:r>
        <w:drawing>
          <wp:inline distT="0" distB="0" distL="0" distR="0">
            <wp:extent cx="5257800" cy="2066925"/>
            <wp:effectExtent l="0" t="0" r="0" b="9525"/>
            <wp:docPr id="4" name="Draw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awing 3"/>
                    <pic:cNvPicPr>
                      <a:picLocks noChangeAspect="1"/>
                    </pic:cNvPicPr>
                  </pic:nvPicPr>
                  <pic:blipFill>
                    <a:blip r:embed="rId9"/>
                    <a:stretch>
                      <a:fillRect/>
                    </a:stretch>
                  </pic:blipFill>
                  <pic:spPr>
                    <a:xfrm>
                      <a:off x="0" y="0"/>
                      <a:ext cx="5257800" cy="2066925"/>
                    </a:xfrm>
                    <a:prstGeom prst="rect">
                      <a:avLst/>
                    </a:prstGeom>
                  </pic:spPr>
                </pic:pic>
              </a:graphicData>
            </a:graphic>
          </wp:inline>
        </w:drawing>
      </w:r>
    </w:p>
    <w:p>
      <w:pPr>
        <w:spacing w:before="120" w:after="120" w:line="288" w:lineRule="auto"/>
        <w:ind w:left="0"/>
        <w:jc w:val="left"/>
      </w:pPr>
    </w:p>
    <w:p>
      <w:pPr>
        <w:spacing w:before="320" w:after="120" w:line="288" w:lineRule="auto"/>
        <w:ind w:left="0"/>
        <w:jc w:val="left"/>
        <w:outlineLvl w:val="1"/>
      </w:pPr>
      <w:bookmarkStart w:id="5" w:name="heading_6"/>
      <w:r>
        <w:rPr>
          <w:rFonts w:ascii="Arial" w:hAnsi="Arial" w:eastAsia="等线" w:cs="Arial"/>
          <w:b/>
          <w:sz w:val="32"/>
        </w:rPr>
        <w:t>案例五：纳米孔DRS揭示生理条件下组织特异性RNA图谱与动态修饰</w:t>
      </w:r>
      <w:bookmarkEnd w:id="5"/>
    </w:p>
    <w:p>
      <w:pPr>
        <w:spacing w:before="120" w:after="120" w:line="288" w:lineRule="auto"/>
        <w:ind w:left="0"/>
        <w:jc w:val="left"/>
      </w:pPr>
      <w:r>
        <w:rPr>
          <w:rFonts w:ascii="Arial" w:hAnsi="Arial" w:eastAsia="等线" w:cs="Arial"/>
          <w:sz w:val="22"/>
        </w:rPr>
        <w:t xml:space="preserve">文章标题： Unveiling Tissue-Specific RNA Landscapes in Mouse Organs During Fasting and Feeding Using Nanopore Direct RNA Sequencing </w:t>
      </w:r>
    </w:p>
    <w:p>
      <w:pPr>
        <w:spacing w:before="120" w:after="120" w:line="288" w:lineRule="auto"/>
        <w:ind w:left="0"/>
        <w:jc w:val="left"/>
      </w:pPr>
      <w:r>
        <w:rPr>
          <w:rFonts w:ascii="Arial" w:hAnsi="Arial" w:eastAsia="等线" w:cs="Arial"/>
          <w:sz w:val="22"/>
        </w:rPr>
        <w:t>发表期刊： Advanced Science (Weinheim)</w:t>
      </w:r>
    </w:p>
    <w:p>
      <w:pPr>
        <w:spacing w:before="120" w:after="120" w:line="288" w:lineRule="auto"/>
        <w:ind w:left="0"/>
        <w:jc w:val="left"/>
      </w:pPr>
      <w:r>
        <w:rPr>
          <w:rFonts w:ascii="Arial" w:hAnsi="Arial" w:eastAsia="等线" w:cs="Arial"/>
          <w:sz w:val="22"/>
        </w:rPr>
        <w:t>影响因子： 14.3</w:t>
      </w:r>
    </w:p>
    <w:p>
      <w:pPr>
        <w:spacing w:before="120" w:after="120" w:line="288" w:lineRule="auto"/>
        <w:ind w:left="0"/>
        <w:jc w:val="left"/>
      </w:pPr>
      <w:r>
        <w:rPr>
          <w:rFonts w:ascii="Arial" w:hAnsi="Arial" w:eastAsia="等线" w:cs="Arial"/>
          <w:sz w:val="22"/>
        </w:rPr>
        <w:t>发表年份： 2025</w:t>
      </w:r>
    </w:p>
    <w:p>
      <w:pPr>
        <w:spacing w:before="120" w:after="120" w:line="288" w:lineRule="auto"/>
        <w:ind w:left="0"/>
        <w:jc w:val="left"/>
      </w:pPr>
      <w:r>
        <w:rPr>
          <w:rFonts w:ascii="Arial" w:hAnsi="Arial" w:eastAsia="等线" w:cs="Arial"/>
          <w:b/>
          <w:sz w:val="22"/>
        </w:rPr>
        <w:t>痛点：传统RNA测序难以全面解析组织特异性RNA全景及动态修饰</w:t>
      </w:r>
    </w:p>
    <w:p>
      <w:pPr>
        <w:spacing w:before="120" w:after="120" w:line="288" w:lineRule="auto"/>
        <w:ind w:left="0"/>
        <w:jc w:val="left"/>
      </w:pPr>
      <w:r>
        <w:rPr>
          <w:rFonts w:ascii="Arial" w:hAnsi="Arial" w:eastAsia="等线" w:cs="Arial"/>
          <w:sz w:val="22"/>
        </w:rPr>
        <w:t>理解哺乳动物关键器官的功能机制，需要深入剖析其组织特异性的RNA图谱。然而，长期以来，主流的短读长RNA测序（Short-read RNA-seq）在面对复杂转录组时暴露出诸多局限性：</w:t>
      </w:r>
    </w:p>
    <w:p>
      <w:pPr>
        <w:numPr>
          <w:ilvl w:val="0"/>
          <w:numId w:val="24"/>
        </w:numPr>
        <w:spacing w:before="120" w:after="120" w:line="288" w:lineRule="auto"/>
        <w:ind w:left="0"/>
        <w:jc w:val="left"/>
      </w:pPr>
      <w:r>
        <w:rPr>
          <w:rFonts w:ascii="Arial" w:hAnsi="Arial" w:eastAsia="等线" w:cs="Arial"/>
          <w:b/>
          <w:sz w:val="22"/>
        </w:rPr>
        <w:t>依赖不完整基因注释：</w:t>
      </w:r>
      <w:r>
        <w:rPr>
          <w:rFonts w:ascii="Arial" w:hAnsi="Arial" w:eastAsia="等线" w:cs="Arial"/>
          <w:sz w:val="22"/>
        </w:rPr>
        <w:t xml:space="preserve"> 短读长测序片段化，需要依赖已有的基因注释进行拼接，对于未知或低表达的新型转录本的发现能力有限。</w:t>
      </w:r>
    </w:p>
    <w:p>
      <w:pPr>
        <w:numPr>
          <w:ilvl w:val="0"/>
          <w:numId w:val="25"/>
        </w:numPr>
        <w:spacing w:before="120" w:after="120" w:line="288" w:lineRule="auto"/>
        <w:ind w:left="0"/>
        <w:jc w:val="left"/>
      </w:pPr>
      <w:r>
        <w:rPr>
          <w:rFonts w:ascii="Arial" w:hAnsi="Arial" w:eastAsia="等线" w:cs="Arial"/>
          <w:b/>
          <w:sz w:val="22"/>
        </w:rPr>
        <w:t>无法解析复杂转录本异构体：</w:t>
      </w:r>
      <w:r>
        <w:rPr>
          <w:rFonts w:ascii="Arial" w:hAnsi="Arial" w:eastAsia="等线" w:cs="Arial"/>
          <w:sz w:val="22"/>
        </w:rPr>
        <w:t xml:space="preserve"> 许多基因通过可变剪接产生多种转录本异构体，短读长难以准确识别和定量这些完整的异构体，从而掩盖了其在组织特异性功能中的作用。</w:t>
      </w:r>
    </w:p>
    <w:p>
      <w:pPr>
        <w:numPr>
          <w:ilvl w:val="0"/>
          <w:numId w:val="26"/>
        </w:numPr>
        <w:spacing w:before="120" w:after="120" w:line="288" w:lineRule="auto"/>
        <w:ind w:left="0"/>
        <w:jc w:val="left"/>
      </w:pPr>
      <w:r>
        <w:rPr>
          <w:rFonts w:ascii="Arial" w:hAnsi="Arial" w:eastAsia="等线" w:cs="Arial"/>
          <w:b/>
          <w:sz w:val="22"/>
        </w:rPr>
        <w:t>无法直接检测RNA修饰：</w:t>
      </w:r>
      <w:r>
        <w:rPr>
          <w:rFonts w:ascii="Arial" w:hAnsi="Arial" w:eastAsia="等线" w:cs="Arial"/>
          <w:sz w:val="22"/>
        </w:rPr>
        <w:t xml:space="preserve"> 短读长测序通常需要将RNA逆转录成cDNA，这使得对RNA的直接修饰（如m6A）以及聚A尾长度的分析变得困难或需要额外的复杂步骤。而这些修饰和结构特征在基因表达调控中扮演着重要角色。</w:t>
      </w:r>
    </w:p>
    <w:p>
      <w:pPr>
        <w:numPr>
          <w:ilvl w:val="0"/>
          <w:numId w:val="27"/>
        </w:numPr>
        <w:spacing w:before="120" w:after="120" w:line="288" w:lineRule="auto"/>
        <w:ind w:left="0"/>
        <w:jc w:val="left"/>
      </w:pPr>
      <w:r>
        <w:rPr>
          <w:rFonts w:ascii="Arial" w:hAnsi="Arial" w:eastAsia="等线" w:cs="Arial"/>
          <w:b/>
          <w:sz w:val="22"/>
        </w:rPr>
        <w:t>动态生理条件下RNA变化的洞察不足：</w:t>
      </w:r>
      <w:r>
        <w:rPr>
          <w:rFonts w:ascii="Arial" w:hAnsi="Arial" w:eastAsia="等线" w:cs="Arial"/>
          <w:sz w:val="22"/>
        </w:rPr>
        <w:t xml:space="preserve"> 在饥饿与饱食等重要生理状态下，器官内的RNA图谱会发生显著变化，但传统方法难以全面、准确地捕捉到这些细微且动态的改变。</w:t>
      </w:r>
    </w:p>
    <w:p>
      <w:pPr>
        <w:spacing w:before="120" w:after="120" w:line="288" w:lineRule="auto"/>
        <w:ind w:left="0"/>
        <w:jc w:val="left"/>
      </w:pPr>
      <w:r>
        <w:rPr>
          <w:rFonts w:ascii="Arial" w:hAnsi="Arial" w:eastAsia="等线" w:cs="Arial"/>
          <w:sz w:val="22"/>
        </w:rPr>
        <w:t>这些局限性导致我们对哺乳动物器官中转录组的理解不够深入和完整，阻碍了对复杂生理过程和疾病机制的全面认识。</w:t>
      </w:r>
    </w:p>
    <w:p>
      <w:pPr>
        <w:spacing w:before="120" w:after="120" w:line="288" w:lineRule="auto"/>
        <w:ind w:left="0"/>
        <w:jc w:val="left"/>
      </w:pPr>
      <w:r>
        <w:rPr>
          <w:rFonts w:ascii="Arial" w:hAnsi="Arial" w:eastAsia="等线" w:cs="Arial"/>
          <w:b/>
          <w:sz w:val="22"/>
        </w:rPr>
        <w:t>突破：DRS整合多组学技术，全面揭示组织特异性RNA全景</w:t>
      </w:r>
    </w:p>
    <w:p>
      <w:pPr>
        <w:spacing w:before="120" w:after="120" w:line="288" w:lineRule="auto"/>
        <w:ind w:left="0"/>
        <w:jc w:val="left"/>
      </w:pPr>
      <w:r>
        <w:rPr>
          <w:rFonts w:ascii="Arial" w:hAnsi="Arial" w:eastAsia="等线" w:cs="Arial"/>
          <w:sz w:val="22"/>
        </w:rPr>
        <w:t>本研究巧妙地将</w:t>
      </w:r>
      <w:r>
        <w:rPr>
          <w:rFonts w:ascii="Arial" w:hAnsi="Arial" w:eastAsia="等线" w:cs="Arial"/>
          <w:b/>
          <w:sz w:val="22"/>
        </w:rPr>
        <w:t>纳米孔直接RNA测序（Nanopore DRS）与ATAC-Seq（染色质开放性分析）和短读长RNA-seq</w:t>
      </w:r>
      <w:r>
        <w:rPr>
          <w:rFonts w:ascii="Arial" w:hAnsi="Arial" w:eastAsia="等线" w:cs="Arial"/>
          <w:sz w:val="22"/>
        </w:rPr>
        <w:t>相结合，构建了一个强大的整合方法，从而克服了传统方法的痛点，实现了对小鼠器官在饥饿和饱食状态下组织特异性RNA图谱的全面解析。其主要突破在于：</w:t>
      </w:r>
    </w:p>
    <w:p>
      <w:pPr>
        <w:numPr>
          <w:ilvl w:val="0"/>
          <w:numId w:val="28"/>
        </w:numPr>
        <w:spacing w:before="120" w:after="120" w:line="288" w:lineRule="auto"/>
        <w:ind w:left="0"/>
        <w:jc w:val="left"/>
      </w:pPr>
      <w:r>
        <w:rPr>
          <w:rFonts w:ascii="Arial" w:hAnsi="Arial" w:eastAsia="等线" w:cs="Arial"/>
          <w:b/>
          <w:sz w:val="22"/>
        </w:rPr>
        <w:t>DRS直接捕获完整转录本异构体：</w:t>
      </w:r>
      <w:r>
        <w:rPr>
          <w:rFonts w:ascii="Arial" w:hAnsi="Arial" w:eastAsia="等线" w:cs="Arial"/>
          <w:sz w:val="22"/>
        </w:rPr>
        <w:t xml:space="preserve"> Nanopore DRS能够直接测序完整的RNA分子，从而无需拼接即可准确识别和定量各种复杂的转录本异构体，甚至发现数万个以前未知的、组织特异性的新型转录本。这极大地丰富了对特定器官RNA图谱的认知。</w:t>
      </w:r>
    </w:p>
    <w:p>
      <w:pPr>
        <w:numPr>
          <w:ilvl w:val="0"/>
          <w:numId w:val="29"/>
        </w:numPr>
        <w:spacing w:before="120" w:after="120" w:line="288" w:lineRule="auto"/>
        <w:ind w:left="0"/>
        <w:jc w:val="left"/>
      </w:pPr>
      <w:r>
        <w:rPr>
          <w:rFonts w:ascii="Arial" w:hAnsi="Arial" w:eastAsia="等线" w:cs="Arial"/>
          <w:b/>
          <w:sz w:val="22"/>
        </w:rPr>
        <w:t>直接检测RNA修饰与Poly(A)尾长度：</w:t>
      </w:r>
      <w:r>
        <w:rPr>
          <w:rFonts w:ascii="Arial" w:hAnsi="Arial" w:eastAsia="等线" w:cs="Arial"/>
          <w:sz w:val="22"/>
        </w:rPr>
        <w:t xml:space="preserve"> DRS的“直接”特性使其能够在测序过程中直接检测到RNA分子上的修饰（如m6A）以及Poly(A)尾的长度变化。研究发现，在饥饿和饱食状态下，许多转录本的Poly(A)尾长度和m6A修饰都发生了动态变化，这些变化可能调控了mRNA的稳定性和翻译效率，揭示了新的调控层面。</w:t>
      </w:r>
    </w:p>
    <w:p>
      <w:pPr>
        <w:numPr>
          <w:ilvl w:val="0"/>
          <w:numId w:val="30"/>
        </w:numPr>
        <w:spacing w:before="120" w:after="120" w:line="288" w:lineRule="auto"/>
        <w:ind w:left="0"/>
        <w:jc w:val="left"/>
      </w:pPr>
      <w:r>
        <w:rPr>
          <w:rFonts w:ascii="Arial" w:hAnsi="Arial" w:eastAsia="等线" w:cs="Arial"/>
          <w:b/>
          <w:sz w:val="22"/>
        </w:rPr>
        <w:t>整合多组学数据增强分析深度：</w:t>
      </w:r>
      <w:r>
        <w:rPr>
          <w:rFonts w:ascii="Arial" w:hAnsi="Arial" w:eastAsia="等线" w:cs="Arial"/>
          <w:sz w:val="22"/>
        </w:rPr>
        <w:t xml:space="preserve"> 通过结合ATAC-Seq数据，研究者能够将转录本的表达与染色质可及性联系起来，进一步理解基因表达的表观遗传调控。同时，短读长RNA-seq的数据作为补充，验证了DRS的基因表达定量结果，确保了分析的全面性和准确性。</w:t>
      </w:r>
    </w:p>
    <w:p>
      <w:pPr>
        <w:numPr>
          <w:ilvl w:val="0"/>
          <w:numId w:val="31"/>
        </w:numPr>
        <w:spacing w:before="120" w:after="120" w:line="288" w:lineRule="auto"/>
        <w:ind w:left="0"/>
        <w:jc w:val="left"/>
      </w:pPr>
      <w:r>
        <w:rPr>
          <w:rFonts w:ascii="Arial" w:hAnsi="Arial" w:eastAsia="等线" w:cs="Arial"/>
          <w:b/>
          <w:sz w:val="22"/>
        </w:rPr>
        <w:t>揭示生理状态下的RNA动态变化：</w:t>
      </w:r>
      <w:r>
        <w:rPr>
          <w:rFonts w:ascii="Arial" w:hAnsi="Arial" w:eastAsia="等线" w:cs="Arial"/>
          <w:sz w:val="22"/>
        </w:rPr>
        <w:t xml:space="preserve"> 研究首次在多个主要小鼠器官（肝脏、脂肪组织、骨骼肌、大脑）中，通过DRS系统地比较了饥饿和饱食两种极端热量循环状态下的RNA图谱。这不仅揭示了数百个具有组织特异性表达的基因，还发现了转录本异构体和调控在器官间的显著差异，以及生理状态下RNA修饰和Poly(A)尾长度的动态响应，为理解能量代谢调控机制提供了深刻见解。</w:t>
      </w:r>
    </w:p>
    <w:p>
      <w:pPr>
        <w:spacing w:before="120" w:after="120" w:line="288" w:lineRule="auto"/>
        <w:ind w:left="0"/>
        <w:jc w:val="left"/>
      </w:pPr>
      <w:r>
        <w:rPr>
          <w:rFonts w:ascii="Arial" w:hAnsi="Arial" w:eastAsia="等线" w:cs="Arial"/>
          <w:b/>
          <w:sz w:val="22"/>
        </w:rPr>
        <w:t>价值：深化生理代谢理解，赋能疾病机制探索</w:t>
      </w:r>
    </w:p>
    <w:p>
      <w:pPr>
        <w:spacing w:before="120" w:after="120" w:line="288" w:lineRule="auto"/>
        <w:ind w:left="0"/>
        <w:jc w:val="left"/>
      </w:pPr>
      <w:r>
        <w:rPr>
          <w:rFonts w:ascii="Arial" w:hAnsi="Arial" w:eastAsia="等线" w:cs="Arial"/>
          <w:sz w:val="22"/>
        </w:rPr>
        <w:t>本研究的突破性成果，为生命科学领域带来了多重深远价值：</w:t>
      </w:r>
    </w:p>
    <w:p>
      <w:pPr>
        <w:numPr>
          <w:ilvl w:val="0"/>
          <w:numId w:val="32"/>
        </w:numPr>
        <w:spacing w:before="120" w:after="120" w:line="288" w:lineRule="auto"/>
        <w:ind w:left="0"/>
        <w:jc w:val="left"/>
      </w:pPr>
      <w:r>
        <w:rPr>
          <w:rFonts w:ascii="Arial" w:hAnsi="Arial" w:eastAsia="等线" w:cs="Arial"/>
          <w:b/>
          <w:sz w:val="22"/>
        </w:rPr>
        <w:t>全面描绘生理条件下器官RNA图谱：</w:t>
      </w:r>
      <w:r>
        <w:rPr>
          <w:rFonts w:ascii="Arial" w:hAnsi="Arial" w:eastAsia="等线" w:cs="Arial"/>
          <w:sz w:val="22"/>
        </w:rPr>
        <w:t xml:space="preserve"> 首次系统性地揭示了小鼠在饥饿和饱食状态下多个器官的组织特异性RNA全景，包括新型转录本、可变剪接异构体以及动态的RNA修饰和Poly(A)尾长度，极大地丰富了我们对哺乳动物生理代谢调控的理解。</w:t>
      </w:r>
    </w:p>
    <w:p>
      <w:pPr>
        <w:numPr>
          <w:ilvl w:val="0"/>
          <w:numId w:val="33"/>
        </w:numPr>
        <w:spacing w:before="120" w:after="120" w:line="288" w:lineRule="auto"/>
        <w:ind w:left="0"/>
        <w:jc w:val="left"/>
      </w:pPr>
      <w:r>
        <w:rPr>
          <w:rFonts w:ascii="Arial" w:hAnsi="Arial" w:eastAsia="等线" w:cs="Arial"/>
          <w:b/>
          <w:sz w:val="22"/>
        </w:rPr>
        <w:t>揭示RNA修饰与生理调控的关联：</w:t>
      </w:r>
      <w:r>
        <w:rPr>
          <w:rFonts w:ascii="Arial" w:hAnsi="Arial" w:eastAsia="等线" w:cs="Arial"/>
          <w:sz w:val="22"/>
        </w:rPr>
        <w:t xml:space="preserve"> 通过DRS直接捕捉到m6A修饰和Poly(A)尾长度的动态变化，并将其与饥饿/饱食状态下的生理响应联系起来，为理解这些RNA修饰在基因表达调控和代谢适应中的作用提供了关键证据，开辟了新的研究方向。</w:t>
      </w:r>
    </w:p>
    <w:p>
      <w:pPr>
        <w:numPr>
          <w:ilvl w:val="0"/>
          <w:numId w:val="34"/>
        </w:numPr>
        <w:spacing w:before="120" w:after="120" w:line="288" w:lineRule="auto"/>
        <w:ind w:left="0"/>
        <w:jc w:val="left"/>
      </w:pPr>
      <w:r>
        <w:rPr>
          <w:rFonts w:ascii="Arial" w:hAnsi="Arial" w:eastAsia="等线" w:cs="Arial"/>
          <w:b/>
          <w:sz w:val="22"/>
        </w:rPr>
        <w:t>为疾病研究提供新视角：</w:t>
      </w:r>
      <w:r>
        <w:rPr>
          <w:rFonts w:ascii="Arial" w:hAnsi="Arial" w:eastAsia="等线" w:cs="Arial"/>
          <w:sz w:val="22"/>
        </w:rPr>
        <w:t xml:space="preserve"> 许多代谢性疾病（如糖尿病、肥胖）与能量代谢失衡密切相关。本研究揭示的组织特异性RNA景观和动态调控机制，将为这些疾病的发病机制研究和潜在治疗靶点发现提供重要的生物学依据。</w:t>
      </w:r>
    </w:p>
    <w:p>
      <w:pPr>
        <w:numPr>
          <w:ilvl w:val="0"/>
          <w:numId w:val="35"/>
        </w:numPr>
        <w:spacing w:before="120" w:after="120" w:line="288" w:lineRule="auto"/>
        <w:ind w:left="0"/>
        <w:jc w:val="left"/>
      </w:pPr>
      <w:r>
        <w:rPr>
          <w:rFonts w:ascii="Arial" w:hAnsi="Arial" w:eastAsia="等线" w:cs="Arial"/>
          <w:b/>
          <w:sz w:val="22"/>
        </w:rPr>
        <w:t>确立DRS在转录组研究中的核心地位：</w:t>
      </w:r>
      <w:r>
        <w:rPr>
          <w:rFonts w:ascii="Arial" w:hAnsi="Arial" w:eastAsia="等线" w:cs="Arial"/>
          <w:sz w:val="22"/>
        </w:rPr>
        <w:t xml:space="preserve"> 本文成功展示了Nanopore DRS在发现新型转录本、解析复杂异构体和直接检测RNA修饰方面的独特且不可替代的优势，进一步巩固了DRS在现代转录组学研究中的核心地位，尤其是在需要直接获取RNA分子信息的场景。</w:t>
      </w:r>
    </w:p>
    <w:p>
      <w:pPr>
        <w:numPr>
          <w:ilvl w:val="0"/>
          <w:numId w:val="36"/>
        </w:numPr>
        <w:spacing w:before="120" w:after="120" w:line="288" w:lineRule="auto"/>
        <w:ind w:left="0"/>
        <w:jc w:val="left"/>
      </w:pPr>
      <w:r>
        <w:rPr>
          <w:rFonts w:ascii="Arial" w:hAnsi="Arial" w:eastAsia="等线" w:cs="Arial"/>
          <w:b/>
          <w:sz w:val="22"/>
        </w:rPr>
        <w:t>推动多组学整合研究：</w:t>
      </w:r>
      <w:r>
        <w:rPr>
          <w:rFonts w:ascii="Arial" w:hAnsi="Arial" w:eastAsia="等线" w:cs="Arial"/>
          <w:sz w:val="22"/>
        </w:rPr>
        <w:t xml:space="preserve"> 本研究提供了一个成功的范例，展示了DRS与其他组学技术（如ATAC-Seq和短读长RNA-seq）整合的巨大潜力，鼓励研究人员在未来的研究中采取更全面、多维度的策略，以解决复杂的生物学问题。</w:t>
      </w:r>
    </w:p>
    <w:p>
      <w:pPr>
        <w:spacing w:before="120" w:after="120" w:line="288" w:lineRule="auto"/>
        <w:ind w:left="0"/>
        <w:jc w:val="left"/>
      </w:pPr>
      <w:r>
        <w:rPr>
          <w:rFonts w:ascii="Arial" w:hAnsi="Arial" w:eastAsia="等线" w:cs="Arial"/>
          <w:sz w:val="22"/>
        </w:rPr>
        <w:t>总而言之，这项研究不仅通过先进的DRS技术揭示了小鼠器官在不同生理状态下丰富的RNA景观和动态调控网络，也为我们理解生命活动的复杂性提供了新的见解，无疑是DRS在生理学和代谢研究领域应用的又一典范。</w:t>
      </w:r>
    </w:p>
    <w:p>
      <w:pPr>
        <w:spacing w:before="120" w:after="120" w:line="288" w:lineRule="auto"/>
        <w:ind w:left="0"/>
        <w:jc w:val="center"/>
      </w:pPr>
      <w:r>
        <w:drawing>
          <wp:inline distT="0" distB="0" distL="0" distR="0">
            <wp:extent cx="1819275" cy="7905750"/>
            <wp:effectExtent l="0" t="0" r="9525" b="0"/>
            <wp:docPr id="5" name="Draw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rawing 4"/>
                    <pic:cNvPicPr>
                      <a:picLocks noChangeAspect="1"/>
                    </pic:cNvPicPr>
                  </pic:nvPicPr>
                  <pic:blipFill>
                    <a:blip r:embed="rId10"/>
                    <a:stretch>
                      <a:fillRect/>
                    </a:stretch>
                  </pic:blipFill>
                  <pic:spPr>
                    <a:xfrm>
                      <a:off x="0" y="0"/>
                      <a:ext cx="1819275" cy="7905750"/>
                    </a:xfrm>
                    <a:prstGeom prst="rect">
                      <a:avLst/>
                    </a:prstGeom>
                  </pic:spPr>
                </pic:pic>
              </a:graphicData>
            </a:graphic>
          </wp:inline>
        </w:drawing>
      </w:r>
    </w:p>
    <w:p>
      <w:pPr>
        <w:spacing w:before="120" w:after="120" w:line="288" w:lineRule="auto"/>
        <w:ind w:left="0"/>
        <w:jc w:val="left"/>
      </w:pPr>
    </w:p>
    <w:p>
      <w:pPr>
        <w:spacing w:before="320" w:after="120" w:line="288" w:lineRule="auto"/>
        <w:ind w:left="0"/>
        <w:jc w:val="left"/>
        <w:outlineLvl w:val="1"/>
      </w:pPr>
      <w:bookmarkStart w:id="6" w:name="heading_7"/>
      <w:r>
        <w:rPr>
          <w:rFonts w:ascii="Arial" w:hAnsi="Arial" w:eastAsia="等线" w:cs="Arial"/>
          <w:b/>
          <w:sz w:val="32"/>
        </w:rPr>
        <w:t>案例六：纳米孔DRS揭示生理条件下组织特异性RNA图谱与动态修饰</w:t>
      </w:r>
      <w:bookmarkEnd w:id="6"/>
    </w:p>
    <w:p>
      <w:pPr>
        <w:spacing w:before="120" w:after="120" w:line="288" w:lineRule="auto"/>
        <w:ind w:left="0"/>
        <w:jc w:val="left"/>
      </w:pPr>
      <w:r>
        <w:rPr>
          <w:rFonts w:ascii="Arial" w:hAnsi="Arial" w:eastAsia="等线" w:cs="Arial"/>
          <w:sz w:val="22"/>
        </w:rPr>
        <w:t xml:space="preserve">文章标题： Comprehensive genome annotation of the model ciliate </w:t>
      </w:r>
      <w:r>
        <w:rPr>
          <w:rFonts w:ascii="Arial" w:hAnsi="Arial" w:eastAsia="等线" w:cs="Arial"/>
          <w:i/>
          <w:sz w:val="22"/>
        </w:rPr>
        <w:t>Tetrahymena thermophila</w:t>
      </w:r>
      <w:r>
        <w:rPr>
          <w:rFonts w:ascii="Arial" w:hAnsi="Arial" w:eastAsia="等线" w:cs="Arial"/>
          <w:sz w:val="22"/>
        </w:rPr>
        <w:t xml:space="preserve"> by in-depth epigenetic and transcriptomic profiling </w:t>
      </w:r>
    </w:p>
    <w:p>
      <w:pPr>
        <w:spacing w:before="120" w:after="120" w:line="288" w:lineRule="auto"/>
        <w:ind w:left="0"/>
        <w:jc w:val="left"/>
      </w:pPr>
      <w:r>
        <w:rPr>
          <w:rFonts w:ascii="Arial" w:hAnsi="Arial" w:eastAsia="等线" w:cs="Arial"/>
          <w:sz w:val="22"/>
        </w:rPr>
        <w:t>发表期刊： Nucleic Acids Research</w:t>
      </w:r>
    </w:p>
    <w:p>
      <w:pPr>
        <w:spacing w:before="120" w:after="120" w:line="288" w:lineRule="auto"/>
        <w:ind w:left="0"/>
        <w:jc w:val="left"/>
      </w:pPr>
      <w:r>
        <w:rPr>
          <w:rFonts w:ascii="Arial" w:hAnsi="Arial" w:eastAsia="等线" w:cs="Arial"/>
          <w:sz w:val="22"/>
        </w:rPr>
        <w:t>影响因子： 16.7</w:t>
      </w:r>
    </w:p>
    <w:p>
      <w:pPr>
        <w:spacing w:before="120" w:after="120" w:line="288" w:lineRule="auto"/>
        <w:ind w:left="0"/>
        <w:jc w:val="left"/>
      </w:pPr>
      <w:r>
        <w:rPr>
          <w:rFonts w:ascii="Arial" w:hAnsi="Arial" w:eastAsia="等线" w:cs="Arial"/>
          <w:sz w:val="22"/>
        </w:rPr>
        <w:t>发表年份： 2025</w:t>
      </w:r>
    </w:p>
    <w:p>
      <w:pPr>
        <w:spacing w:before="120" w:after="120" w:line="288" w:lineRule="auto"/>
        <w:ind w:left="0"/>
        <w:jc w:val="left"/>
      </w:pPr>
      <w:r>
        <w:rPr>
          <w:rFonts w:ascii="Arial" w:hAnsi="Arial" w:eastAsia="等线" w:cs="Arial"/>
          <w:b/>
          <w:sz w:val="22"/>
        </w:rPr>
        <w:t>痛点：模式生物基因组注释不完善，阻碍复杂生物学机制研究</w:t>
      </w:r>
    </w:p>
    <w:p>
      <w:pPr>
        <w:spacing w:before="120" w:after="120" w:line="288" w:lineRule="auto"/>
        <w:ind w:left="0"/>
        <w:jc w:val="left"/>
      </w:pPr>
      <w:r>
        <w:rPr>
          <w:rFonts w:ascii="Arial" w:hAnsi="Arial" w:eastAsia="等线" w:cs="Arial"/>
          <w:sz w:val="22"/>
        </w:rPr>
        <w:t>模式生物，如四膜虫 (Tetrahymena thermophila)，是研究基本生命过程（如基因表达调控、表观遗传学、基因组重排等）的宝贵模型。然而，即使是这些研究充分的模式生物，其基因组注释仍然面临诸多挑战：</w:t>
      </w:r>
    </w:p>
    <w:p>
      <w:pPr>
        <w:numPr>
          <w:ilvl w:val="0"/>
          <w:numId w:val="37"/>
        </w:numPr>
        <w:spacing w:before="120" w:after="120" w:line="288" w:lineRule="auto"/>
        <w:ind w:left="0"/>
        <w:jc w:val="left"/>
      </w:pPr>
      <w:r>
        <w:rPr>
          <w:rFonts w:ascii="Arial" w:hAnsi="Arial" w:eastAsia="等线" w:cs="Arial"/>
          <w:b/>
          <w:sz w:val="22"/>
        </w:rPr>
        <w:t>注释不完整：</w:t>
      </w:r>
      <w:r>
        <w:rPr>
          <w:rFonts w:ascii="Arial" w:hAnsi="Arial" w:eastAsia="等线" w:cs="Arial"/>
          <w:sz w:val="22"/>
        </w:rPr>
        <w:t xml:space="preserve"> 现有基因组注释通常基于短读长测序和生物信息学预测，难以完整识别和区分所有转录本异构体，尤其是低表达、非编码RNA以及具有复杂剪接模式的转录本。</w:t>
      </w:r>
    </w:p>
    <w:p>
      <w:pPr>
        <w:numPr>
          <w:ilvl w:val="0"/>
          <w:numId w:val="38"/>
        </w:numPr>
        <w:spacing w:before="120" w:after="120" w:line="288" w:lineRule="auto"/>
        <w:ind w:left="0"/>
        <w:jc w:val="left"/>
      </w:pPr>
      <w:r>
        <w:rPr>
          <w:rFonts w:ascii="Arial" w:hAnsi="Arial" w:eastAsia="等线" w:cs="Arial"/>
          <w:b/>
          <w:sz w:val="22"/>
        </w:rPr>
        <w:t>无法精确识别起始和终止位点：</w:t>
      </w:r>
      <w:r>
        <w:rPr>
          <w:rFonts w:ascii="Arial" w:hAnsi="Arial" w:eastAsia="等线" w:cs="Arial"/>
          <w:sz w:val="22"/>
        </w:rPr>
        <w:t xml:space="preserve"> 短读长测序难以提供精确的转录起始位点（TSS）和转录终止位点（TTS）信息，这对于理解基因的精确调控至关重要。</w:t>
      </w:r>
    </w:p>
    <w:p>
      <w:pPr>
        <w:numPr>
          <w:ilvl w:val="0"/>
          <w:numId w:val="39"/>
        </w:numPr>
        <w:spacing w:before="120" w:after="120" w:line="288" w:lineRule="auto"/>
        <w:ind w:left="0"/>
        <w:jc w:val="left"/>
      </w:pPr>
      <w:r>
        <w:rPr>
          <w:rFonts w:ascii="Arial" w:hAnsi="Arial" w:eastAsia="等线" w:cs="Arial"/>
          <w:b/>
          <w:sz w:val="22"/>
        </w:rPr>
        <w:t>难以检测RNA修饰：</w:t>
      </w:r>
      <w:r>
        <w:rPr>
          <w:rFonts w:ascii="Arial" w:hAnsi="Arial" w:eastAsia="等线" w:cs="Arial"/>
          <w:sz w:val="22"/>
        </w:rPr>
        <w:t xml:space="preserve"> 基因组注释通常侧重于DNA层面，而RNA层面的修饰（如m6A等）对基因表达调控具有重要作用，但传统方法难以直接整合到基因组注释中。</w:t>
      </w:r>
    </w:p>
    <w:p>
      <w:pPr>
        <w:numPr>
          <w:ilvl w:val="0"/>
          <w:numId w:val="40"/>
        </w:numPr>
        <w:spacing w:before="120" w:after="120" w:line="288" w:lineRule="auto"/>
        <w:ind w:left="0"/>
        <w:jc w:val="left"/>
      </w:pPr>
      <w:r>
        <w:rPr>
          <w:rFonts w:ascii="Arial" w:hAnsi="Arial" w:eastAsia="等线" w:cs="Arial"/>
          <w:b/>
          <w:sz w:val="22"/>
        </w:rPr>
        <w:t>表观遗传与转录组的割裂：</w:t>
      </w:r>
      <w:r>
        <w:rPr>
          <w:rFonts w:ascii="Arial" w:hAnsi="Arial" w:eastAsia="等线" w:cs="Arial"/>
          <w:sz w:val="22"/>
        </w:rPr>
        <w:t xml:space="preserve"> 缺乏一个系统性的方法将DNA甲基化、组蛋白修饰等表观遗传信息与基因表达的转录组信息进行深度整合，从而全面解析基因调控网络。</w:t>
      </w:r>
    </w:p>
    <w:p>
      <w:pPr>
        <w:numPr>
          <w:ilvl w:val="0"/>
          <w:numId w:val="41"/>
        </w:numPr>
        <w:spacing w:before="120" w:after="120" w:line="288" w:lineRule="auto"/>
        <w:ind w:left="0"/>
        <w:jc w:val="left"/>
      </w:pPr>
      <w:r>
        <w:rPr>
          <w:rFonts w:ascii="Arial" w:hAnsi="Arial" w:eastAsia="等线" w:cs="Arial"/>
          <w:b/>
          <w:sz w:val="22"/>
        </w:rPr>
        <w:t>特定生物学过程的动态变化难以捕捉：</w:t>
      </w:r>
      <w:r>
        <w:rPr>
          <w:rFonts w:ascii="Arial" w:hAnsi="Arial" w:eastAsia="等线" w:cs="Arial"/>
          <w:sz w:val="22"/>
        </w:rPr>
        <w:t xml:space="preserve"> 在复杂的生命周期或特定生理条件下，转录组和表观遗传组会发生动态变化，传统方法难以全面捕捉这些瞬态信息。</w:t>
      </w:r>
    </w:p>
    <w:p>
      <w:pPr>
        <w:spacing w:before="120" w:after="120" w:line="288" w:lineRule="auto"/>
        <w:ind w:left="0"/>
        <w:jc w:val="left"/>
      </w:pPr>
      <w:r>
        <w:rPr>
          <w:rFonts w:ascii="Arial" w:hAnsi="Arial" w:eastAsia="等线" w:cs="Arial"/>
          <w:sz w:val="22"/>
        </w:rPr>
        <w:t>这些痛点限制了我们对模式生物复杂生物学机制的全面理解，也阻碍了从模式生物中发现的规律向其他物种（包括人类）的转化应用。</w:t>
      </w:r>
    </w:p>
    <w:p>
      <w:pPr>
        <w:spacing w:before="120" w:after="120" w:line="288" w:lineRule="auto"/>
        <w:ind w:left="0"/>
        <w:jc w:val="left"/>
      </w:pPr>
      <w:r>
        <w:rPr>
          <w:rFonts w:ascii="Arial" w:hAnsi="Arial" w:eastAsia="等线" w:cs="Arial"/>
          <w:b/>
          <w:sz w:val="22"/>
        </w:rPr>
        <w:t>突破：DRS与多组学联用，构建四膜虫高质量基因组注释</w:t>
      </w:r>
    </w:p>
    <w:p>
      <w:pPr>
        <w:spacing w:before="120" w:after="120" w:line="288" w:lineRule="auto"/>
        <w:ind w:left="0"/>
        <w:jc w:val="left"/>
      </w:pPr>
      <w:r>
        <w:rPr>
          <w:rFonts w:ascii="Arial" w:hAnsi="Arial" w:eastAsia="等线" w:cs="Arial"/>
          <w:sz w:val="22"/>
        </w:rPr>
        <w:t>本研究通过整合</w:t>
      </w:r>
      <w:r>
        <w:rPr>
          <w:rFonts w:ascii="Arial" w:hAnsi="Arial" w:eastAsia="等线" w:cs="Arial"/>
          <w:b/>
          <w:sz w:val="22"/>
        </w:rPr>
        <w:t>纳米孔直接RNA测序（Nanopore DRS）</w:t>
      </w:r>
      <w:r>
        <w:rPr>
          <w:rFonts w:ascii="Arial" w:hAnsi="Arial" w:eastAsia="等线" w:cs="Arial"/>
          <w:sz w:val="22"/>
        </w:rPr>
        <w:t>、</w:t>
      </w:r>
      <w:r>
        <w:rPr>
          <w:rFonts w:ascii="Arial" w:hAnsi="Arial" w:eastAsia="等线" w:cs="Arial"/>
          <w:b/>
          <w:sz w:val="22"/>
        </w:rPr>
        <w:t>PacBio Iso-seq</w:t>
      </w:r>
      <w:r>
        <w:rPr>
          <w:rFonts w:ascii="Arial" w:hAnsi="Arial" w:eastAsia="等线" w:cs="Arial"/>
          <w:sz w:val="22"/>
        </w:rPr>
        <w:t>、全基因组亚硫酸氢盐测序（WGBS）</w:t>
      </w:r>
      <w:r>
        <w:rPr>
          <w:rFonts w:ascii="Arial" w:hAnsi="Arial" w:eastAsia="等线" w:cs="Arial"/>
          <w:b/>
          <w:sz w:val="22"/>
        </w:rPr>
        <w:t>和</w:t>
      </w:r>
      <w:r>
        <w:rPr>
          <w:rFonts w:ascii="Arial" w:hAnsi="Arial" w:eastAsia="等线" w:cs="Arial"/>
          <w:sz w:val="22"/>
        </w:rPr>
        <w:t>染色质免疫共沉淀测序（ChIP-seq）等多种尖端组学技术，对模式生物四膜虫进行了迄今为止最全面的基因组注释，实现了多项突破：</w:t>
      </w:r>
    </w:p>
    <w:p>
      <w:pPr>
        <w:numPr>
          <w:ilvl w:val="0"/>
          <w:numId w:val="42"/>
        </w:numPr>
        <w:spacing w:before="120" w:after="120" w:line="288" w:lineRule="auto"/>
        <w:ind w:left="0"/>
        <w:jc w:val="left"/>
      </w:pPr>
      <w:r>
        <w:rPr>
          <w:rFonts w:ascii="Arial" w:hAnsi="Arial" w:eastAsia="等线" w:cs="Arial"/>
          <w:b/>
          <w:sz w:val="22"/>
        </w:rPr>
        <w:t>DRS和Iso-seq提供高精度转录本全长信息：</w:t>
      </w:r>
      <w:r>
        <w:rPr>
          <w:rFonts w:ascii="Arial" w:hAnsi="Arial" w:eastAsia="等线" w:cs="Arial"/>
          <w:sz w:val="22"/>
        </w:rPr>
        <w:t xml:space="preserve"> Nanopore DRS和PacBio Iso-seq的长读长特性，能够直接捕获完整的转录本序列，从而精确识别并修正了数千个基因的转录本异构体信息，发现了大量新的基因和转录本异构体。尤其重要的是，它们能够精确确定转录起始位点（TSS）和转录终止位点（TTS），弥补了短读长测序的不足。</w:t>
      </w:r>
    </w:p>
    <w:p>
      <w:pPr>
        <w:numPr>
          <w:ilvl w:val="0"/>
          <w:numId w:val="43"/>
        </w:numPr>
        <w:spacing w:before="120" w:after="120" w:line="288" w:lineRule="auto"/>
        <w:ind w:left="0"/>
        <w:jc w:val="left"/>
      </w:pPr>
      <w:r>
        <w:rPr>
          <w:rFonts w:ascii="Arial" w:hAnsi="Arial" w:eastAsia="等线" w:cs="Arial"/>
          <w:b/>
          <w:sz w:val="22"/>
        </w:rPr>
        <w:t>DRS直接检测RNA修饰：</w:t>
      </w:r>
      <w:r>
        <w:rPr>
          <w:rFonts w:ascii="Arial" w:hAnsi="Arial" w:eastAsia="等线" w:cs="Arial"/>
          <w:sz w:val="22"/>
        </w:rPr>
        <w:t xml:space="preserve"> DRS的独特能力使其能够直接检测RNA分子上的m6A修饰，揭示了四膜虫中大量以前未知的m6A修饰位点。这些修饰被证明与基因表达调控密切相关，为基因功能研究提供了新的维度。</w:t>
      </w:r>
    </w:p>
    <w:p>
      <w:pPr>
        <w:numPr>
          <w:ilvl w:val="0"/>
          <w:numId w:val="44"/>
        </w:numPr>
        <w:spacing w:before="120" w:after="120" w:line="288" w:lineRule="auto"/>
        <w:ind w:left="0"/>
        <w:jc w:val="left"/>
      </w:pPr>
      <w:r>
        <w:rPr>
          <w:rFonts w:ascii="Arial" w:hAnsi="Arial" w:eastAsia="等线" w:cs="Arial"/>
          <w:b/>
          <w:sz w:val="22"/>
        </w:rPr>
        <w:t>全面整合DNA甲基化和组蛋白修饰：</w:t>
      </w:r>
      <w:r>
        <w:rPr>
          <w:rFonts w:ascii="Arial" w:hAnsi="Arial" w:eastAsia="等线" w:cs="Arial"/>
          <w:sz w:val="22"/>
        </w:rPr>
        <w:t xml:space="preserve"> 通过WGBS和ChIP-seq，研究者获得了四膜虫的DNA甲基化图谱和多种组蛋白修饰（如H3K4me2, H3K9me3）图谱。这些表观遗传信息与DRS获得的转录组数据进行深度整合，揭示了基因表达与染色质状态之间的复杂调控关系。</w:t>
      </w:r>
    </w:p>
    <w:p>
      <w:pPr>
        <w:numPr>
          <w:ilvl w:val="0"/>
          <w:numId w:val="45"/>
        </w:numPr>
        <w:spacing w:before="120" w:after="120" w:line="288" w:lineRule="auto"/>
        <w:ind w:left="0"/>
        <w:jc w:val="left"/>
      </w:pPr>
      <w:r>
        <w:rPr>
          <w:rFonts w:ascii="Arial" w:hAnsi="Arial" w:eastAsia="等线" w:cs="Arial"/>
          <w:b/>
          <w:sz w:val="22"/>
        </w:rPr>
        <w:t>构建高度精细的基因组注释：</w:t>
      </w:r>
      <w:r>
        <w:rPr>
          <w:rFonts w:ascii="Arial" w:hAnsi="Arial" w:eastAsia="等线" w:cs="Arial"/>
          <w:sz w:val="22"/>
        </w:rPr>
        <w:t xml:space="preserve"> 本研究将所有多组学数据整合，生成了四膜虫迄今为止最全面、最精确的基因组注释（TetraBase）。该注释不仅包含了修订后的基因模型、转录本异构体，还整合了精确的TSS/TTS、RNA修饰位点、DNA甲基化区域以及组蛋白修饰特征，为后续研究奠定了坚实基础。</w:t>
      </w:r>
    </w:p>
    <w:p>
      <w:pPr>
        <w:numPr>
          <w:ilvl w:val="0"/>
          <w:numId w:val="46"/>
        </w:numPr>
        <w:spacing w:before="120" w:after="120" w:line="288" w:lineRule="auto"/>
        <w:ind w:left="0"/>
        <w:jc w:val="left"/>
      </w:pPr>
      <w:r>
        <w:rPr>
          <w:rFonts w:ascii="Arial" w:hAnsi="Arial" w:eastAsia="等线" w:cs="Arial"/>
          <w:b/>
          <w:sz w:val="22"/>
        </w:rPr>
        <w:t>揭示特定生命阶段的动态调控：</w:t>
      </w:r>
      <w:r>
        <w:rPr>
          <w:rFonts w:ascii="Arial" w:hAnsi="Arial" w:eastAsia="等线" w:cs="Arial"/>
          <w:sz w:val="22"/>
        </w:rPr>
        <w:t xml:space="preserve"> 研究还针对四膜虫的特定生命周期阶段（营养期、饥饿期、交配期）进行了转录组和表观遗传组的动态分析，揭示了基因表达和表观遗传状态如何协同调控这些重要的生物学过程。</w:t>
      </w:r>
    </w:p>
    <w:p>
      <w:pPr>
        <w:spacing w:before="120" w:after="120" w:line="288" w:lineRule="auto"/>
        <w:ind w:left="0"/>
        <w:jc w:val="left"/>
      </w:pPr>
      <w:r>
        <w:rPr>
          <w:rFonts w:ascii="Arial" w:hAnsi="Arial" w:eastAsia="等线" w:cs="Arial"/>
          <w:b/>
          <w:sz w:val="22"/>
        </w:rPr>
        <w:t>价值：提升模式生物研究深度，加速生命科学突破</w:t>
      </w:r>
    </w:p>
    <w:p>
      <w:pPr>
        <w:spacing w:before="120" w:after="120" w:line="288" w:lineRule="auto"/>
        <w:ind w:left="0"/>
        <w:jc w:val="left"/>
      </w:pPr>
      <w:r>
        <w:rPr>
          <w:rFonts w:ascii="Arial" w:hAnsi="Arial" w:eastAsia="等线" w:cs="Arial"/>
          <w:sz w:val="22"/>
        </w:rPr>
        <w:t>本研究的突破性成果，对模式生物研究乃至整个生命科学领域具有重大价值：</w:t>
      </w:r>
    </w:p>
    <w:p>
      <w:pPr>
        <w:numPr>
          <w:ilvl w:val="0"/>
          <w:numId w:val="47"/>
        </w:numPr>
        <w:spacing w:before="120" w:after="120" w:line="288" w:lineRule="auto"/>
        <w:ind w:left="0"/>
        <w:jc w:val="left"/>
      </w:pPr>
      <w:r>
        <w:rPr>
          <w:rFonts w:ascii="Arial" w:hAnsi="Arial" w:eastAsia="等线" w:cs="Arial"/>
          <w:b/>
          <w:sz w:val="22"/>
        </w:rPr>
        <w:t>提供高质量基因组注释，加速四膜虫研究：</w:t>
      </w:r>
      <w:r>
        <w:rPr>
          <w:rFonts w:ascii="Arial" w:hAnsi="Arial" w:eastAsia="等线" w:cs="Arial"/>
          <w:sz w:val="22"/>
        </w:rPr>
        <w:t xml:space="preserve"> TetraBase的建立，为全球四膜虫研究者提供了前所未有的高精度、多维度的基因组注释，将极大地加速四膜虫在基因功能、表观遗传、细胞分化等领域的深度研究。</w:t>
      </w:r>
    </w:p>
    <w:p>
      <w:pPr>
        <w:numPr>
          <w:ilvl w:val="0"/>
          <w:numId w:val="48"/>
        </w:numPr>
        <w:spacing w:before="120" w:after="120" w:line="288" w:lineRule="auto"/>
        <w:ind w:left="0"/>
        <w:jc w:val="left"/>
      </w:pPr>
      <w:r>
        <w:rPr>
          <w:rFonts w:ascii="Arial" w:hAnsi="Arial" w:eastAsia="等线" w:cs="Arial"/>
          <w:b/>
          <w:sz w:val="22"/>
        </w:rPr>
        <w:t>树立模式生物基因组注释新范式：</w:t>
      </w:r>
      <w:r>
        <w:rPr>
          <w:rFonts w:ascii="Arial" w:hAnsi="Arial" w:eastAsia="等线" w:cs="Arial"/>
          <w:sz w:val="22"/>
        </w:rPr>
        <w:t xml:space="preserve"> 本研究提供了一个成功的范例，展示了如何通过整合长读长测序（DRS、Iso-seq）与表观遗传组学技术，对模式生物进行全面的、多层次的基因组注释。这种方法可以推广到其他非模式或注释不完整的物种。</w:t>
      </w:r>
    </w:p>
    <w:p>
      <w:pPr>
        <w:numPr>
          <w:ilvl w:val="0"/>
          <w:numId w:val="49"/>
        </w:numPr>
        <w:spacing w:before="120" w:after="120" w:line="288" w:lineRule="auto"/>
        <w:ind w:left="0"/>
        <w:jc w:val="left"/>
      </w:pPr>
      <w:r>
        <w:rPr>
          <w:rFonts w:ascii="Arial" w:hAnsi="Arial" w:eastAsia="等线" w:cs="Arial"/>
          <w:b/>
          <w:sz w:val="22"/>
        </w:rPr>
        <w:t>深入理解基因表达调控：</w:t>
      </w:r>
      <w:r>
        <w:rPr>
          <w:rFonts w:ascii="Arial" w:hAnsi="Arial" w:eastAsia="等线" w:cs="Arial"/>
          <w:sz w:val="22"/>
        </w:rPr>
        <w:t xml:space="preserve"> 通过精确识别TSS/TTS、转录本异构体，并整合RNA修饰和表观遗传信息，研究者能够更全面地理解基因从DNA到RNA再到蛋白质的复杂调控网络，揭示其中隐藏的机制。</w:t>
      </w:r>
    </w:p>
    <w:p>
      <w:pPr>
        <w:numPr>
          <w:ilvl w:val="0"/>
          <w:numId w:val="50"/>
        </w:numPr>
        <w:spacing w:before="120" w:after="120" w:line="288" w:lineRule="auto"/>
        <w:ind w:left="0"/>
        <w:jc w:val="left"/>
      </w:pPr>
      <w:r>
        <w:rPr>
          <w:rFonts w:ascii="Arial" w:hAnsi="Arial" w:eastAsia="等线" w:cs="Arial"/>
          <w:b/>
          <w:sz w:val="22"/>
        </w:rPr>
        <w:t>发现新型调控元件：</w:t>
      </w:r>
      <w:r>
        <w:rPr>
          <w:rFonts w:ascii="Arial" w:hAnsi="Arial" w:eastAsia="等线" w:cs="Arial"/>
          <w:sz w:val="22"/>
        </w:rPr>
        <w:t xml:space="preserve"> 新发现的大量转录本异构体、新型基因以及RNA修饰位点，为挖掘新的功能性元件和调控通路提供了丰富的资源，有望为未来生物学发现提供线索。</w:t>
      </w:r>
    </w:p>
    <w:p>
      <w:pPr>
        <w:numPr>
          <w:ilvl w:val="0"/>
          <w:numId w:val="51"/>
        </w:numPr>
        <w:spacing w:before="120" w:after="120" w:line="288" w:lineRule="auto"/>
        <w:ind w:left="0"/>
        <w:jc w:val="left"/>
      </w:pPr>
      <w:r>
        <w:rPr>
          <w:rFonts w:ascii="Arial" w:hAnsi="Arial" w:eastAsia="等线" w:cs="Arial"/>
          <w:b/>
          <w:sz w:val="22"/>
        </w:rPr>
        <w:t>推动生物信息学工具发展：</w:t>
      </w:r>
      <w:r>
        <w:rPr>
          <w:rFonts w:ascii="Arial" w:hAnsi="Arial" w:eastAsia="等线" w:cs="Arial"/>
          <w:sz w:val="22"/>
        </w:rPr>
        <w:t xml:space="preserve"> 大规模的多组学数据整合和分析需求，也将促进新的生物信息学算法和工具的开发，进一步提升数据解析能力。</w:t>
      </w:r>
    </w:p>
    <w:p>
      <w:pPr>
        <w:spacing w:before="120" w:after="120" w:line="288" w:lineRule="auto"/>
        <w:ind w:left="0"/>
        <w:jc w:val="left"/>
      </w:pPr>
      <w:r>
        <w:rPr>
          <w:rFonts w:ascii="Arial" w:hAnsi="Arial" w:eastAsia="等线" w:cs="Arial"/>
          <w:sz w:val="22"/>
        </w:rPr>
        <w:t>总而言之，这项研究不仅通过整合DRS等多组学技术，显著提升了模式生物四膜虫的基因组注释水平，更重要的是，它为理解复杂生命活动的调控机制提供了全面的视角，为未来模式生物乃至更广泛的生命科学研究树立了新的里程碑。</w:t>
      </w:r>
    </w:p>
    <w:p>
      <w:pPr>
        <w:spacing w:before="120" w:after="120" w:line="288" w:lineRule="auto"/>
        <w:ind w:left="0"/>
        <w:jc w:val="center"/>
      </w:pPr>
      <w:r>
        <w:drawing>
          <wp:inline distT="0" distB="0" distL="0" distR="0">
            <wp:extent cx="5257800" cy="2066925"/>
            <wp:effectExtent l="0" t="0" r="0" b="9525"/>
            <wp:docPr id="6" name="Draw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rawing 5"/>
                    <pic:cNvPicPr>
                      <a:picLocks noChangeAspect="1"/>
                    </pic:cNvPicPr>
                  </pic:nvPicPr>
                  <pic:blipFill>
                    <a:blip r:embed="rId11"/>
                    <a:stretch>
                      <a:fillRect/>
                    </a:stretch>
                  </pic:blipFill>
                  <pic:spPr>
                    <a:xfrm>
                      <a:off x="0" y="0"/>
                      <a:ext cx="5257800" cy="2066925"/>
                    </a:xfrm>
                    <a:prstGeom prst="rect">
                      <a:avLst/>
                    </a:prstGeom>
                  </pic:spPr>
                </pic:pic>
              </a:graphicData>
            </a:graphic>
          </wp:inline>
        </w:drawing>
      </w:r>
    </w:p>
    <w:p>
      <w:pPr>
        <w:spacing w:before="120" w:after="120" w:line="288" w:lineRule="auto"/>
        <w:ind w:left="0"/>
        <w:jc w:val="left"/>
      </w:pPr>
    </w:p>
    <w:p>
      <w:pPr>
        <w:spacing w:before="320" w:after="120" w:line="288" w:lineRule="auto"/>
        <w:ind w:left="0"/>
        <w:jc w:val="left"/>
        <w:outlineLvl w:val="1"/>
      </w:pPr>
      <w:bookmarkStart w:id="7" w:name="heading_8"/>
      <w:r>
        <w:rPr>
          <w:rFonts w:ascii="Arial" w:hAnsi="Arial" w:eastAsia="等线" w:cs="Arial"/>
          <w:b/>
          <w:sz w:val="32"/>
        </w:rPr>
        <w:t>案例七：纳米孔DRS揭示人类转录组复杂调控网络与多重特征互作</w:t>
      </w:r>
      <w:bookmarkEnd w:id="7"/>
    </w:p>
    <w:p>
      <w:pPr>
        <w:spacing w:before="120" w:after="120" w:line="288" w:lineRule="auto"/>
        <w:ind w:left="0"/>
        <w:jc w:val="left"/>
      </w:pPr>
      <w:r>
        <w:rPr>
          <w:rFonts w:ascii="Arial" w:hAnsi="Arial" w:eastAsia="等线" w:cs="Arial"/>
          <w:sz w:val="22"/>
        </w:rPr>
        <w:t xml:space="preserve">文章标题： Nanopore direct RNA sequencing of human transcriptomes reveals the complexity of mRNA modifications and crosstalk between regulatory features </w:t>
      </w:r>
    </w:p>
    <w:p>
      <w:pPr>
        <w:spacing w:before="120" w:after="120" w:line="288" w:lineRule="auto"/>
        <w:ind w:left="0"/>
        <w:jc w:val="left"/>
      </w:pPr>
      <w:r>
        <w:rPr>
          <w:rFonts w:ascii="Arial" w:hAnsi="Arial" w:eastAsia="等线" w:cs="Arial"/>
          <w:sz w:val="22"/>
        </w:rPr>
        <w:t>发表期刊： Cell Genomics</w:t>
      </w:r>
    </w:p>
    <w:p>
      <w:pPr>
        <w:spacing w:before="120" w:after="120" w:line="288" w:lineRule="auto"/>
        <w:ind w:left="0"/>
        <w:jc w:val="left"/>
      </w:pPr>
      <w:r>
        <w:rPr>
          <w:rFonts w:ascii="Arial" w:hAnsi="Arial" w:eastAsia="等线" w:cs="Arial"/>
          <w:sz w:val="22"/>
        </w:rPr>
        <w:t>影响因子： 11.1</w:t>
      </w:r>
    </w:p>
    <w:p>
      <w:pPr>
        <w:spacing w:before="120" w:after="120" w:line="288" w:lineRule="auto"/>
        <w:ind w:left="0"/>
        <w:jc w:val="left"/>
      </w:pPr>
      <w:r>
        <w:rPr>
          <w:rFonts w:ascii="Arial" w:hAnsi="Arial" w:eastAsia="等线" w:cs="Arial"/>
          <w:sz w:val="22"/>
        </w:rPr>
        <w:t>发表年份： 2025</w:t>
      </w:r>
    </w:p>
    <w:p>
      <w:pPr>
        <w:spacing w:before="120" w:after="120" w:line="288" w:lineRule="auto"/>
        <w:ind w:left="0"/>
        <w:jc w:val="left"/>
      </w:pPr>
      <w:r>
        <w:rPr>
          <w:rFonts w:ascii="Arial" w:hAnsi="Arial" w:eastAsia="等线" w:cs="Arial"/>
          <w:b/>
          <w:sz w:val="22"/>
        </w:rPr>
        <w:t>痛点：传统方法无法全面、同步解析mRNA多重调控特征</w:t>
      </w:r>
    </w:p>
    <w:p>
      <w:pPr>
        <w:spacing w:before="120" w:after="120" w:line="288" w:lineRule="auto"/>
        <w:ind w:left="0"/>
        <w:jc w:val="left"/>
      </w:pPr>
      <w:r>
        <w:rPr>
          <w:rFonts w:ascii="Arial" w:hAnsi="Arial" w:eastAsia="等线" w:cs="Arial"/>
          <w:sz w:val="22"/>
        </w:rPr>
        <w:t>信使RNA（mRNA）的命运——从转录、剪接到翻译和降解——受到多种调控机制的精细控制。除了基因序列本身，mRNA上的化学修饰（如m6A）、Poly(A)尾长度以及可变剪接等都扮演着至关重要的角色。然而，传统的研究方法在全面解析这些复杂调控特征时面临诸多局限：</w:t>
      </w:r>
    </w:p>
    <w:p>
      <w:pPr>
        <w:numPr>
          <w:ilvl w:val="0"/>
          <w:numId w:val="52"/>
        </w:numPr>
        <w:spacing w:before="120" w:after="120" w:line="288" w:lineRule="auto"/>
        <w:ind w:left="0"/>
        <w:jc w:val="left"/>
      </w:pPr>
      <w:r>
        <w:rPr>
          <w:rFonts w:ascii="Arial" w:hAnsi="Arial" w:eastAsia="等线" w:cs="Arial"/>
          <w:b/>
          <w:sz w:val="22"/>
        </w:rPr>
        <w:t>无法同步获取多维信息：</w:t>
      </w:r>
      <w:r>
        <w:rPr>
          <w:rFonts w:ascii="Arial" w:hAnsi="Arial" w:eastAsia="等线" w:cs="Arial"/>
          <w:sz w:val="22"/>
        </w:rPr>
        <w:t xml:space="preserve"> 大多数传统测序技术（如短读长RNA-seq）只能提供片段化的序列信息，要获取RNA修饰、Poly(A)尾长度和可变剪接等信息，需要分别进行独立的实验或复杂的生物信息学推断，导致信息碎片化，难以进行系统性整合分析。</w:t>
      </w:r>
    </w:p>
    <w:p>
      <w:pPr>
        <w:numPr>
          <w:ilvl w:val="0"/>
          <w:numId w:val="53"/>
        </w:numPr>
        <w:spacing w:before="120" w:after="120" w:line="288" w:lineRule="auto"/>
        <w:ind w:left="0"/>
        <w:jc w:val="left"/>
      </w:pPr>
      <w:r>
        <w:rPr>
          <w:rFonts w:ascii="Arial" w:hAnsi="Arial" w:eastAsia="等线" w:cs="Arial"/>
          <w:b/>
          <w:sz w:val="22"/>
        </w:rPr>
        <w:t>间接检测RNA修饰：</w:t>
      </w:r>
      <w:r>
        <w:rPr>
          <w:rFonts w:ascii="Arial" w:hAnsi="Arial" w:eastAsia="等线" w:cs="Arial"/>
          <w:sz w:val="22"/>
        </w:rPr>
        <w:t xml:space="preserve"> 针对m6A等RNA修饰的检测，通常依赖于抗体富集（如MeRIP-seq）或化学处理，这些方法可能存在偏差，且无法在单分子水平上实现精确定量。</w:t>
      </w:r>
    </w:p>
    <w:p>
      <w:pPr>
        <w:numPr>
          <w:ilvl w:val="0"/>
          <w:numId w:val="54"/>
        </w:numPr>
        <w:spacing w:before="120" w:after="120" w:line="288" w:lineRule="auto"/>
        <w:ind w:left="0"/>
        <w:jc w:val="left"/>
      </w:pPr>
      <w:r>
        <w:rPr>
          <w:rFonts w:ascii="Arial" w:hAnsi="Arial" w:eastAsia="等线" w:cs="Arial"/>
          <w:b/>
          <w:sz w:val="22"/>
        </w:rPr>
        <w:t>Poly(A)尾长度分析的局限性：</w:t>
      </w:r>
      <w:r>
        <w:rPr>
          <w:rFonts w:ascii="Arial" w:hAnsi="Arial" w:eastAsia="等线" w:cs="Arial"/>
          <w:sz w:val="22"/>
        </w:rPr>
        <w:t xml:space="preserve"> Poly(A)尾长度对mRNA的稳定性和翻译效率有重要影响，但传统方法难以精确测定其在转录本异构体水平上的动态变化。</w:t>
      </w:r>
    </w:p>
    <w:p>
      <w:pPr>
        <w:numPr>
          <w:ilvl w:val="0"/>
          <w:numId w:val="55"/>
        </w:numPr>
        <w:spacing w:before="120" w:after="120" w:line="288" w:lineRule="auto"/>
        <w:ind w:left="0"/>
        <w:jc w:val="left"/>
      </w:pPr>
      <w:r>
        <w:rPr>
          <w:rFonts w:ascii="Arial" w:hAnsi="Arial" w:eastAsia="等线" w:cs="Arial"/>
          <w:b/>
          <w:sz w:val="22"/>
        </w:rPr>
        <w:t>揭示互作机制困难：</w:t>
      </w:r>
      <w:r>
        <w:rPr>
          <w:rFonts w:ascii="Arial" w:hAnsi="Arial" w:eastAsia="等线" w:cs="Arial"/>
          <w:sz w:val="22"/>
        </w:rPr>
        <w:t xml:space="preserve"> 由于无法同步捕获各种调控特征，研究人员难以深入探索它们之间的潜在互作（“crosstalk”），从而阻碍了对mRNA调控网络复杂性的全面理解。</w:t>
      </w:r>
    </w:p>
    <w:p>
      <w:pPr>
        <w:spacing w:before="120" w:after="120" w:line="288" w:lineRule="auto"/>
        <w:ind w:left="0"/>
        <w:jc w:val="left"/>
      </w:pPr>
      <w:r>
        <w:rPr>
          <w:rFonts w:ascii="Arial" w:hAnsi="Arial" w:eastAsia="等线" w:cs="Arial"/>
          <w:sz w:val="22"/>
        </w:rPr>
        <w:t>这些痛点使得全面、系统地解析人类转录组的复杂调控网络成为一大挑战，限制了我们对基因表达精细调控机制的理解。</w:t>
      </w:r>
    </w:p>
    <w:p>
      <w:pPr>
        <w:spacing w:before="120" w:after="120" w:line="288" w:lineRule="auto"/>
        <w:ind w:left="0"/>
        <w:jc w:val="left"/>
      </w:pPr>
      <w:r>
        <w:rPr>
          <w:rFonts w:ascii="Arial" w:hAnsi="Arial" w:eastAsia="等线" w:cs="Arial"/>
          <w:b/>
          <w:sz w:val="22"/>
        </w:rPr>
        <w:t>突破：DRS单分子同步捕获，解锁mRNA多重调控特征互作</w:t>
      </w:r>
    </w:p>
    <w:p>
      <w:pPr>
        <w:spacing w:before="120" w:after="120" w:line="288" w:lineRule="auto"/>
        <w:ind w:left="0"/>
        <w:jc w:val="left"/>
      </w:pPr>
      <w:r>
        <w:rPr>
          <w:rFonts w:ascii="Arial" w:hAnsi="Arial" w:eastAsia="等线" w:cs="Arial"/>
          <w:sz w:val="22"/>
        </w:rPr>
        <w:t>本研究通过充分利用**纳米孔直接RNA测序（Nanopore DRS）**的独特优势，实现了在单分子水平上同步捕获人类转录组的多种调控特征，并揭示了它们之间复杂的互作关系，取得了革命性突破：</w:t>
      </w:r>
    </w:p>
    <w:p>
      <w:pPr>
        <w:numPr>
          <w:ilvl w:val="0"/>
          <w:numId w:val="56"/>
        </w:numPr>
        <w:spacing w:before="120" w:after="120" w:line="288" w:lineRule="auto"/>
        <w:ind w:left="0"/>
        <w:jc w:val="left"/>
      </w:pPr>
      <w:r>
        <w:rPr>
          <w:rFonts w:ascii="Arial" w:hAnsi="Arial" w:eastAsia="等线" w:cs="Arial"/>
          <w:b/>
          <w:sz w:val="22"/>
        </w:rPr>
        <w:t>DRS实现单分子多维信息同步获取：</w:t>
      </w:r>
      <w:r>
        <w:rPr>
          <w:rFonts w:ascii="Arial" w:hAnsi="Arial" w:eastAsia="等线" w:cs="Arial"/>
          <w:sz w:val="22"/>
        </w:rPr>
        <w:t xml:space="preserve"> Nanopore DRS能够直接读取完整的RNA分子序列，并在同一读长中同步提供核苷酸序列、RNA修饰（特别是m6A）位点及其化学计量学信息，以及Poly(A)尾长度。这种“一石多鸟”的能力是传统技术无法比拟的，极大地简化了实验流程，并避免了多重实验带来的偏差。</w:t>
      </w:r>
    </w:p>
    <w:p>
      <w:pPr>
        <w:numPr>
          <w:ilvl w:val="0"/>
          <w:numId w:val="57"/>
        </w:numPr>
        <w:spacing w:before="120" w:after="120" w:line="288" w:lineRule="auto"/>
        <w:ind w:left="0"/>
        <w:jc w:val="left"/>
      </w:pPr>
      <w:r>
        <w:rPr>
          <w:rFonts w:ascii="Arial" w:hAnsi="Arial" w:eastAsia="等线" w:cs="Arial"/>
          <w:b/>
          <w:sz w:val="22"/>
        </w:rPr>
        <w:t>高精度解析m6A修饰：</w:t>
      </w:r>
      <w:r>
        <w:rPr>
          <w:rFonts w:ascii="Arial" w:hAnsi="Arial" w:eastAsia="等线" w:cs="Arial"/>
          <w:sz w:val="22"/>
        </w:rPr>
        <w:t xml:space="preserve"> 研究通过DRS直接量化了数千个m6A修饰位点，并能够进一步推断其化学计量学信息，即每个位点的修饰比例。这比传统的基于富集的方法更为精确，揭示了m6A修饰的精细调控。</w:t>
      </w:r>
    </w:p>
    <w:p>
      <w:pPr>
        <w:numPr>
          <w:ilvl w:val="0"/>
          <w:numId w:val="58"/>
        </w:numPr>
        <w:spacing w:before="120" w:after="120" w:line="288" w:lineRule="auto"/>
        <w:ind w:left="0"/>
        <w:jc w:val="left"/>
      </w:pPr>
      <w:r>
        <w:rPr>
          <w:rFonts w:ascii="Arial" w:hAnsi="Arial" w:eastAsia="等线" w:cs="Arial"/>
          <w:b/>
          <w:sz w:val="22"/>
        </w:rPr>
        <w:t>全面描绘Poly(A)尾长度景观：</w:t>
      </w:r>
      <w:r>
        <w:rPr>
          <w:rFonts w:ascii="Arial" w:hAnsi="Arial" w:eastAsia="等线" w:cs="Arial"/>
          <w:sz w:val="22"/>
        </w:rPr>
        <w:t xml:space="preserve"> DRS能够直接测量每个转录本的Poly(A)尾长度，从而揭示了Poly(A)尾长度在不同转录本异构体间以及在m6A修饰存在与否情况下的差异和动态变化，为理解其在mRNA稳定性与翻译中的作用提供了直接证据。</w:t>
      </w:r>
    </w:p>
    <w:p>
      <w:pPr>
        <w:numPr>
          <w:ilvl w:val="0"/>
          <w:numId w:val="59"/>
        </w:numPr>
        <w:spacing w:before="120" w:after="120" w:line="288" w:lineRule="auto"/>
        <w:ind w:left="0"/>
        <w:jc w:val="left"/>
      </w:pPr>
      <w:r>
        <w:rPr>
          <w:rFonts w:ascii="Arial" w:hAnsi="Arial" w:eastAsia="等线" w:cs="Arial"/>
          <w:b/>
          <w:sz w:val="22"/>
        </w:rPr>
        <w:t>揭示RNA调控特征间的复杂互作：</w:t>
      </w:r>
      <w:r>
        <w:rPr>
          <w:rFonts w:ascii="Arial" w:hAnsi="Arial" w:eastAsia="等线" w:cs="Arial"/>
          <w:sz w:val="22"/>
        </w:rPr>
        <w:t xml:space="preserve"> 本研究的核心突破在于利用DRS的同步检测能力，揭示了mRNA丰度、可变剪接、m6A修饰和Poly(A)尾长度之间错综复杂的“crosstalk”。例如，研究发现m6A修饰可以影响Poly(A)尾长度，进而影响mRNA的稳定性和翻译效率；某些可变剪接事件也与m6A修饰和Poly(A)尾长度的变化相关联。这些发现揭示了以前未知的mRNA调控机制。</w:t>
      </w:r>
    </w:p>
    <w:p>
      <w:pPr>
        <w:numPr>
          <w:ilvl w:val="0"/>
          <w:numId w:val="60"/>
        </w:numPr>
        <w:spacing w:before="120" w:after="120" w:line="288" w:lineRule="auto"/>
        <w:ind w:left="0"/>
        <w:jc w:val="left"/>
      </w:pPr>
      <w:r>
        <w:rPr>
          <w:rFonts w:ascii="Arial" w:hAnsi="Arial" w:eastAsia="等线" w:cs="Arial"/>
          <w:b/>
          <w:sz w:val="22"/>
        </w:rPr>
        <w:t>开发新型生物信息学工具：</w:t>
      </w:r>
      <w:r>
        <w:rPr>
          <w:rFonts w:ascii="Arial" w:hAnsi="Arial" w:eastAsia="等线" w:cs="Arial"/>
          <w:sz w:val="22"/>
        </w:rPr>
        <w:t xml:space="preserve"> 为了充分挖掘DRS数据中包含的丰富信息，研究团队开发了专门的生物信息学工具和分析框架，用于高通量、准确地识别和量化这些复杂的RNA特征。</w:t>
      </w:r>
    </w:p>
    <w:p>
      <w:pPr>
        <w:spacing w:before="120" w:after="120" w:line="288" w:lineRule="auto"/>
        <w:ind w:left="0"/>
        <w:jc w:val="left"/>
      </w:pPr>
      <w:r>
        <w:rPr>
          <w:rFonts w:ascii="Arial" w:hAnsi="Arial" w:eastAsia="等线" w:cs="Arial"/>
          <w:b/>
          <w:sz w:val="22"/>
        </w:rPr>
        <w:t>价值：开启RNA调控网络研究新纪元，助力精准医疗发展</w:t>
      </w:r>
    </w:p>
    <w:p>
      <w:pPr>
        <w:spacing w:before="120" w:after="120" w:line="288" w:lineRule="auto"/>
        <w:ind w:left="0"/>
        <w:jc w:val="left"/>
      </w:pPr>
      <w:r>
        <w:rPr>
          <w:rFonts w:ascii="Arial" w:hAnsi="Arial" w:eastAsia="等线" w:cs="Arial"/>
          <w:sz w:val="22"/>
        </w:rPr>
        <w:t>本研究的突破性成果，对基础生物学研究和精准医疗发展具有深远价值：</w:t>
      </w:r>
    </w:p>
    <w:p>
      <w:pPr>
        <w:numPr>
          <w:ilvl w:val="0"/>
          <w:numId w:val="61"/>
        </w:numPr>
        <w:spacing w:before="120" w:after="120" w:line="288" w:lineRule="auto"/>
        <w:ind w:left="0"/>
        <w:jc w:val="left"/>
      </w:pPr>
      <w:r>
        <w:rPr>
          <w:rFonts w:ascii="Arial" w:hAnsi="Arial" w:eastAsia="等线" w:cs="Arial"/>
          <w:b/>
          <w:sz w:val="22"/>
        </w:rPr>
        <w:t>全面解构RNA调控网络：</w:t>
      </w:r>
      <w:r>
        <w:rPr>
          <w:rFonts w:ascii="Arial" w:hAnsi="Arial" w:eastAsia="等线" w:cs="Arial"/>
          <w:sz w:val="22"/>
        </w:rPr>
        <w:t xml:space="preserve"> 首次在单分子水平上系统性地揭示了人类转录组中mRNA丰度、可变剪接、RNA修饰和Poly(A)尾长度之间的复杂互作关系，极大地深化了我们对基因表达精细调控机制的理解。</w:t>
      </w:r>
    </w:p>
    <w:p>
      <w:pPr>
        <w:numPr>
          <w:ilvl w:val="0"/>
          <w:numId w:val="62"/>
        </w:numPr>
        <w:spacing w:before="120" w:after="120" w:line="288" w:lineRule="auto"/>
        <w:ind w:left="0"/>
        <w:jc w:val="left"/>
      </w:pPr>
      <w:r>
        <w:rPr>
          <w:rFonts w:ascii="Arial" w:hAnsi="Arial" w:eastAsia="等线" w:cs="Arial"/>
          <w:b/>
          <w:sz w:val="22"/>
        </w:rPr>
        <w:t>推动“表观转录组学”发展：</w:t>
      </w:r>
      <w:r>
        <w:rPr>
          <w:rFonts w:ascii="Arial" w:hAnsi="Arial" w:eastAsia="等线" w:cs="Arial"/>
          <w:sz w:val="22"/>
        </w:rPr>
        <w:t xml:space="preserve"> 本研究证明了DRS在直接、高通量检测RNA修饰方面的强大能力，将加速“表观转录组学”（epitranscriptomics）的发展，为研究RNA修饰在生理病理过程中的作用提供强有力的工具。</w:t>
      </w:r>
    </w:p>
    <w:p>
      <w:pPr>
        <w:numPr>
          <w:ilvl w:val="0"/>
          <w:numId w:val="63"/>
        </w:numPr>
        <w:spacing w:before="120" w:after="120" w:line="288" w:lineRule="auto"/>
        <w:ind w:left="0"/>
        <w:jc w:val="left"/>
      </w:pPr>
      <w:r>
        <w:rPr>
          <w:rFonts w:ascii="Arial" w:hAnsi="Arial" w:eastAsia="等线" w:cs="Arial"/>
          <w:b/>
          <w:sz w:val="22"/>
        </w:rPr>
        <w:t>为疾病机制研究提供新视角：</w:t>
      </w:r>
      <w:r>
        <w:rPr>
          <w:rFonts w:ascii="Arial" w:hAnsi="Arial" w:eastAsia="等线" w:cs="Arial"/>
          <w:sz w:val="22"/>
        </w:rPr>
        <w:t xml:space="preserve"> 许多疾病（如癌症、神经退行性疾病）与mRNA调控异常密切相关。本研究揭示的复杂调控互作，将为这些疾病的发病机制提供新的线索，并有助于发现潜在的诊断生物标志物和治疗靶点。</w:t>
      </w:r>
    </w:p>
    <w:p>
      <w:pPr>
        <w:numPr>
          <w:ilvl w:val="0"/>
          <w:numId w:val="64"/>
        </w:numPr>
        <w:spacing w:before="120" w:after="120" w:line="288" w:lineRule="auto"/>
        <w:ind w:left="0"/>
        <w:jc w:val="left"/>
      </w:pPr>
      <w:r>
        <w:rPr>
          <w:rFonts w:ascii="Arial" w:hAnsi="Arial" w:eastAsia="等线" w:cs="Arial"/>
          <w:b/>
          <w:sz w:val="22"/>
        </w:rPr>
        <w:t>赋能药物开发：</w:t>
      </w:r>
      <w:r>
        <w:rPr>
          <w:rFonts w:ascii="Arial" w:hAnsi="Arial" w:eastAsia="等线" w:cs="Arial"/>
          <w:sz w:val="22"/>
        </w:rPr>
        <w:t xml:space="preserve"> 精确理解mRNA的调控机制有助于开发针对特定RNA修饰酶或RNA结合蛋白的药物，从而更精准地干预疾病进程。</w:t>
      </w:r>
    </w:p>
    <w:p>
      <w:pPr>
        <w:numPr>
          <w:ilvl w:val="0"/>
          <w:numId w:val="65"/>
        </w:numPr>
        <w:spacing w:before="120" w:after="120" w:line="288" w:lineRule="auto"/>
        <w:ind w:left="0"/>
        <w:jc w:val="left"/>
      </w:pPr>
      <w:r>
        <w:rPr>
          <w:rFonts w:ascii="Arial" w:hAnsi="Arial" w:eastAsia="等线" w:cs="Arial"/>
          <w:b/>
          <w:sz w:val="22"/>
        </w:rPr>
        <w:t>确立DRS在RNA研究中的核心地位：</w:t>
      </w:r>
      <w:r>
        <w:rPr>
          <w:rFonts w:ascii="Arial" w:hAnsi="Arial" w:eastAsia="等线" w:cs="Arial"/>
          <w:sz w:val="22"/>
        </w:rPr>
        <w:t xml:space="preserve"> 本研究再次强调并展示了Nanopore DRS作为一种能够同步获取多维RNA信息的独特技术，在未来RNA生物学研究中的不可替代性，尤其是在需要全面解析复杂调控网络的场景。</w:t>
      </w:r>
    </w:p>
    <w:p>
      <w:pPr>
        <w:spacing w:before="120" w:after="120" w:line="288" w:lineRule="auto"/>
        <w:ind w:left="0"/>
        <w:jc w:val="left"/>
      </w:pPr>
      <w:r>
        <w:rPr>
          <w:rFonts w:ascii="Arial" w:hAnsi="Arial" w:eastAsia="等线" w:cs="Arial"/>
          <w:sz w:val="22"/>
        </w:rPr>
        <w:t>总之，这项研究通过Nanopore DRS的革命性应用，不仅揭示了人类转录组调控前所未有的复杂性，更重要的是，它为理解和干预与mRNA调控异常相关的疾病打开了新的大门，无疑是DRS在精准医疗和RNA生物学研究领域应用的又一里程碑案例。</w:t>
      </w:r>
    </w:p>
    <w:p>
      <w:pPr>
        <w:spacing w:before="120" w:after="120" w:line="288" w:lineRule="auto"/>
        <w:ind w:left="0"/>
        <w:jc w:val="center"/>
      </w:pPr>
      <w:r>
        <w:drawing>
          <wp:inline distT="0" distB="0" distL="0" distR="0">
            <wp:extent cx="5257800" cy="5400675"/>
            <wp:effectExtent l="0" t="0" r="0" b="9525"/>
            <wp:docPr id="7" name="Draw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rawing 6"/>
                    <pic:cNvPicPr>
                      <a:picLocks noChangeAspect="1"/>
                    </pic:cNvPicPr>
                  </pic:nvPicPr>
                  <pic:blipFill>
                    <a:blip r:embed="rId12"/>
                    <a:stretch>
                      <a:fillRect/>
                    </a:stretch>
                  </pic:blipFill>
                  <pic:spPr>
                    <a:xfrm>
                      <a:off x="0" y="0"/>
                      <a:ext cx="5257800" cy="5400675"/>
                    </a:xfrm>
                    <a:prstGeom prst="rect">
                      <a:avLst/>
                    </a:prstGeom>
                  </pic:spPr>
                </pic:pic>
              </a:graphicData>
            </a:graphic>
          </wp:inline>
        </w:drawing>
      </w:r>
    </w:p>
    <w:p>
      <w:pPr>
        <w:spacing w:before="120" w:after="120" w:line="288" w:lineRule="auto"/>
        <w:ind w:left="0"/>
        <w:jc w:val="left"/>
      </w:pPr>
    </w:p>
    <w:p>
      <w:pPr>
        <w:spacing w:before="320" w:after="120" w:line="288" w:lineRule="auto"/>
        <w:ind w:left="0"/>
        <w:jc w:val="left"/>
        <w:outlineLvl w:val="1"/>
      </w:pPr>
      <w:bookmarkStart w:id="8" w:name="heading_9"/>
      <w:r>
        <w:rPr>
          <w:rFonts w:ascii="Arial" w:hAnsi="Arial" w:eastAsia="等线" w:cs="Arial"/>
          <w:b/>
          <w:sz w:val="32"/>
        </w:rPr>
        <w:t>案例八：纳米孔DRS揭示神经元上假尿苷动态修饰及其酶依赖性</w:t>
      </w:r>
      <w:bookmarkEnd w:id="8"/>
    </w:p>
    <w:p>
      <w:pPr>
        <w:spacing w:before="120" w:after="120" w:line="288" w:lineRule="auto"/>
        <w:ind w:left="0"/>
        <w:jc w:val="left"/>
      </w:pPr>
      <w:r>
        <w:rPr>
          <w:rFonts w:ascii="Arial" w:hAnsi="Arial" w:eastAsia="等线" w:cs="Arial"/>
          <w:sz w:val="22"/>
        </w:rPr>
        <w:t>文章标题： Probing enzyme-dependent pseudouridylation using direct RNA sequencing to assess epitranscriptome plasticity in a neuronal cell line</w:t>
      </w:r>
    </w:p>
    <w:p>
      <w:pPr>
        <w:spacing w:before="120" w:after="120" w:line="288" w:lineRule="auto"/>
        <w:ind w:left="0"/>
        <w:jc w:val="left"/>
      </w:pPr>
      <w:r>
        <w:rPr>
          <w:rFonts w:ascii="Arial" w:hAnsi="Arial" w:eastAsia="等线" w:cs="Arial"/>
          <w:sz w:val="22"/>
        </w:rPr>
        <w:t>发表期刊： Cell Systems</w:t>
      </w:r>
    </w:p>
    <w:p>
      <w:pPr>
        <w:spacing w:before="120" w:after="120" w:line="288" w:lineRule="auto"/>
        <w:ind w:left="0"/>
        <w:jc w:val="left"/>
      </w:pPr>
      <w:r>
        <w:rPr>
          <w:rFonts w:ascii="Arial" w:hAnsi="Arial" w:eastAsia="等线" w:cs="Arial"/>
          <w:sz w:val="22"/>
        </w:rPr>
        <w:t>影响因子： 9.0</w:t>
      </w:r>
    </w:p>
    <w:p>
      <w:pPr>
        <w:spacing w:before="120" w:after="120" w:line="288" w:lineRule="auto"/>
        <w:ind w:left="0"/>
        <w:jc w:val="left"/>
      </w:pPr>
      <w:r>
        <w:rPr>
          <w:rFonts w:ascii="Arial" w:hAnsi="Arial" w:eastAsia="等线" w:cs="Arial"/>
          <w:sz w:val="22"/>
        </w:rPr>
        <w:t>发表年份： 2025</w:t>
      </w:r>
    </w:p>
    <w:p>
      <w:pPr>
        <w:spacing w:before="120" w:after="120" w:line="288" w:lineRule="auto"/>
        <w:ind w:left="0"/>
        <w:jc w:val="left"/>
      </w:pPr>
      <w:r>
        <w:rPr>
          <w:rFonts w:ascii="Arial" w:hAnsi="Arial" w:eastAsia="等线" w:cs="Arial"/>
          <w:b/>
          <w:sz w:val="22"/>
        </w:rPr>
        <w:t>痛点：神经元转录组假尿苷修饰（Ψ）检测面临挑战</w:t>
      </w:r>
    </w:p>
    <w:p>
      <w:pPr>
        <w:spacing w:before="120" w:after="120" w:line="288" w:lineRule="auto"/>
        <w:ind w:left="0"/>
        <w:jc w:val="left"/>
      </w:pPr>
      <w:r>
        <w:rPr>
          <w:rFonts w:ascii="Arial" w:hAnsi="Arial" w:eastAsia="等线" w:cs="Arial"/>
          <w:sz w:val="22"/>
        </w:rPr>
        <w:t>假尿苷（Ψ）是真核生物mRNA上最常见的RNA修饰之一，对mRNA的结构、稳定性和翻译效率具有重要影响。尤其是在神经元中，Ψ修饰被认为在神经功能和疾病中扮演关键角色。然而，针对神经元转录组中Ψ修饰的检测和研究，存在以下显著痛点：</w:t>
      </w:r>
    </w:p>
    <w:p>
      <w:pPr>
        <w:numPr>
          <w:ilvl w:val="0"/>
          <w:numId w:val="66"/>
        </w:numPr>
        <w:spacing w:before="120" w:after="120" w:line="288" w:lineRule="auto"/>
        <w:ind w:left="0"/>
        <w:jc w:val="left"/>
      </w:pPr>
      <w:r>
        <w:rPr>
          <w:rFonts w:ascii="Arial" w:hAnsi="Arial" w:eastAsia="等线" w:cs="Arial"/>
          <w:b/>
          <w:sz w:val="22"/>
        </w:rPr>
        <w:t>传统方法检测困难：</w:t>
      </w:r>
      <w:r>
        <w:rPr>
          <w:rFonts w:ascii="Arial" w:hAnsi="Arial" w:eastAsia="等线" w:cs="Arial"/>
          <w:sz w:val="22"/>
        </w:rPr>
        <w:t xml:space="preserve"> 传统的Ψ检测方法，如基于化学处理（CMC-seq）或质谱的方法，通常耗时、耗材、需要大量起始RNA，且难以在单碱基分辨率上进行高通量检测。化学处理还可能引入偏差或损伤RNA。</w:t>
      </w:r>
    </w:p>
    <w:p>
      <w:pPr>
        <w:numPr>
          <w:ilvl w:val="0"/>
          <w:numId w:val="67"/>
        </w:numPr>
        <w:spacing w:before="120" w:after="120" w:line="288" w:lineRule="auto"/>
        <w:ind w:left="0"/>
        <w:jc w:val="left"/>
      </w:pPr>
      <w:r>
        <w:rPr>
          <w:rFonts w:ascii="Arial" w:hAnsi="Arial" w:eastAsia="等线" w:cs="Arial"/>
          <w:b/>
          <w:sz w:val="22"/>
        </w:rPr>
        <w:t>无法精确区分Ψ和U：</w:t>
      </w:r>
      <w:r>
        <w:rPr>
          <w:rFonts w:ascii="Arial" w:hAnsi="Arial" w:eastAsia="等线" w:cs="Arial"/>
          <w:sz w:val="22"/>
        </w:rPr>
        <w:t xml:space="preserve"> 某些传统方法对Ψ和未修饰的尿苷（U）的区分度不高，导致假阳性或假阴性结果。</w:t>
      </w:r>
    </w:p>
    <w:p>
      <w:pPr>
        <w:numPr>
          <w:ilvl w:val="0"/>
          <w:numId w:val="68"/>
        </w:numPr>
        <w:spacing w:before="120" w:after="120" w:line="288" w:lineRule="auto"/>
        <w:ind w:left="0"/>
        <w:jc w:val="left"/>
      </w:pPr>
      <w:r>
        <w:rPr>
          <w:rFonts w:ascii="Arial" w:hAnsi="Arial" w:eastAsia="等线" w:cs="Arial"/>
          <w:b/>
          <w:sz w:val="22"/>
        </w:rPr>
        <w:t>动态变化难以捕捉：</w:t>
      </w:r>
      <w:r>
        <w:rPr>
          <w:rFonts w:ascii="Arial" w:hAnsi="Arial" w:eastAsia="等线" w:cs="Arial"/>
          <w:sz w:val="22"/>
        </w:rPr>
        <w:t xml:space="preserve"> Ψ修饰并非一成不变，其丰度可能在不同细胞状态或外界刺激下发生动态变化，传统方法难以灵敏地捕捉这些动态过程。</w:t>
      </w:r>
    </w:p>
    <w:p>
      <w:pPr>
        <w:numPr>
          <w:ilvl w:val="0"/>
          <w:numId w:val="69"/>
        </w:numPr>
        <w:spacing w:before="120" w:after="120" w:line="288" w:lineRule="auto"/>
        <w:ind w:left="0"/>
        <w:jc w:val="left"/>
      </w:pPr>
      <w:r>
        <w:rPr>
          <w:rFonts w:ascii="Arial" w:hAnsi="Arial" w:eastAsia="等线" w:cs="Arial"/>
          <w:b/>
          <w:sz w:val="22"/>
        </w:rPr>
        <w:t>酶依赖性研究受限：</w:t>
      </w:r>
      <w:r>
        <w:rPr>
          <w:rFonts w:ascii="Arial" w:hAnsi="Arial" w:eastAsia="等线" w:cs="Arial"/>
          <w:sz w:val="22"/>
        </w:rPr>
        <w:t xml:space="preserve"> 要理解Ψ修饰的调控机制，需要研究负责催化Ψ形成的假尿苷合酶（PUS）。然而，缺乏直接、高效的方法来评估特定PUS酶的缺失或过表达对全局Ψ修饰景观的影响。</w:t>
      </w:r>
    </w:p>
    <w:p>
      <w:pPr>
        <w:numPr>
          <w:ilvl w:val="0"/>
          <w:numId w:val="70"/>
        </w:numPr>
        <w:spacing w:before="120" w:after="120" w:line="288" w:lineRule="auto"/>
        <w:ind w:left="0"/>
        <w:jc w:val="left"/>
      </w:pPr>
      <w:r>
        <w:rPr>
          <w:rFonts w:ascii="Arial" w:hAnsi="Arial" w:eastAsia="等线" w:cs="Arial"/>
          <w:b/>
          <w:sz w:val="22"/>
        </w:rPr>
        <w:t>神经元样本的复杂性：</w:t>
      </w:r>
      <w:r>
        <w:rPr>
          <w:rFonts w:ascii="Arial" w:hAnsi="Arial" w:eastAsia="等线" w:cs="Arial"/>
          <w:sz w:val="22"/>
        </w:rPr>
        <w:t xml:space="preserve"> 神经元细胞类型多样，其转录组复杂且含有大量长非编码RNA，使得高精度地检测和量化Ψ修饰更具挑战性。</w:t>
      </w:r>
    </w:p>
    <w:p>
      <w:pPr>
        <w:spacing w:before="120" w:after="120" w:line="288" w:lineRule="auto"/>
        <w:ind w:left="0"/>
        <w:jc w:val="left"/>
      </w:pPr>
      <w:r>
        <w:rPr>
          <w:rFonts w:ascii="Arial" w:hAnsi="Arial" w:eastAsia="等线" w:cs="Arial"/>
          <w:sz w:val="22"/>
        </w:rPr>
        <w:t>这些限制严重阻碍了我们对Ψ修饰在神经元生理和病理中的作用的深入理解。</w:t>
      </w:r>
    </w:p>
    <w:p>
      <w:pPr>
        <w:spacing w:before="120" w:after="120" w:line="288" w:lineRule="auto"/>
        <w:ind w:left="0"/>
        <w:jc w:val="left"/>
      </w:pPr>
      <w:r>
        <w:rPr>
          <w:rFonts w:ascii="Arial" w:hAnsi="Arial" w:eastAsia="等线" w:cs="Arial"/>
          <w:b/>
          <w:sz w:val="22"/>
        </w:rPr>
        <w:t>突破：DRS精准捕捉Ψ修饰动态，揭示酶依赖性可塑性</w:t>
      </w:r>
    </w:p>
    <w:p>
      <w:pPr>
        <w:spacing w:before="120" w:after="120" w:line="288" w:lineRule="auto"/>
        <w:ind w:left="0"/>
        <w:jc w:val="left"/>
      </w:pPr>
      <w:r>
        <w:rPr>
          <w:rFonts w:ascii="Arial" w:hAnsi="Arial" w:eastAsia="等线" w:cs="Arial"/>
          <w:sz w:val="22"/>
        </w:rPr>
        <w:t>本研究通过充分利用**纳米孔直接RNA测序（Nanopore DRS）**的独特优势，成功克服了上述痛点，首次全面系统地探究了神经元细胞系中Ψ修饰的动态变化及其酶依赖性，取得了关键突破：</w:t>
      </w:r>
    </w:p>
    <w:p>
      <w:pPr>
        <w:numPr>
          <w:ilvl w:val="0"/>
          <w:numId w:val="71"/>
        </w:numPr>
        <w:spacing w:before="120" w:after="120" w:line="288" w:lineRule="auto"/>
        <w:ind w:left="0"/>
        <w:jc w:val="left"/>
      </w:pPr>
      <w:r>
        <w:rPr>
          <w:rFonts w:ascii="Arial" w:hAnsi="Arial" w:eastAsia="等线" w:cs="Arial"/>
          <w:b/>
          <w:sz w:val="22"/>
        </w:rPr>
        <w:t>DRS直接、高通量识别Ψ修饰：</w:t>
      </w:r>
      <w:r>
        <w:rPr>
          <w:rFonts w:ascii="Arial" w:hAnsi="Arial" w:eastAsia="等线" w:cs="Arial"/>
          <w:sz w:val="22"/>
        </w:rPr>
        <w:t xml:space="preserve"> Nanopore DRS通过检测RNA分子通过纳米孔时引起的电流信号变化，能够直接识别Ψ修饰。这种非侵入性、无需逆转录的特性，避免了传统方法的偏差，实现了对数百个假尿苷位点的同时检测，并准确区分了Ψ与U。</w:t>
      </w:r>
    </w:p>
    <w:p>
      <w:pPr>
        <w:numPr>
          <w:ilvl w:val="0"/>
          <w:numId w:val="72"/>
        </w:numPr>
        <w:spacing w:before="120" w:after="120" w:line="288" w:lineRule="auto"/>
        <w:ind w:left="0"/>
        <w:jc w:val="left"/>
      </w:pPr>
      <w:r>
        <w:rPr>
          <w:rFonts w:ascii="Arial" w:hAnsi="Arial" w:eastAsia="等线" w:cs="Arial"/>
          <w:b/>
          <w:sz w:val="22"/>
        </w:rPr>
        <w:t>验证DRS在Ψ检测中的高可靠性：</w:t>
      </w:r>
      <w:r>
        <w:rPr>
          <w:rFonts w:ascii="Arial" w:hAnsi="Arial" w:eastAsia="等线" w:cs="Arial"/>
          <w:sz w:val="22"/>
        </w:rPr>
        <w:t xml:space="preserve"> 研究通过siRNA敲低已知的假尿苷合酶（如</w:t>
      </w:r>
      <w:r>
        <w:rPr>
          <w:rFonts w:ascii="Arial" w:hAnsi="Arial" w:eastAsia="等线" w:cs="Arial"/>
          <w:i/>
          <w:sz w:val="22"/>
        </w:rPr>
        <w:t>PUS1</w:t>
      </w:r>
      <w:r>
        <w:rPr>
          <w:rFonts w:ascii="Arial" w:hAnsi="Arial" w:eastAsia="等线" w:cs="Arial"/>
          <w:sz w:val="22"/>
        </w:rPr>
        <w:t xml:space="preserve">, </w:t>
      </w:r>
      <w:r>
        <w:rPr>
          <w:rFonts w:ascii="Arial" w:hAnsi="Arial" w:eastAsia="等线" w:cs="Arial"/>
          <w:i/>
          <w:sz w:val="22"/>
        </w:rPr>
        <w:t>PUS7</w:t>
      </w:r>
      <w:r>
        <w:rPr>
          <w:rFonts w:ascii="Arial" w:hAnsi="Arial" w:eastAsia="等线" w:cs="Arial"/>
          <w:sz w:val="22"/>
        </w:rPr>
        <w:t xml:space="preserve">, </w:t>
      </w:r>
      <w:r>
        <w:rPr>
          <w:rFonts w:ascii="Arial" w:hAnsi="Arial" w:eastAsia="等线" w:cs="Arial"/>
          <w:i/>
          <w:sz w:val="22"/>
        </w:rPr>
        <w:t>RPUSD2</w:t>
      </w:r>
      <w:r>
        <w:rPr>
          <w:rFonts w:ascii="Arial" w:hAnsi="Arial" w:eastAsia="等线" w:cs="Arial"/>
          <w:sz w:val="22"/>
        </w:rPr>
        <w:t>等），并结合DRS数据进行分析。结果显示，DRS能够精确捕捉到因酶缺失导致的相应靶位点Ψ修饰水平的下降，有力地证明了DRS在酶依赖性Ψ修饰检测方面的灵敏度和准确性。这为特定修饰酶功能的研究提供了强大工具。</w:t>
      </w:r>
    </w:p>
    <w:p>
      <w:pPr>
        <w:numPr>
          <w:ilvl w:val="0"/>
          <w:numId w:val="73"/>
        </w:numPr>
        <w:spacing w:before="120" w:after="120" w:line="288" w:lineRule="auto"/>
        <w:ind w:left="0"/>
        <w:jc w:val="left"/>
      </w:pPr>
      <w:r>
        <w:rPr>
          <w:rFonts w:ascii="Arial" w:hAnsi="Arial" w:eastAsia="等线" w:cs="Arial"/>
          <w:b/>
          <w:sz w:val="22"/>
        </w:rPr>
        <w:t>揭示神经元转录组的“表观转录组可塑性”：</w:t>
      </w:r>
      <w:r>
        <w:rPr>
          <w:rFonts w:ascii="Arial" w:hAnsi="Arial" w:eastAsia="等线" w:cs="Arial"/>
          <w:sz w:val="22"/>
        </w:rPr>
        <w:t xml:space="preserve"> 研究首次在神经元SH-SY5Y细胞系中，在两种模拟生理和非生理状态的扰动下（视黄酸诱导分化和铅暴露），系统地评估了Ψ修饰的动态变化。结果发现，不同扰动会导致独特的Ψ修饰谱，揭示了神经元表观转录组的高度可塑性，并指出了这些变化可能与细胞功能适应性相关。</w:t>
      </w:r>
    </w:p>
    <w:p>
      <w:pPr>
        <w:numPr>
          <w:ilvl w:val="0"/>
          <w:numId w:val="74"/>
        </w:numPr>
        <w:spacing w:before="120" w:after="120" w:line="288" w:lineRule="auto"/>
        <w:ind w:left="0"/>
        <w:jc w:val="left"/>
      </w:pPr>
      <w:r>
        <w:rPr>
          <w:rFonts w:ascii="Arial" w:hAnsi="Arial" w:eastAsia="等线" w:cs="Arial"/>
          <w:b/>
          <w:sz w:val="22"/>
        </w:rPr>
        <w:t>开发和优化分析工具：</w:t>
      </w:r>
      <w:r>
        <w:rPr>
          <w:rFonts w:ascii="Arial" w:hAnsi="Arial" w:eastAsia="等线" w:cs="Arial"/>
          <w:sz w:val="22"/>
        </w:rPr>
        <w:t xml:space="preserve"> 为了精确识别DRS数据中的Ψ修饰，研究团队对现有生物信息学工具（如modkit）进行了优化，使其能够更好地从纳米孔原始电流信号中解析Ψ修饰事件，提升了检测的精准度。</w:t>
      </w:r>
    </w:p>
    <w:p>
      <w:pPr>
        <w:spacing w:before="120" w:after="120" w:line="288" w:lineRule="auto"/>
        <w:ind w:left="0"/>
        <w:jc w:val="left"/>
      </w:pPr>
      <w:r>
        <w:rPr>
          <w:rFonts w:ascii="Arial" w:hAnsi="Arial" w:eastAsia="等线" w:cs="Arial"/>
          <w:b/>
          <w:sz w:val="22"/>
        </w:rPr>
        <w:t>价值：深化神经生物学理解，助力神经疾病治疗</w:t>
      </w:r>
    </w:p>
    <w:p>
      <w:pPr>
        <w:spacing w:before="120" w:after="120" w:line="288" w:lineRule="auto"/>
        <w:ind w:left="0"/>
        <w:jc w:val="left"/>
      </w:pPr>
      <w:r>
        <w:rPr>
          <w:rFonts w:ascii="Arial" w:hAnsi="Arial" w:eastAsia="等线" w:cs="Arial"/>
          <w:sz w:val="22"/>
        </w:rPr>
        <w:t>本研究的突破性成果，对神经生物学研究和神经疾病治疗具有重要价值：</w:t>
      </w:r>
    </w:p>
    <w:p>
      <w:pPr>
        <w:numPr>
          <w:ilvl w:val="0"/>
          <w:numId w:val="75"/>
        </w:numPr>
        <w:spacing w:before="120" w:after="120" w:line="288" w:lineRule="auto"/>
        <w:ind w:left="0"/>
        <w:jc w:val="left"/>
      </w:pPr>
      <w:r>
        <w:rPr>
          <w:rFonts w:ascii="Arial" w:hAnsi="Arial" w:eastAsia="等线" w:cs="Arial"/>
          <w:b/>
          <w:sz w:val="22"/>
        </w:rPr>
        <w:t>开辟神经元表观转录组学研究新领域：</w:t>
      </w:r>
      <w:r>
        <w:rPr>
          <w:rFonts w:ascii="Arial" w:hAnsi="Arial" w:eastAsia="等线" w:cs="Arial"/>
          <w:sz w:val="22"/>
        </w:rPr>
        <w:t xml:space="preserve"> 首次系统性地揭示了神经元中Ψ修饰的复杂动态变化及其酶依赖性，为理解这些修饰在神经元发育、功能维持和应激响应中的作用奠定了基础。</w:t>
      </w:r>
    </w:p>
    <w:p>
      <w:pPr>
        <w:numPr>
          <w:ilvl w:val="0"/>
          <w:numId w:val="76"/>
        </w:numPr>
        <w:spacing w:before="120" w:after="120" w:line="288" w:lineRule="auto"/>
        <w:ind w:left="0"/>
        <w:jc w:val="left"/>
      </w:pPr>
      <w:r>
        <w:rPr>
          <w:rFonts w:ascii="Arial" w:hAnsi="Arial" w:eastAsia="等线" w:cs="Arial"/>
          <w:b/>
          <w:sz w:val="22"/>
        </w:rPr>
        <w:t>提供精确的Ψ修饰检测工具：</w:t>
      </w:r>
      <w:r>
        <w:rPr>
          <w:rFonts w:ascii="Arial" w:hAnsi="Arial" w:eastAsia="等线" w:cs="Arial"/>
          <w:sz w:val="22"/>
        </w:rPr>
        <w:t xml:space="preserve"> 证明了Nanopore DRS在单碱基分辨率上高通量、直接检测Ψ修饰的强大能力，为未来研究Ψ修饰在其他细胞类型和生理病理条件下的功能提供了可靠的工具。</w:t>
      </w:r>
    </w:p>
    <w:p>
      <w:pPr>
        <w:numPr>
          <w:ilvl w:val="0"/>
          <w:numId w:val="77"/>
        </w:numPr>
        <w:spacing w:before="120" w:after="120" w:line="288" w:lineRule="auto"/>
        <w:ind w:left="0"/>
        <w:jc w:val="left"/>
      </w:pPr>
      <w:r>
        <w:rPr>
          <w:rFonts w:ascii="Arial" w:hAnsi="Arial" w:eastAsia="等线" w:cs="Arial"/>
          <w:b/>
          <w:sz w:val="22"/>
        </w:rPr>
        <w:t>揭示神经元可塑性的新机制：</w:t>
      </w:r>
      <w:r>
        <w:rPr>
          <w:rFonts w:ascii="Arial" w:hAnsi="Arial" w:eastAsia="等线" w:cs="Arial"/>
          <w:sz w:val="22"/>
        </w:rPr>
        <w:t xml:space="preserve"> 通过分析不同扰动下Ψ修饰的动态变化，本研究揭示了表观转录组在神经元适应不同生理和病理状态中的重要作用，为理解神经可塑性提供了新的分子机制。</w:t>
      </w:r>
    </w:p>
    <w:p>
      <w:pPr>
        <w:numPr>
          <w:ilvl w:val="0"/>
          <w:numId w:val="78"/>
        </w:numPr>
        <w:spacing w:before="120" w:after="120" w:line="288" w:lineRule="auto"/>
        <w:ind w:left="0"/>
        <w:jc w:val="left"/>
      </w:pPr>
      <w:r>
        <w:rPr>
          <w:rFonts w:ascii="Arial" w:hAnsi="Arial" w:eastAsia="等线" w:cs="Arial"/>
          <w:b/>
          <w:sz w:val="22"/>
        </w:rPr>
        <w:t>为神经疾病研究提供潜在靶点：</w:t>
      </w:r>
      <w:r>
        <w:rPr>
          <w:rFonts w:ascii="Arial" w:hAnsi="Arial" w:eastAsia="等线" w:cs="Arial"/>
          <w:sz w:val="22"/>
        </w:rPr>
        <w:t xml:space="preserve"> 铅暴露对Ψ修饰的显著影响暗示了环境毒素可能通过改变RNA修饰来影响神经元功能。深入研究这些改变，可能为神经退行性疾病、神经发育障碍等提供新的诊断生物标志物或治疗靶点。</w:t>
      </w:r>
    </w:p>
    <w:p>
      <w:pPr>
        <w:numPr>
          <w:ilvl w:val="0"/>
          <w:numId w:val="79"/>
        </w:numPr>
        <w:spacing w:before="120" w:after="120" w:line="288" w:lineRule="auto"/>
        <w:ind w:left="0"/>
        <w:jc w:val="left"/>
      </w:pPr>
      <w:r>
        <w:rPr>
          <w:rFonts w:ascii="Arial" w:hAnsi="Arial" w:eastAsia="等线" w:cs="Arial"/>
          <w:b/>
          <w:sz w:val="22"/>
        </w:rPr>
        <w:t>推动RNA修饰功能性研究：</w:t>
      </w:r>
      <w:r>
        <w:rPr>
          <w:rFonts w:ascii="Arial" w:hAnsi="Arial" w:eastAsia="等线" w:cs="Arial"/>
          <w:sz w:val="22"/>
        </w:rPr>
        <w:t xml:space="preserve"> 该研究不仅检测了修饰，更通过酶缺失实验直接验证了修饰与特定酶的因果关系，为探究各种RNA修饰的功能提供了新的研究思路。</w:t>
      </w:r>
    </w:p>
    <w:p>
      <w:pPr>
        <w:spacing w:before="120" w:after="120" w:line="288" w:lineRule="auto"/>
        <w:ind w:left="0"/>
        <w:jc w:val="left"/>
      </w:pPr>
      <w:r>
        <w:rPr>
          <w:rFonts w:ascii="Arial" w:hAnsi="Arial" w:eastAsia="等线" w:cs="Arial"/>
          <w:sz w:val="22"/>
        </w:rPr>
        <w:t>总而言之，这项研究通过Nanopore DRS的创新应用，不仅解决了神经元Ψ修饰检测的长期痛点，更重要的是，它揭示了表观转录组在神经元中的动态可塑性及其与生理病理的紧密关联，无疑是DRS在神经生物学和表观遗传学领域应用的又一典范。</w:t>
      </w:r>
    </w:p>
    <w:p>
      <w:pPr>
        <w:spacing w:before="120" w:after="120" w:line="288" w:lineRule="auto"/>
        <w:ind w:left="0"/>
        <w:jc w:val="center"/>
      </w:pPr>
      <w:r>
        <w:drawing>
          <wp:inline distT="0" distB="0" distL="0" distR="0">
            <wp:extent cx="5257800" cy="5257800"/>
            <wp:effectExtent l="0" t="0" r="0" b="0"/>
            <wp:docPr id="8" name="Draw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rawing 7"/>
                    <pic:cNvPicPr>
                      <a:picLocks noChangeAspect="1"/>
                    </pic:cNvPicPr>
                  </pic:nvPicPr>
                  <pic:blipFill>
                    <a:blip r:embed="rId13"/>
                    <a:stretch>
                      <a:fillRect/>
                    </a:stretch>
                  </pic:blipFill>
                  <pic:spPr>
                    <a:xfrm>
                      <a:off x="0" y="0"/>
                      <a:ext cx="5257800" cy="5257800"/>
                    </a:xfrm>
                    <a:prstGeom prst="rect">
                      <a:avLst/>
                    </a:prstGeom>
                  </pic:spPr>
                </pic:pic>
              </a:graphicData>
            </a:graphic>
          </wp:inline>
        </w:drawing>
      </w:r>
    </w:p>
    <w:p>
      <w:pPr>
        <w:spacing w:before="120" w:after="120" w:line="288" w:lineRule="auto"/>
        <w:ind w:left="0"/>
        <w:jc w:val="left"/>
      </w:pPr>
    </w:p>
    <w:p>
      <w:pPr>
        <w:spacing w:before="320" w:after="120" w:line="288" w:lineRule="auto"/>
        <w:ind w:left="0"/>
        <w:jc w:val="left"/>
        <w:outlineLvl w:val="1"/>
      </w:pPr>
      <w:bookmarkStart w:id="9" w:name="heading_10"/>
      <w:r>
        <w:rPr>
          <w:rFonts w:ascii="Arial" w:hAnsi="Arial" w:eastAsia="等线" w:cs="Arial"/>
          <w:b/>
          <w:sz w:val="32"/>
        </w:rPr>
        <w:t>案例九：纳米孔DRS揭示大肠杆菌热应激下的表观转录组动态变化</w:t>
      </w:r>
      <w:bookmarkEnd w:id="9"/>
    </w:p>
    <w:p>
      <w:pPr>
        <w:spacing w:before="120" w:after="120" w:line="288" w:lineRule="auto"/>
        <w:ind w:left="0"/>
        <w:jc w:val="left"/>
      </w:pPr>
      <w:r>
        <w:rPr>
          <w:rFonts w:ascii="Arial" w:hAnsi="Arial" w:eastAsia="等线" w:cs="Arial"/>
          <w:sz w:val="22"/>
        </w:rPr>
        <w:t xml:space="preserve">文章标题： Direct RNA sequencing of the </w:t>
      </w:r>
      <w:r>
        <w:rPr>
          <w:rFonts w:ascii="Arial" w:hAnsi="Arial" w:eastAsia="等线" w:cs="Arial"/>
          <w:i/>
          <w:sz w:val="22"/>
        </w:rPr>
        <w:t>Escherichia coli</w:t>
      </w:r>
      <w:r>
        <w:rPr>
          <w:rFonts w:ascii="Arial" w:hAnsi="Arial" w:eastAsia="等线" w:cs="Arial"/>
          <w:sz w:val="22"/>
        </w:rPr>
        <w:t xml:space="preserve"> epitranscriptome uncovers alterations under heat stress</w:t>
      </w:r>
    </w:p>
    <w:p>
      <w:pPr>
        <w:spacing w:before="120" w:after="120" w:line="288" w:lineRule="auto"/>
        <w:ind w:left="0"/>
        <w:jc w:val="left"/>
      </w:pPr>
      <w:r>
        <w:rPr>
          <w:rFonts w:ascii="Arial" w:hAnsi="Arial" w:eastAsia="等线" w:cs="Arial"/>
          <w:sz w:val="22"/>
        </w:rPr>
        <w:t>发表期刊： Nucleic Acids Research</w:t>
      </w:r>
    </w:p>
    <w:p>
      <w:pPr>
        <w:spacing w:before="120" w:after="120" w:line="288" w:lineRule="auto"/>
        <w:ind w:left="0"/>
        <w:jc w:val="left"/>
      </w:pPr>
      <w:r>
        <w:rPr>
          <w:rFonts w:ascii="Arial" w:hAnsi="Arial" w:eastAsia="等线" w:cs="Arial"/>
          <w:sz w:val="22"/>
        </w:rPr>
        <w:t>影响因子： 16.7</w:t>
      </w:r>
    </w:p>
    <w:p>
      <w:pPr>
        <w:spacing w:before="120" w:after="120" w:line="288" w:lineRule="auto"/>
        <w:ind w:left="0"/>
        <w:jc w:val="left"/>
      </w:pPr>
      <w:r>
        <w:rPr>
          <w:rFonts w:ascii="Arial" w:hAnsi="Arial" w:eastAsia="等线" w:cs="Arial"/>
          <w:sz w:val="22"/>
        </w:rPr>
        <w:t>发表年份： 2025</w:t>
      </w:r>
    </w:p>
    <w:p>
      <w:pPr>
        <w:spacing w:before="120" w:after="120" w:line="288" w:lineRule="auto"/>
        <w:ind w:left="0"/>
        <w:jc w:val="left"/>
      </w:pPr>
      <w:r>
        <w:rPr>
          <w:rFonts w:ascii="Arial" w:hAnsi="Arial" w:eastAsia="等线" w:cs="Arial"/>
          <w:b/>
          <w:sz w:val="22"/>
        </w:rPr>
        <w:t>痛点：原核生物RNA修饰研究滞后，动态应激响应机制不明</w:t>
      </w:r>
    </w:p>
    <w:p>
      <w:pPr>
        <w:spacing w:before="120" w:after="120" w:line="288" w:lineRule="auto"/>
        <w:ind w:left="0"/>
        <w:jc w:val="left"/>
      </w:pPr>
      <w:r>
        <w:rPr>
          <w:rFonts w:ascii="Arial" w:hAnsi="Arial" w:eastAsia="等线" w:cs="Arial"/>
          <w:sz w:val="22"/>
        </w:rPr>
        <w:t>原核生物，特别是模式菌株大肠杆菌（</w:t>
      </w:r>
      <w:r>
        <w:rPr>
          <w:rFonts w:ascii="Arial" w:hAnsi="Arial" w:eastAsia="等线" w:cs="Arial"/>
          <w:i/>
          <w:sz w:val="22"/>
        </w:rPr>
        <w:t>Escherichia coli</w:t>
      </w:r>
      <w:r>
        <w:rPr>
          <w:rFonts w:ascii="Arial" w:hAnsi="Arial" w:eastAsia="等线" w:cs="Arial"/>
          <w:sz w:val="22"/>
        </w:rPr>
        <w:t>），是研究基本生命过程和微生物生理学的重要模型。虽然我们对细菌基因组和转录组的理解较为深入，但对其RNA修饰（即表观转录组）的认知却相对滞后，尤其是在动态生理应激条件下的变化。这主要源于以下痛点：</w:t>
      </w:r>
    </w:p>
    <w:p>
      <w:pPr>
        <w:numPr>
          <w:ilvl w:val="0"/>
          <w:numId w:val="80"/>
        </w:numPr>
        <w:spacing w:before="120" w:after="120" w:line="288" w:lineRule="auto"/>
        <w:ind w:left="0"/>
        <w:jc w:val="left"/>
      </w:pPr>
      <w:r>
        <w:rPr>
          <w:rFonts w:ascii="Arial" w:hAnsi="Arial" w:eastAsia="等线" w:cs="Arial"/>
          <w:b/>
          <w:sz w:val="22"/>
        </w:rPr>
        <w:t>原核生物RNA修饰图谱不完整：</w:t>
      </w:r>
      <w:r>
        <w:rPr>
          <w:rFonts w:ascii="Arial" w:hAnsi="Arial" w:eastAsia="等线" w:cs="Arial"/>
          <w:sz w:val="22"/>
        </w:rPr>
        <w:t xml:space="preserve"> 相较于真核生物，原核生物的RNA修饰种类和分布研究较少，缺乏系统性的高通量分析方法来全面绘制其表观转录组图谱。</w:t>
      </w:r>
    </w:p>
    <w:p>
      <w:pPr>
        <w:numPr>
          <w:ilvl w:val="0"/>
          <w:numId w:val="81"/>
        </w:numPr>
        <w:spacing w:before="120" w:after="120" w:line="288" w:lineRule="auto"/>
        <w:ind w:left="0"/>
        <w:jc w:val="left"/>
      </w:pPr>
      <w:r>
        <w:rPr>
          <w:rFonts w:ascii="Arial" w:hAnsi="Arial" w:eastAsia="等线" w:cs="Arial"/>
          <w:b/>
          <w:sz w:val="22"/>
        </w:rPr>
        <w:t>传统检测方法效率低下：</w:t>
      </w:r>
      <w:r>
        <w:rPr>
          <w:rFonts w:ascii="Arial" w:hAnsi="Arial" w:eastAsia="等线" w:cs="Arial"/>
          <w:sz w:val="22"/>
        </w:rPr>
        <w:t xml:space="preserve"> 经典的RNA修饰检测方法（如薄层色谱、质谱分析）通常需要大量样本，且无法实现高通量、单碱基分辨率的检测，难以捕捉全局性的修饰变化。</w:t>
      </w:r>
    </w:p>
    <w:p>
      <w:pPr>
        <w:numPr>
          <w:ilvl w:val="0"/>
          <w:numId w:val="82"/>
        </w:numPr>
        <w:spacing w:before="120" w:after="120" w:line="288" w:lineRule="auto"/>
        <w:ind w:left="0"/>
        <w:jc w:val="left"/>
      </w:pPr>
      <w:r>
        <w:rPr>
          <w:rFonts w:ascii="Arial" w:hAnsi="Arial" w:eastAsia="等线" w:cs="Arial"/>
          <w:b/>
          <w:sz w:val="22"/>
        </w:rPr>
        <w:t>无法直接检测RNA修饰：</w:t>
      </w:r>
      <w:r>
        <w:rPr>
          <w:rFonts w:ascii="Arial" w:hAnsi="Arial" w:eastAsia="等线" w:cs="Arial"/>
          <w:sz w:val="22"/>
        </w:rPr>
        <w:t xml:space="preserve"> 大部分传统RNA测序技术（如短读长RNA-seq）需要将RNA逆转录为cDNA，这导致无法直接获取RNA上的修饰信息，限制了对修饰在基因表达调控中作用的理解。</w:t>
      </w:r>
    </w:p>
    <w:p>
      <w:pPr>
        <w:numPr>
          <w:ilvl w:val="0"/>
          <w:numId w:val="83"/>
        </w:numPr>
        <w:spacing w:before="120" w:after="120" w:line="288" w:lineRule="auto"/>
        <w:ind w:left="0"/>
        <w:jc w:val="left"/>
      </w:pPr>
      <w:r>
        <w:rPr>
          <w:rFonts w:ascii="Arial" w:hAnsi="Arial" w:eastAsia="等线" w:cs="Arial"/>
          <w:b/>
          <w:sz w:val="22"/>
        </w:rPr>
        <w:t>应激响应机制的盲区：</w:t>
      </w:r>
      <w:r>
        <w:rPr>
          <w:rFonts w:ascii="Arial" w:hAnsi="Arial" w:eastAsia="等线" w:cs="Arial"/>
          <w:sz w:val="22"/>
        </w:rPr>
        <w:t xml:space="preserve"> 细菌在面对环境应激（如热应激）时会迅速调整其生理状态，但这些调整是否涉及RNA修饰的动态变化，以及具体如何发生，仍是研究的盲区。缺乏能够直接、实时监测这些变化的工具。</w:t>
      </w:r>
    </w:p>
    <w:p>
      <w:pPr>
        <w:numPr>
          <w:ilvl w:val="0"/>
          <w:numId w:val="84"/>
        </w:numPr>
        <w:spacing w:before="120" w:after="120" w:line="288" w:lineRule="auto"/>
        <w:ind w:left="0"/>
        <w:jc w:val="left"/>
      </w:pPr>
      <w:r>
        <w:rPr>
          <w:rFonts w:ascii="Arial" w:hAnsi="Arial" w:eastAsia="等线" w:cs="Arial"/>
          <w:b/>
          <w:sz w:val="22"/>
        </w:rPr>
        <w:t>难以区分修饰和自然变异：</w:t>
      </w:r>
      <w:r>
        <w:rPr>
          <w:rFonts w:ascii="Arial" w:hAnsi="Arial" w:eastAsia="等线" w:cs="Arial"/>
          <w:sz w:val="22"/>
        </w:rPr>
        <w:t xml:space="preserve"> 在某些情况下，修饰信号可能与RNA序列的自然变异混淆，增加了数据分析的复杂性。</w:t>
      </w:r>
    </w:p>
    <w:p>
      <w:pPr>
        <w:spacing w:before="120" w:after="120" w:line="288" w:lineRule="auto"/>
        <w:ind w:left="0"/>
        <w:jc w:val="left"/>
      </w:pPr>
      <w:r>
        <w:rPr>
          <w:rFonts w:ascii="Arial" w:hAnsi="Arial" w:eastAsia="等线" w:cs="Arial"/>
          <w:sz w:val="22"/>
        </w:rPr>
        <w:t>这些限制使得全面解析原核生物表观转录组及其在环境适应中的作用成为一项挑战。</w:t>
      </w:r>
    </w:p>
    <w:p>
      <w:pPr>
        <w:spacing w:before="120" w:after="120" w:line="288" w:lineRule="auto"/>
        <w:ind w:left="0"/>
        <w:jc w:val="left"/>
      </w:pPr>
      <w:r>
        <w:rPr>
          <w:rFonts w:ascii="Arial" w:hAnsi="Arial" w:eastAsia="等线" w:cs="Arial"/>
          <w:b/>
          <w:sz w:val="22"/>
        </w:rPr>
        <w:t>突破：DRS直接捕捉热应激下大肠杆菌表观转录组动态</w:t>
      </w:r>
    </w:p>
    <w:p>
      <w:pPr>
        <w:spacing w:before="120" w:after="120" w:line="288" w:lineRule="auto"/>
        <w:ind w:left="0"/>
        <w:jc w:val="left"/>
      </w:pPr>
      <w:r>
        <w:rPr>
          <w:rFonts w:ascii="Arial" w:hAnsi="Arial" w:eastAsia="等线" w:cs="Arial"/>
          <w:sz w:val="22"/>
        </w:rPr>
        <w:t>本研究首次全面利用**纳米孔直接RNA测序（Nanopore DRS）**的独特能力，结合深入的生物信息学分析，系统地揭示了大肠杆菌在热应激条件下表观转录组的动态变化，取得了关键突破：</w:t>
      </w:r>
    </w:p>
    <w:p>
      <w:pPr>
        <w:numPr>
          <w:ilvl w:val="0"/>
          <w:numId w:val="85"/>
        </w:numPr>
        <w:spacing w:before="120" w:after="120" w:line="288" w:lineRule="auto"/>
        <w:ind w:left="0"/>
        <w:jc w:val="left"/>
      </w:pPr>
      <w:r>
        <w:rPr>
          <w:rFonts w:ascii="Arial" w:hAnsi="Arial" w:eastAsia="等线" w:cs="Arial"/>
          <w:b/>
          <w:sz w:val="22"/>
        </w:rPr>
        <w:t>DRS直接、无偏差地检测RNA修饰：</w:t>
      </w:r>
      <w:r>
        <w:rPr>
          <w:rFonts w:ascii="Arial" w:hAnsi="Arial" w:eastAsia="等线" w:cs="Arial"/>
          <w:sz w:val="22"/>
        </w:rPr>
        <w:t xml:space="preserve"> Nanopore DRS通过检测RNA分子通过纳米孔时引起的电流信号变化，能够直接识别多种RNA修饰（如m6A, Ψ, m5C等），无需逆转录或化学处理。这避免了传统方法可能引入的偏差和对修饰的破坏，实现了对大肠杆菌全转录组范围内修饰位点的无偏倚检测。</w:t>
      </w:r>
    </w:p>
    <w:p>
      <w:pPr>
        <w:numPr>
          <w:ilvl w:val="0"/>
          <w:numId w:val="86"/>
        </w:numPr>
        <w:spacing w:before="120" w:after="120" w:line="288" w:lineRule="auto"/>
        <w:ind w:left="0"/>
        <w:jc w:val="left"/>
      </w:pPr>
      <w:r>
        <w:rPr>
          <w:rFonts w:ascii="Arial" w:hAnsi="Arial" w:eastAsia="等线" w:cs="Arial"/>
          <w:b/>
          <w:sz w:val="22"/>
        </w:rPr>
        <w:t>揭示热应激诱导的mRNA和tRNA修饰变化：</w:t>
      </w:r>
      <w:r>
        <w:rPr>
          <w:rFonts w:ascii="Arial" w:hAnsi="Arial" w:eastAsia="等线" w:cs="Arial"/>
          <w:sz w:val="22"/>
        </w:rPr>
        <w:t xml:space="preserve"> 研究发现，在大肠杆菌经历热应激时，其mRNA和tRNA上的多种修饰（特别是2-甲基腺苷 (m$^2$A) 和2-甲基鸟苷 (m$^2$G)）发生了显著的动态改变。这是首次在全转录组水平上系统性地捕捉到细菌在环境应激下RNA修饰的广谱响应，揭示了表观转录组在细菌应激适应中的重要作用。</w:t>
      </w:r>
    </w:p>
    <w:p>
      <w:pPr>
        <w:numPr>
          <w:ilvl w:val="0"/>
          <w:numId w:val="87"/>
        </w:numPr>
        <w:spacing w:before="120" w:after="120" w:line="288" w:lineRule="auto"/>
        <w:ind w:left="0"/>
        <w:jc w:val="left"/>
      </w:pPr>
      <w:r>
        <w:rPr>
          <w:rFonts w:ascii="Arial" w:hAnsi="Arial" w:eastAsia="等线" w:cs="Arial"/>
          <w:b/>
          <w:sz w:val="22"/>
        </w:rPr>
        <w:t>识别潜在的修饰酶靶点：</w:t>
      </w:r>
      <w:r>
        <w:rPr>
          <w:rFonts w:ascii="Arial" w:hAnsi="Arial" w:eastAsia="等线" w:cs="Arial"/>
          <w:sz w:val="22"/>
        </w:rPr>
        <w:t xml:space="preserve"> 通过结合DRS数据与已知的修饰酶功能，研究人员能够推断出哪些修饰酶在热应激条件下可能被激活或抑制，进而影响了特定的RNA修饰。这为后续深入研究修饰酶在应激响应中的机制提供了明确方向。</w:t>
      </w:r>
    </w:p>
    <w:p>
      <w:pPr>
        <w:numPr>
          <w:ilvl w:val="0"/>
          <w:numId w:val="88"/>
        </w:numPr>
        <w:spacing w:before="120" w:after="120" w:line="288" w:lineRule="auto"/>
        <w:ind w:left="0"/>
        <w:jc w:val="left"/>
      </w:pPr>
      <w:r>
        <w:rPr>
          <w:rFonts w:ascii="Arial" w:hAnsi="Arial" w:eastAsia="等线" w:cs="Arial"/>
          <w:b/>
          <w:sz w:val="22"/>
        </w:rPr>
        <w:t>提供高分辨率的修饰图谱：</w:t>
      </w:r>
      <w:r>
        <w:rPr>
          <w:rFonts w:ascii="Arial" w:hAnsi="Arial" w:eastAsia="等线" w:cs="Arial"/>
          <w:sz w:val="22"/>
        </w:rPr>
        <w:t xml:space="preserve"> DRS的单分子分辨率特性使得研究能够精确地定位修饰位点，并量化其丰度，从而构建了迄今为止最详细的大肠杆菌表观转录组图谱，特别是针对热应激条件下的动态变化。</w:t>
      </w:r>
    </w:p>
    <w:p>
      <w:pPr>
        <w:numPr>
          <w:ilvl w:val="0"/>
          <w:numId w:val="89"/>
        </w:numPr>
        <w:spacing w:before="120" w:after="120" w:line="288" w:lineRule="auto"/>
        <w:ind w:left="0"/>
        <w:jc w:val="left"/>
      </w:pPr>
      <w:r>
        <w:rPr>
          <w:rFonts w:ascii="Arial" w:hAnsi="Arial" w:eastAsia="等线" w:cs="Arial"/>
          <w:b/>
          <w:sz w:val="22"/>
        </w:rPr>
        <w:t>为原核生物表观转录组研究树立范例：</w:t>
      </w:r>
      <w:r>
        <w:rPr>
          <w:rFonts w:ascii="Arial" w:hAnsi="Arial" w:eastAsia="等线" w:cs="Arial"/>
          <w:sz w:val="22"/>
        </w:rPr>
        <w:t xml:space="preserve"> 本研究成功展示了DRS在解析原核生物复杂表观转录组方面的强大能力，为其他原核微生物的表观转录组学研究提供了重要的技术和分析框架。</w:t>
      </w:r>
    </w:p>
    <w:p>
      <w:pPr>
        <w:spacing w:before="120" w:after="120" w:line="288" w:lineRule="auto"/>
        <w:ind w:left="0"/>
        <w:jc w:val="left"/>
      </w:pPr>
      <w:r>
        <w:rPr>
          <w:rFonts w:ascii="Arial" w:hAnsi="Arial" w:eastAsia="等线" w:cs="Arial"/>
          <w:b/>
          <w:sz w:val="22"/>
        </w:rPr>
        <w:t>价值：深化细菌应激响应理解，赋能抗菌策略开发</w:t>
      </w:r>
    </w:p>
    <w:p>
      <w:pPr>
        <w:spacing w:before="120" w:after="120" w:line="288" w:lineRule="auto"/>
        <w:ind w:left="0"/>
        <w:jc w:val="left"/>
      </w:pPr>
      <w:r>
        <w:rPr>
          <w:rFonts w:ascii="Arial" w:hAnsi="Arial" w:eastAsia="等线" w:cs="Arial"/>
          <w:sz w:val="22"/>
        </w:rPr>
        <w:t>本研究的突破性成果，对细菌生理学、感染生物学和药物开发具有重要价值：</w:t>
      </w:r>
    </w:p>
    <w:p>
      <w:pPr>
        <w:numPr>
          <w:ilvl w:val="0"/>
          <w:numId w:val="90"/>
        </w:numPr>
        <w:spacing w:before="120" w:after="120" w:line="288" w:lineRule="auto"/>
        <w:ind w:left="0"/>
        <w:jc w:val="left"/>
      </w:pPr>
      <w:r>
        <w:rPr>
          <w:rFonts w:ascii="Arial" w:hAnsi="Arial" w:eastAsia="等线" w:cs="Arial"/>
          <w:b/>
          <w:sz w:val="22"/>
        </w:rPr>
        <w:t>拓宽细菌应激响应机制认知：</w:t>
      </w:r>
      <w:r>
        <w:rPr>
          <w:rFonts w:ascii="Arial" w:hAnsi="Arial" w:eastAsia="等线" w:cs="Arial"/>
          <w:sz w:val="22"/>
        </w:rPr>
        <w:t xml:space="preserve"> 首次在全转录组层面揭示了细菌在热应激下会广泛改变其RNA修饰图谱，为理解细菌如何通过表观转录组适应不利环境提供了全新的视角，补充了仅关注基因表达变化的传统观念。</w:t>
      </w:r>
    </w:p>
    <w:p>
      <w:pPr>
        <w:numPr>
          <w:ilvl w:val="0"/>
          <w:numId w:val="91"/>
        </w:numPr>
        <w:spacing w:before="120" w:after="120" w:line="288" w:lineRule="auto"/>
        <w:ind w:left="0"/>
        <w:jc w:val="left"/>
      </w:pPr>
      <w:r>
        <w:rPr>
          <w:rFonts w:ascii="Arial" w:hAnsi="Arial" w:eastAsia="等线" w:cs="Arial"/>
          <w:b/>
          <w:sz w:val="22"/>
        </w:rPr>
        <w:t>为抗菌策略提供新靶点：</w:t>
      </w:r>
      <w:r>
        <w:rPr>
          <w:rFonts w:ascii="Arial" w:hAnsi="Arial" w:eastAsia="等线" w:cs="Arial"/>
          <w:sz w:val="22"/>
        </w:rPr>
        <w:t xml:space="preserve"> 鉴于RNA修饰在细菌生长、代谢和应激适应中的关键作用，本研究发现的应激相关修饰位点及其调控酶，可能成为开发新型抗菌药物的潜在靶点，有助于应对日益严峻的细菌耐药性问题。</w:t>
      </w:r>
    </w:p>
    <w:p>
      <w:pPr>
        <w:numPr>
          <w:ilvl w:val="0"/>
          <w:numId w:val="92"/>
        </w:numPr>
        <w:spacing w:before="120" w:after="120" w:line="288" w:lineRule="auto"/>
        <w:ind w:left="0"/>
        <w:jc w:val="left"/>
      </w:pPr>
      <w:r>
        <w:rPr>
          <w:rFonts w:ascii="Arial" w:hAnsi="Arial" w:eastAsia="等线" w:cs="Arial"/>
          <w:b/>
          <w:sz w:val="22"/>
        </w:rPr>
        <w:t>推动原核生物表观转录组学发展：</w:t>
      </w:r>
      <w:r>
        <w:rPr>
          <w:rFonts w:ascii="Arial" w:hAnsi="Arial" w:eastAsia="等线" w:cs="Arial"/>
          <w:sz w:val="22"/>
        </w:rPr>
        <w:t xml:space="preserve"> 填补了原核生物表观转录组研究的空白，为未来系统性研究细菌、古细菌甚至病毒的RNA修饰图谱和功能奠定了基础。</w:t>
      </w:r>
    </w:p>
    <w:p>
      <w:pPr>
        <w:numPr>
          <w:ilvl w:val="0"/>
          <w:numId w:val="93"/>
        </w:numPr>
        <w:spacing w:before="120" w:after="120" w:line="288" w:lineRule="auto"/>
        <w:ind w:left="0"/>
        <w:jc w:val="left"/>
      </w:pPr>
      <w:r>
        <w:rPr>
          <w:rFonts w:ascii="Arial" w:hAnsi="Arial" w:eastAsia="等线" w:cs="Arial"/>
          <w:b/>
          <w:sz w:val="22"/>
        </w:rPr>
        <w:t>优化发酵和生物制造过程：</w:t>
      </w:r>
      <w:r>
        <w:rPr>
          <w:rFonts w:ascii="Arial" w:hAnsi="Arial" w:eastAsia="等线" w:cs="Arial"/>
          <w:sz w:val="22"/>
        </w:rPr>
        <w:t xml:space="preserve"> 深入了解细菌在不同环境下的RNA修饰动态，有助于优化工业微生物的发酵条件，提高生物产品的产量和质量。</w:t>
      </w:r>
    </w:p>
    <w:p>
      <w:pPr>
        <w:numPr>
          <w:ilvl w:val="0"/>
          <w:numId w:val="94"/>
        </w:numPr>
        <w:spacing w:before="120" w:after="120" w:line="288" w:lineRule="auto"/>
        <w:ind w:left="0"/>
        <w:jc w:val="left"/>
      </w:pPr>
      <w:r>
        <w:rPr>
          <w:rFonts w:ascii="Arial" w:hAnsi="Arial" w:eastAsia="等线" w:cs="Arial"/>
          <w:b/>
          <w:sz w:val="22"/>
        </w:rPr>
        <w:t>展示DRS在微生物研究中的巨大潜力：</w:t>
      </w:r>
      <w:r>
        <w:rPr>
          <w:rFonts w:ascii="Arial" w:hAnsi="Arial" w:eastAsia="等线" w:cs="Arial"/>
          <w:sz w:val="22"/>
        </w:rPr>
        <w:t xml:space="preserve"> 本研究再次证明了Nanopore DRS作为一种强大工具，不仅适用于真核生物，也能在原核生物的表观转录组学研究中发挥关键作用，其直接检测修饰的能力在微生物应激响应研究中具有独特优势。</w:t>
      </w:r>
    </w:p>
    <w:p>
      <w:pPr>
        <w:spacing w:before="120" w:after="120" w:line="288" w:lineRule="auto"/>
        <w:ind w:left="0"/>
        <w:jc w:val="left"/>
      </w:pPr>
      <w:r>
        <w:rPr>
          <w:rFonts w:ascii="Arial" w:hAnsi="Arial" w:eastAsia="等线" w:cs="Arial"/>
          <w:sz w:val="22"/>
        </w:rPr>
        <w:t>总而言之，这项研究通过Nanopore DRS的革命性应用，不仅揭示了大肠杆菌在热应激下表观转录组的动态调控，更重要的是，它为我们理解细菌适应环境的复杂机制提供了新的分子层面见解，无疑是DRS在微生物学和表观遗传学领域应用的又一典范。</w:t>
      </w:r>
    </w:p>
    <w:p>
      <w:pPr>
        <w:spacing w:before="120" w:after="120" w:line="288" w:lineRule="auto"/>
        <w:ind w:left="0"/>
        <w:jc w:val="center"/>
      </w:pPr>
      <w:r>
        <w:drawing>
          <wp:inline distT="0" distB="0" distL="0" distR="0">
            <wp:extent cx="5257800" cy="1990725"/>
            <wp:effectExtent l="0" t="0" r="0" b="9525"/>
            <wp:docPr id="9" name="Draw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rawing 8"/>
                    <pic:cNvPicPr>
                      <a:picLocks noChangeAspect="1"/>
                    </pic:cNvPicPr>
                  </pic:nvPicPr>
                  <pic:blipFill>
                    <a:blip r:embed="rId14"/>
                    <a:stretch>
                      <a:fillRect/>
                    </a:stretch>
                  </pic:blipFill>
                  <pic:spPr>
                    <a:xfrm>
                      <a:off x="0" y="0"/>
                      <a:ext cx="5257800" cy="1990725"/>
                    </a:xfrm>
                    <a:prstGeom prst="rect">
                      <a:avLst/>
                    </a:prstGeom>
                  </pic:spPr>
                </pic:pic>
              </a:graphicData>
            </a:graphic>
          </wp:inline>
        </w:drawing>
      </w:r>
    </w:p>
    <w:p>
      <w:pPr>
        <w:spacing w:before="120" w:after="120" w:line="288" w:lineRule="auto"/>
        <w:ind w:left="0"/>
        <w:jc w:val="left"/>
      </w:pPr>
    </w:p>
    <w:p>
      <w:pPr>
        <w:spacing w:before="320" w:after="120" w:line="288" w:lineRule="auto"/>
        <w:ind w:left="0"/>
        <w:jc w:val="left"/>
        <w:outlineLvl w:val="1"/>
      </w:pPr>
      <w:bookmarkStart w:id="10" w:name="heading_11"/>
      <w:r>
        <w:rPr>
          <w:rFonts w:ascii="Arial" w:hAnsi="Arial" w:eastAsia="等线" w:cs="Arial"/>
          <w:b/>
          <w:sz w:val="32"/>
        </w:rPr>
        <w:t>案例十：DRS揭示水稻表观转录组复杂动态，赋能作物改良</w:t>
      </w:r>
      <w:bookmarkEnd w:id="10"/>
    </w:p>
    <w:p>
      <w:pPr>
        <w:spacing w:before="120" w:after="120" w:line="288" w:lineRule="auto"/>
        <w:ind w:left="0"/>
        <w:jc w:val="left"/>
      </w:pPr>
      <w:r>
        <w:rPr>
          <w:rFonts w:ascii="Arial" w:hAnsi="Arial" w:eastAsia="等线" w:cs="Arial"/>
          <w:sz w:val="22"/>
        </w:rPr>
        <w:t>文章标题： Identifying RNA Modifications by Direct RNA Sequencing Reveals Complexity of Epitranscriptomic Dynamics in Rice</w:t>
      </w:r>
    </w:p>
    <w:p>
      <w:pPr>
        <w:spacing w:before="120" w:after="120" w:line="288" w:lineRule="auto"/>
        <w:ind w:left="0"/>
        <w:jc w:val="left"/>
      </w:pPr>
      <w:r>
        <w:rPr>
          <w:rFonts w:ascii="Arial" w:hAnsi="Arial" w:eastAsia="等线" w:cs="Arial"/>
          <w:sz w:val="22"/>
        </w:rPr>
        <w:t>发表期刊： Genomics, Proteomics &amp; Bioinformatics</w:t>
      </w:r>
    </w:p>
    <w:p>
      <w:pPr>
        <w:spacing w:before="120" w:after="120" w:line="288" w:lineRule="auto"/>
        <w:ind w:left="0"/>
        <w:jc w:val="left"/>
      </w:pPr>
      <w:r>
        <w:rPr>
          <w:rFonts w:ascii="Arial" w:hAnsi="Arial" w:eastAsia="等线" w:cs="Arial"/>
          <w:sz w:val="22"/>
        </w:rPr>
        <w:t>影响因子： 11.5</w:t>
      </w:r>
    </w:p>
    <w:p>
      <w:pPr>
        <w:spacing w:before="120" w:after="120" w:line="288" w:lineRule="auto"/>
        <w:ind w:left="0"/>
        <w:jc w:val="left"/>
      </w:pPr>
      <w:r>
        <w:rPr>
          <w:rFonts w:ascii="Arial" w:hAnsi="Arial" w:eastAsia="等线" w:cs="Arial"/>
          <w:sz w:val="22"/>
        </w:rPr>
        <w:t>发表年份： 2023</w:t>
      </w:r>
    </w:p>
    <w:p>
      <w:pPr>
        <w:spacing w:before="120" w:after="120" w:line="288" w:lineRule="auto"/>
        <w:ind w:left="0"/>
        <w:jc w:val="left"/>
      </w:pPr>
      <w:r>
        <w:rPr>
          <w:rFonts w:ascii="Arial" w:hAnsi="Arial" w:eastAsia="等线" w:cs="Arial"/>
          <w:b/>
          <w:sz w:val="22"/>
        </w:rPr>
        <w:t>痛点：农作物RNA修饰研究滞后，阻碍作物性状调控理解</w:t>
      </w:r>
    </w:p>
    <w:p>
      <w:pPr>
        <w:spacing w:before="120" w:after="120" w:line="288" w:lineRule="auto"/>
        <w:ind w:left="0"/>
        <w:jc w:val="left"/>
      </w:pPr>
      <w:r>
        <w:rPr>
          <w:rFonts w:ascii="Arial" w:hAnsi="Arial" w:eastAsia="等线" w:cs="Arial"/>
          <w:sz w:val="22"/>
        </w:rPr>
        <w:t>水稻 (Oryza sativa) 是全球最重要的粮食作物之一，其产量和品质直接关系到人类的粮食安全。为了应对气候变化和人口增长带来的挑战，深入理解水稻的基因表达调控机制，尤其是RNA修饰（表观转录组）在其中扮演的角色，对于作物改良至关重要。然而，目前的农作物RNA修饰研究存在以下痛点：</w:t>
      </w:r>
    </w:p>
    <w:p>
      <w:pPr>
        <w:numPr>
          <w:ilvl w:val="0"/>
          <w:numId w:val="95"/>
        </w:numPr>
        <w:spacing w:before="120" w:after="120" w:line="288" w:lineRule="auto"/>
        <w:ind w:left="0"/>
        <w:jc w:val="left"/>
      </w:pPr>
      <w:r>
        <w:rPr>
          <w:rFonts w:ascii="Arial" w:hAnsi="Arial" w:eastAsia="等线" w:cs="Arial"/>
          <w:b/>
          <w:sz w:val="22"/>
        </w:rPr>
        <w:t>农作物RNA修饰图谱不完整：</w:t>
      </w:r>
      <w:r>
        <w:rPr>
          <w:rFonts w:ascii="Arial" w:hAnsi="Arial" w:eastAsia="等线" w:cs="Arial"/>
          <w:sz w:val="22"/>
        </w:rPr>
        <w:t xml:space="preserve"> 大多数农作物，包括水稻，其RNA修饰图谱尚未被系统性地描绘。传统方法难以实现高通量、单碱基分辨率的全面检测。</w:t>
      </w:r>
    </w:p>
    <w:p>
      <w:pPr>
        <w:numPr>
          <w:ilvl w:val="0"/>
          <w:numId w:val="96"/>
        </w:numPr>
        <w:spacing w:before="120" w:after="120" w:line="288" w:lineRule="auto"/>
        <w:ind w:left="0"/>
        <w:jc w:val="left"/>
      </w:pPr>
      <w:r>
        <w:rPr>
          <w:rFonts w:ascii="Arial" w:hAnsi="Arial" w:eastAsia="等线" w:cs="Arial"/>
          <w:b/>
          <w:sz w:val="22"/>
        </w:rPr>
        <w:t>传统RNA测序的局限性：</w:t>
      </w:r>
      <w:r>
        <w:rPr>
          <w:rFonts w:ascii="Arial" w:hAnsi="Arial" w:eastAsia="等线" w:cs="Arial"/>
          <w:sz w:val="22"/>
        </w:rPr>
        <w:t xml:space="preserve"> 广泛应用的基于cDNA的RNA测序技术无法直接检测RNA修饰，需要额外的、复杂且昂贵的富集步骤（如m6A meRIP-seq），且可能存在偏差。此外，对于Poly(A)尾长度等关键调控特征也难以精确获取。</w:t>
      </w:r>
    </w:p>
    <w:p>
      <w:pPr>
        <w:numPr>
          <w:ilvl w:val="0"/>
          <w:numId w:val="97"/>
        </w:numPr>
        <w:spacing w:before="120" w:after="120" w:line="288" w:lineRule="auto"/>
        <w:ind w:left="0"/>
        <w:jc w:val="left"/>
      </w:pPr>
      <w:r>
        <w:rPr>
          <w:rFonts w:ascii="Arial" w:hAnsi="Arial" w:eastAsia="等线" w:cs="Arial"/>
          <w:b/>
          <w:sz w:val="22"/>
        </w:rPr>
        <w:t>无法解析修饰的动态变化：</w:t>
      </w:r>
      <w:r>
        <w:rPr>
          <w:rFonts w:ascii="Arial" w:hAnsi="Arial" w:eastAsia="等线" w:cs="Arial"/>
          <w:sz w:val="22"/>
        </w:rPr>
        <w:t xml:space="preserve"> 作物生长发育的各个阶段以及应对环境胁迫时，RNA修饰可能会发生动态变化，但传统方法难以捕捉这些精细且具有时间特异性的调控过程。</w:t>
      </w:r>
    </w:p>
    <w:p>
      <w:pPr>
        <w:numPr>
          <w:ilvl w:val="0"/>
          <w:numId w:val="98"/>
        </w:numPr>
        <w:spacing w:before="120" w:after="120" w:line="288" w:lineRule="auto"/>
        <w:ind w:left="0"/>
        <w:jc w:val="left"/>
      </w:pPr>
      <w:r>
        <w:rPr>
          <w:rFonts w:ascii="Arial" w:hAnsi="Arial" w:eastAsia="等线" w:cs="Arial"/>
          <w:b/>
          <w:sz w:val="22"/>
        </w:rPr>
        <w:t>对农作物特有修饰机制理解不足：</w:t>
      </w:r>
      <w:r>
        <w:rPr>
          <w:rFonts w:ascii="Arial" w:hAnsi="Arial" w:eastAsia="等线" w:cs="Arial"/>
          <w:sz w:val="22"/>
        </w:rPr>
        <w:t xml:space="preserve"> 农作物可能存在与动物不同的RNA修饰酶和调控网络，需要直接且全面的方法来探索这些特异性。</w:t>
      </w:r>
    </w:p>
    <w:p>
      <w:pPr>
        <w:spacing w:before="120" w:after="120" w:line="288" w:lineRule="auto"/>
        <w:ind w:left="0"/>
        <w:jc w:val="left"/>
      </w:pPr>
      <w:r>
        <w:rPr>
          <w:rFonts w:ascii="Arial" w:hAnsi="Arial" w:eastAsia="等线" w:cs="Arial"/>
          <w:sz w:val="22"/>
        </w:rPr>
        <w:t>这些痛点限制了我们对农作物基因表达精细调控的理解，进而阻碍了通过表观转录组编辑等手段进行作物性状改良的尝试。</w:t>
      </w:r>
    </w:p>
    <w:p>
      <w:pPr>
        <w:spacing w:before="120" w:after="120" w:line="288" w:lineRule="auto"/>
        <w:ind w:left="0"/>
        <w:jc w:val="left"/>
      </w:pPr>
      <w:r>
        <w:rPr>
          <w:rFonts w:ascii="Arial" w:hAnsi="Arial" w:eastAsia="等线" w:cs="Arial"/>
          <w:b/>
          <w:sz w:val="22"/>
        </w:rPr>
        <w:t>突破：DRS直接解析水稻表观转录组，揭示复杂动态</w:t>
      </w:r>
    </w:p>
    <w:p>
      <w:pPr>
        <w:spacing w:before="120" w:after="120" w:line="288" w:lineRule="auto"/>
        <w:ind w:left="0"/>
        <w:jc w:val="left"/>
      </w:pPr>
      <w:r>
        <w:rPr>
          <w:rFonts w:ascii="Arial" w:hAnsi="Arial" w:eastAsia="等线" w:cs="Arial"/>
          <w:sz w:val="22"/>
        </w:rPr>
        <w:t>本研究首次在水稻中大规模应用</w:t>
      </w:r>
      <w:r>
        <w:rPr>
          <w:rFonts w:ascii="Arial" w:hAnsi="Arial" w:eastAsia="等线" w:cs="Arial"/>
          <w:b/>
          <w:sz w:val="22"/>
        </w:rPr>
        <w:t>纳米孔直接RNA测序（Nanopore DRS）</w:t>
      </w:r>
      <w:r>
        <w:rPr>
          <w:rFonts w:ascii="Arial" w:hAnsi="Arial" w:eastAsia="等线" w:cs="Arial"/>
          <w:sz w:val="22"/>
        </w:rPr>
        <w:t>，成功绘制了水稻在不同组织和生理条件下的表观转录组图谱，并揭示了其复杂动态，取得了关键突破：</w:t>
      </w:r>
    </w:p>
    <w:p>
      <w:pPr>
        <w:numPr>
          <w:ilvl w:val="0"/>
          <w:numId w:val="99"/>
        </w:numPr>
        <w:spacing w:before="120" w:after="120" w:line="288" w:lineRule="auto"/>
        <w:ind w:left="0"/>
        <w:jc w:val="left"/>
      </w:pPr>
      <w:r>
        <w:rPr>
          <w:rFonts w:ascii="Arial" w:hAnsi="Arial" w:eastAsia="等线" w:cs="Arial"/>
          <w:b/>
          <w:sz w:val="22"/>
        </w:rPr>
        <w:t>DRS直接、高通量检测RNA修饰：</w:t>
      </w:r>
      <w:r>
        <w:rPr>
          <w:rFonts w:ascii="Arial" w:hAnsi="Arial" w:eastAsia="等线" w:cs="Arial"/>
          <w:sz w:val="22"/>
        </w:rPr>
        <w:t xml:space="preserve"> Nanopore DRS能够直接读取原始RNA分子，通过分析电流信号的变化，高通量、单碱基分辨率地识别水稻mRNA上的多种修饰，特别是最重要的m6A修饰，以及m5C等。这种直接性避免了cDNA转化带来的信息丢失和偏差，实现了修饰位点的精确识别和定量。</w:t>
      </w:r>
    </w:p>
    <w:p>
      <w:pPr>
        <w:numPr>
          <w:ilvl w:val="0"/>
          <w:numId w:val="100"/>
        </w:numPr>
        <w:spacing w:before="120" w:after="120" w:line="288" w:lineRule="auto"/>
        <w:ind w:left="0"/>
        <w:jc w:val="left"/>
      </w:pPr>
      <w:r>
        <w:rPr>
          <w:rFonts w:ascii="Arial" w:hAnsi="Arial" w:eastAsia="等线" w:cs="Arial"/>
          <w:b/>
          <w:sz w:val="22"/>
        </w:rPr>
        <w:t>全面描绘Poly(A)尾长度景观：</w:t>
      </w:r>
      <w:r>
        <w:rPr>
          <w:rFonts w:ascii="Arial" w:hAnsi="Arial" w:eastAsia="等线" w:cs="Arial"/>
          <w:sz w:val="22"/>
        </w:rPr>
        <w:t xml:space="preserve"> DRS能够同时提供每个转录本的Poly(A)尾长度信息。研究发现Poly(A)尾长度在水稻不同发育阶段和组织中表现出显著的动态变化，并与基因表达水平密切相关，揭示了新的转录后调控机制。</w:t>
      </w:r>
    </w:p>
    <w:p>
      <w:pPr>
        <w:numPr>
          <w:ilvl w:val="0"/>
          <w:numId w:val="101"/>
        </w:numPr>
        <w:spacing w:before="120" w:after="120" w:line="288" w:lineRule="auto"/>
        <w:ind w:left="0"/>
        <w:jc w:val="left"/>
      </w:pPr>
      <w:r>
        <w:rPr>
          <w:rFonts w:ascii="Arial" w:hAnsi="Arial" w:eastAsia="等线" w:cs="Arial"/>
          <w:b/>
          <w:sz w:val="22"/>
        </w:rPr>
        <w:t>揭示组织特异性和发育阶段特异性修饰动态：</w:t>
      </w:r>
      <w:r>
        <w:rPr>
          <w:rFonts w:ascii="Arial" w:hAnsi="Arial" w:eastAsia="等线" w:cs="Arial"/>
          <w:sz w:val="22"/>
        </w:rPr>
        <w:t xml:space="preserve"> 通过对水稻根、茎、叶等不同组织以及幼苗、灌浆期等不同发育阶段进行DRS分析，研究发现了m6A修饰具有显著的组织特异性和发育阶段特异性分布模式，表明RNA修饰在调控水稻生长发育过程中发挥着精细作用。</w:t>
      </w:r>
    </w:p>
    <w:p>
      <w:pPr>
        <w:numPr>
          <w:ilvl w:val="0"/>
          <w:numId w:val="102"/>
        </w:numPr>
        <w:spacing w:before="120" w:after="120" w:line="288" w:lineRule="auto"/>
        <w:ind w:left="0"/>
        <w:jc w:val="left"/>
      </w:pPr>
      <w:r>
        <w:rPr>
          <w:rFonts w:ascii="Arial" w:hAnsi="Arial" w:eastAsia="等线" w:cs="Arial"/>
          <w:b/>
          <w:sz w:val="22"/>
        </w:rPr>
        <w:t>发现修饰与基因功能和表达的关联：</w:t>
      </w:r>
      <w:r>
        <w:rPr>
          <w:rFonts w:ascii="Arial" w:hAnsi="Arial" w:eastAsia="等线" w:cs="Arial"/>
          <w:sz w:val="22"/>
        </w:rPr>
        <w:t xml:space="preserve"> 研究进一步将DRS检测到的RNA修饰与基因的表达水平、基因功能富集分析相结合，发现许多与重要生物过程（如代谢、胁迫响应、信号转导）相关的基因，其mRNA上富集了m6A修饰。这为理解RNA修饰如何影响作物性状提供了直接证据。</w:t>
      </w:r>
    </w:p>
    <w:p>
      <w:pPr>
        <w:numPr>
          <w:ilvl w:val="0"/>
          <w:numId w:val="103"/>
        </w:numPr>
        <w:spacing w:before="120" w:after="120" w:line="288" w:lineRule="auto"/>
        <w:ind w:left="0"/>
        <w:jc w:val="left"/>
      </w:pPr>
      <w:r>
        <w:rPr>
          <w:rFonts w:ascii="Arial" w:hAnsi="Arial" w:eastAsia="等线" w:cs="Arial"/>
          <w:b/>
          <w:sz w:val="22"/>
        </w:rPr>
        <w:t>构建水稻表观转录组资源：</w:t>
      </w:r>
      <w:r>
        <w:rPr>
          <w:rFonts w:ascii="Arial" w:hAnsi="Arial" w:eastAsia="等线" w:cs="Arial"/>
          <w:sz w:val="22"/>
        </w:rPr>
        <w:t xml:space="preserve"> 本研究生成了迄今为止最全面的水稻表观转录组数据，为后续更深入的功能验证和作物改良提供了宝贵的资源。</w:t>
      </w:r>
    </w:p>
    <w:p>
      <w:pPr>
        <w:spacing w:before="120" w:after="120" w:line="288" w:lineRule="auto"/>
        <w:ind w:left="0"/>
        <w:jc w:val="left"/>
      </w:pPr>
      <w:r>
        <w:rPr>
          <w:rFonts w:ascii="Arial" w:hAnsi="Arial" w:eastAsia="等线" w:cs="Arial"/>
          <w:b/>
          <w:sz w:val="22"/>
        </w:rPr>
        <w:t>价值：助力水稻精准育种，保障全球粮食安全</w:t>
      </w:r>
    </w:p>
    <w:p>
      <w:pPr>
        <w:spacing w:before="120" w:after="120" w:line="288" w:lineRule="auto"/>
        <w:ind w:left="0"/>
        <w:jc w:val="left"/>
      </w:pPr>
      <w:r>
        <w:rPr>
          <w:rFonts w:ascii="Arial" w:hAnsi="Arial" w:eastAsia="等线" w:cs="Arial"/>
          <w:sz w:val="22"/>
        </w:rPr>
        <w:t>本研究的突破性成果，对水稻基础研究和农业应用具有深远价值：</w:t>
      </w:r>
    </w:p>
    <w:p>
      <w:pPr>
        <w:numPr>
          <w:ilvl w:val="0"/>
          <w:numId w:val="104"/>
        </w:numPr>
        <w:spacing w:before="120" w:after="120" w:line="288" w:lineRule="auto"/>
        <w:ind w:left="0"/>
        <w:jc w:val="left"/>
      </w:pPr>
      <w:r>
        <w:rPr>
          <w:rFonts w:ascii="Arial" w:hAnsi="Arial" w:eastAsia="等线" w:cs="Arial"/>
          <w:b/>
          <w:sz w:val="22"/>
        </w:rPr>
        <w:t>深化水稻基因表达调控理解：</w:t>
      </w:r>
      <w:r>
        <w:rPr>
          <w:rFonts w:ascii="Arial" w:hAnsi="Arial" w:eastAsia="等线" w:cs="Arial"/>
          <w:sz w:val="22"/>
        </w:rPr>
        <w:t xml:space="preserve"> 首次全面揭示了水稻RNA修饰图谱及其在不同组织和发育阶段的动态变化，极大地深化了我们对水稻生长发育和环境适应机制的理解。</w:t>
      </w:r>
    </w:p>
    <w:p>
      <w:pPr>
        <w:numPr>
          <w:ilvl w:val="0"/>
          <w:numId w:val="105"/>
        </w:numPr>
        <w:spacing w:before="120" w:after="120" w:line="288" w:lineRule="auto"/>
        <w:ind w:left="0"/>
        <w:jc w:val="left"/>
      </w:pPr>
      <w:r>
        <w:rPr>
          <w:rFonts w:ascii="Arial" w:hAnsi="Arial" w:eastAsia="等线" w:cs="Arial"/>
          <w:b/>
          <w:sz w:val="22"/>
        </w:rPr>
        <w:t>为水稻精准育种提供新策略：</w:t>
      </w:r>
      <w:r>
        <w:rPr>
          <w:rFonts w:ascii="Arial" w:hAnsi="Arial" w:eastAsia="等线" w:cs="Arial"/>
          <w:sz w:val="22"/>
        </w:rPr>
        <w:t xml:space="preserve"> 发现的与重要农艺性状相关的RNA修饰位点和调控基因，可以作为水稻分子育种的潜在靶点。未来可能通过基因编辑技术对特定RNA修饰位点或相关酶进行调控，从而改良水稻的抗逆性、产量和品质。</w:t>
      </w:r>
    </w:p>
    <w:p>
      <w:pPr>
        <w:numPr>
          <w:ilvl w:val="0"/>
          <w:numId w:val="106"/>
        </w:numPr>
        <w:spacing w:before="120" w:after="120" w:line="288" w:lineRule="auto"/>
        <w:ind w:left="0"/>
        <w:jc w:val="left"/>
      </w:pPr>
      <w:r>
        <w:rPr>
          <w:rFonts w:ascii="Arial" w:hAnsi="Arial" w:eastAsia="等线" w:cs="Arial"/>
          <w:b/>
          <w:sz w:val="22"/>
        </w:rPr>
        <w:t>推动植物表观转录组学发展：</w:t>
      </w:r>
      <w:r>
        <w:rPr>
          <w:rFonts w:ascii="Arial" w:hAnsi="Arial" w:eastAsia="等线" w:cs="Arial"/>
          <w:sz w:val="22"/>
        </w:rPr>
        <w:t xml:space="preserve"> 本研究为其他重要农作物甚至整个植物界的表观转录组学研究提供了重要的技术范例和分析框架，将加速植物RNA修饰功能的研究。</w:t>
      </w:r>
    </w:p>
    <w:p>
      <w:pPr>
        <w:numPr>
          <w:ilvl w:val="0"/>
          <w:numId w:val="107"/>
        </w:numPr>
        <w:spacing w:before="120" w:after="120" w:line="288" w:lineRule="auto"/>
        <w:ind w:left="0"/>
        <w:jc w:val="left"/>
      </w:pPr>
      <w:r>
        <w:rPr>
          <w:rFonts w:ascii="Arial" w:hAnsi="Arial" w:eastAsia="等线" w:cs="Arial"/>
          <w:b/>
          <w:sz w:val="22"/>
        </w:rPr>
        <w:t>应对全球粮食挑战：</w:t>
      </w:r>
      <w:r>
        <w:rPr>
          <w:rFonts w:ascii="Arial" w:hAnsi="Arial" w:eastAsia="等线" w:cs="Arial"/>
          <w:sz w:val="22"/>
        </w:rPr>
        <w:t xml:space="preserve"> 通过更深入地理解作物基因表达的精细调控，我们可以开发出更具韧性、更高产、营养更丰富的新品种，以应对气候变化带来的农业挑战和全球人口增长的粮食需求。</w:t>
      </w:r>
    </w:p>
    <w:p>
      <w:pPr>
        <w:numPr>
          <w:ilvl w:val="0"/>
          <w:numId w:val="108"/>
        </w:numPr>
        <w:spacing w:before="120" w:after="120" w:line="288" w:lineRule="auto"/>
        <w:ind w:left="0"/>
        <w:jc w:val="left"/>
      </w:pPr>
      <w:r>
        <w:rPr>
          <w:rFonts w:ascii="Arial" w:hAnsi="Arial" w:eastAsia="等线" w:cs="Arial"/>
          <w:b/>
          <w:sz w:val="22"/>
        </w:rPr>
        <w:t>展示DRS在农业生物学中的巨大潜力：</w:t>
      </w:r>
      <w:r>
        <w:rPr>
          <w:rFonts w:ascii="Arial" w:hAnsi="Arial" w:eastAsia="等线" w:cs="Arial"/>
          <w:sz w:val="22"/>
        </w:rPr>
        <w:t xml:space="preserve"> 本研究再次证明了Nanopore DRS作为一种强大工具，在植物科学领域，尤其是在直接、高通量检测RNA修饰和解析复杂表观转录组动态方面的独特优势。</w:t>
      </w:r>
    </w:p>
    <w:p>
      <w:pPr>
        <w:spacing w:before="120" w:after="120" w:line="288" w:lineRule="auto"/>
        <w:ind w:left="0"/>
        <w:jc w:val="left"/>
      </w:pPr>
      <w:r>
        <w:rPr>
          <w:rFonts w:ascii="Arial" w:hAnsi="Arial" w:eastAsia="等线" w:cs="Arial"/>
          <w:sz w:val="22"/>
        </w:rPr>
        <w:t>总而言之，这项研究通过Nanopore DRS的创新应用，不仅揭示了水稻表观转录组前所未有的复杂性和动态性，更重要的是，它为通过表观遗传学手段改良农作物性状、保障全球粮食安全提供了新的科学依据和技术路径，无疑是DRS在农业生物学领域应用的又一典范。</w:t>
      </w:r>
    </w:p>
    <w:p>
      <w:pPr>
        <w:spacing w:before="120" w:after="120" w:line="288" w:lineRule="auto"/>
        <w:ind w:left="0"/>
        <w:jc w:val="center"/>
      </w:pPr>
      <w:r>
        <w:drawing>
          <wp:inline distT="0" distB="0" distL="0" distR="0">
            <wp:extent cx="5257800" cy="2514600"/>
            <wp:effectExtent l="0" t="0" r="0" b="0"/>
            <wp:docPr id="10" name="Draw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rawing 9"/>
                    <pic:cNvPicPr>
                      <a:picLocks noChangeAspect="1"/>
                    </pic:cNvPicPr>
                  </pic:nvPicPr>
                  <pic:blipFill>
                    <a:blip r:embed="rId15"/>
                    <a:stretch>
                      <a:fillRect/>
                    </a:stretch>
                  </pic:blipFill>
                  <pic:spPr>
                    <a:xfrm>
                      <a:off x="0" y="0"/>
                      <a:ext cx="5257800" cy="2514600"/>
                    </a:xfrm>
                    <a:prstGeom prst="rect">
                      <a:avLst/>
                    </a:prstGeom>
                  </pic:spPr>
                </pic:pic>
              </a:graphicData>
            </a:graphic>
          </wp:inline>
        </w:drawing>
      </w:r>
    </w:p>
    <w:p>
      <w:pPr>
        <w:spacing w:before="120" w:after="120" w:line="288" w:lineRule="auto"/>
        <w:ind w:left="0"/>
        <w:jc w:val="left"/>
      </w:pPr>
    </w:p>
    <w:p>
      <w:pPr>
        <w:spacing w:before="320" w:after="120" w:line="288" w:lineRule="auto"/>
        <w:ind w:left="0"/>
        <w:jc w:val="left"/>
        <w:outlineLvl w:val="1"/>
      </w:pPr>
      <w:bookmarkStart w:id="11" w:name="heading_12"/>
      <w:r>
        <w:rPr>
          <w:rFonts w:ascii="Arial" w:hAnsi="Arial" w:eastAsia="等线" w:cs="Arial"/>
          <w:b/>
          <w:sz w:val="32"/>
        </w:rPr>
        <w:t>结语：</w:t>
      </w:r>
      <w:bookmarkEnd w:id="11"/>
    </w:p>
    <w:p>
      <w:pPr>
        <w:spacing w:before="120" w:after="120" w:line="288" w:lineRule="auto"/>
        <w:ind w:left="0"/>
        <w:jc w:val="left"/>
      </w:pPr>
      <w:r>
        <w:rPr>
          <w:rFonts w:ascii="Arial" w:hAnsi="Arial" w:eastAsia="等线" w:cs="Arial"/>
          <w:sz w:val="22"/>
        </w:rPr>
        <w:t>通过上述一系列DRS在不同领域的创新应用案例，我们清晰地看到，Nanopore直接RNA测序技术正在以前所未有的深度和广度，革新我们对RNA生物学的认知。从酵母tRNA的精细修饰图谱，到人类转录组的复杂动态互作；从模式生物基因组的深度注释，到农作物表观转录组的动态解析；从系统性的长读长RNA-seq方法评估，到细菌应激响应的表观转录组变化——DRS以其</w:t>
      </w:r>
      <w:r>
        <w:rPr>
          <w:rFonts w:ascii="Arial" w:hAnsi="Arial" w:eastAsia="等线" w:cs="Arial"/>
          <w:b/>
          <w:sz w:val="22"/>
        </w:rPr>
        <w:t>直接读取天然RNA、同步检测序列与修饰、以及获取全长异构体信息</w:t>
      </w:r>
      <w:r>
        <w:rPr>
          <w:rFonts w:ascii="Arial" w:hAnsi="Arial" w:eastAsia="等线" w:cs="Arial"/>
          <w:sz w:val="22"/>
        </w:rPr>
        <w:t>的核心优势，成功克服了传统技术的诸多痛点。</w:t>
      </w:r>
    </w:p>
    <w:p>
      <w:pPr>
        <w:spacing w:before="120" w:after="120" w:line="288" w:lineRule="auto"/>
        <w:ind w:left="0"/>
        <w:jc w:val="left"/>
      </w:pPr>
      <w:r>
        <w:rPr>
          <w:rFonts w:ascii="Arial" w:hAnsi="Arial" w:eastAsia="等线" w:cs="Arial"/>
          <w:sz w:val="22"/>
        </w:rPr>
        <w:t>DRS为科学家提供了强大的工具：</w:t>
      </w:r>
    </w:p>
    <w:p>
      <w:pPr>
        <w:numPr>
          <w:ilvl w:val="0"/>
          <w:numId w:val="109"/>
        </w:numPr>
        <w:spacing w:before="120" w:after="120" w:line="288" w:lineRule="auto"/>
        <w:ind w:left="0"/>
        <w:jc w:val="left"/>
      </w:pPr>
      <w:r>
        <w:rPr>
          <w:rFonts w:ascii="Arial" w:hAnsi="Arial" w:eastAsia="等线" w:cs="Arial"/>
          <w:b/>
          <w:sz w:val="22"/>
        </w:rPr>
        <w:t>全面识别和量化新型转录本异构体</w:t>
      </w:r>
      <w:r>
        <w:rPr>
          <w:rFonts w:ascii="Arial" w:hAnsi="Arial" w:eastAsia="等线" w:cs="Arial"/>
          <w:sz w:val="22"/>
        </w:rPr>
        <w:t>，揭示基因表达的真实复杂性。</w:t>
      </w:r>
    </w:p>
    <w:p>
      <w:pPr>
        <w:numPr>
          <w:ilvl w:val="0"/>
          <w:numId w:val="110"/>
        </w:numPr>
        <w:spacing w:before="120" w:after="120" w:line="288" w:lineRule="auto"/>
        <w:ind w:left="0"/>
        <w:jc w:val="left"/>
      </w:pPr>
      <w:r>
        <w:rPr>
          <w:rFonts w:ascii="Arial" w:hAnsi="Arial" w:eastAsia="等线" w:cs="Arial"/>
          <w:b/>
          <w:sz w:val="22"/>
        </w:rPr>
        <w:t>直接捕捉RNA分子的化学修饰</w:t>
      </w:r>
      <w:r>
        <w:rPr>
          <w:rFonts w:ascii="Arial" w:hAnsi="Arial" w:eastAsia="等线" w:cs="Arial"/>
          <w:sz w:val="22"/>
        </w:rPr>
        <w:t>（如m6A, Ψ等）及其动态变化，开启表观转录组学的全新维度。</w:t>
      </w:r>
    </w:p>
    <w:p>
      <w:pPr>
        <w:numPr>
          <w:ilvl w:val="0"/>
          <w:numId w:val="111"/>
        </w:numPr>
        <w:spacing w:before="120" w:after="120" w:line="288" w:lineRule="auto"/>
        <w:ind w:left="0"/>
        <w:jc w:val="left"/>
      </w:pPr>
      <w:r>
        <w:rPr>
          <w:rFonts w:ascii="Arial" w:hAnsi="Arial" w:eastAsia="等线" w:cs="Arial"/>
          <w:b/>
          <w:sz w:val="22"/>
        </w:rPr>
        <w:t>精确解析Poly(A)尾长度</w:t>
      </w:r>
      <w:r>
        <w:rPr>
          <w:rFonts w:ascii="Arial" w:hAnsi="Arial" w:eastAsia="等线" w:cs="Arial"/>
          <w:sz w:val="22"/>
        </w:rPr>
        <w:t>，深入理解其对mRNA稳定性、翻译效率的调控作用。</w:t>
      </w:r>
    </w:p>
    <w:p>
      <w:pPr>
        <w:numPr>
          <w:ilvl w:val="0"/>
          <w:numId w:val="112"/>
        </w:numPr>
        <w:spacing w:before="120" w:after="120" w:line="288" w:lineRule="auto"/>
        <w:ind w:left="0"/>
        <w:jc w:val="left"/>
      </w:pPr>
      <w:r>
        <w:rPr>
          <w:rFonts w:ascii="Arial" w:hAnsi="Arial" w:eastAsia="等线" w:cs="Arial"/>
          <w:b/>
          <w:sz w:val="22"/>
        </w:rPr>
        <w:t>在单分子水平上实现多重RNA特征的同步分析</w:t>
      </w:r>
      <w:r>
        <w:rPr>
          <w:rFonts w:ascii="Arial" w:hAnsi="Arial" w:eastAsia="等线" w:cs="Arial"/>
          <w:sz w:val="22"/>
        </w:rPr>
        <w:t>，揭示它们之间复杂的互作机制。</w:t>
      </w:r>
    </w:p>
    <w:p>
      <w:pPr>
        <w:spacing w:before="120" w:after="120" w:line="288" w:lineRule="auto"/>
        <w:ind w:left="0"/>
        <w:jc w:val="left"/>
      </w:pPr>
      <w:r>
        <w:rPr>
          <w:rFonts w:ascii="Arial" w:hAnsi="Arial" w:eastAsia="等线" w:cs="Arial"/>
          <w:sz w:val="22"/>
        </w:rPr>
        <w:t>这些突破性的应用不仅推动了基础生命科学的边界，也为医学、农业、微生物学等领域的实际问题提供了创新的解决方案。例如，在疾病诊断和治疗方面，对RNA修饰异常的精确检测和理解，将为开发新的生物标志物和靶向药物提供重要线索；在作物改良方面，揭示水稻等农作物的RNA调控机制，将助力培育更高产、更具抗逆性的品种。</w:t>
      </w:r>
    </w:p>
    <w:p>
      <w:pPr>
        <w:spacing w:before="120" w:after="120" w:line="288" w:lineRule="auto"/>
        <w:ind w:left="0"/>
        <w:jc w:val="left"/>
      </w:pPr>
      <w:r>
        <w:rPr>
          <w:rFonts w:ascii="Arial" w:hAnsi="Arial" w:eastAsia="等线" w:cs="Arial"/>
          <w:sz w:val="22"/>
        </w:rPr>
        <w:t>展望未来，随着Nanopore测序技术通量和准确性的进一步提升，以及相关生物信息学工具的不断完善，DRS的潜力将得到更充分的释放。它有望成为RNA研究领域的“基石”技术，赋能科学家们在更多维度、更高精度上解密RNA的生命密码，从而加速新发现的产生，并最终将这些知识转化为改善人类健康和福祉的实际应用。DRS的变革性力量，正在开启一个充满无限可能性的RNA生物学研究新纪元。</w:t>
      </w:r>
      <w:bookmarkStart w:id="12" w:name="_GoBack"/>
      <w:bookmarkEnd w:id="12"/>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singleLevel"/>
    <w:tmpl w:val="804E4E29"/>
    <w:lvl w:ilvl="0" w:tentative="0">
      <w:start w:val="0"/>
      <w:numFmt w:val="bullet"/>
      <w:lvlText w:val="•"/>
      <w:lvlJc w:val="left"/>
      <w:rPr>
        <w:color w:val="3370FF"/>
      </w:rPr>
    </w:lvl>
  </w:abstractNum>
  <w:abstractNum w:abstractNumId="1">
    <w:nsid w:val="813A4B87"/>
    <w:multiLevelType w:val="singleLevel"/>
    <w:tmpl w:val="813A4B87"/>
    <w:lvl w:ilvl="0" w:tentative="0">
      <w:start w:val="3"/>
      <w:numFmt w:val="decimal"/>
      <w:lvlText w:val="%1."/>
      <w:lvlJc w:val="left"/>
      <w:rPr>
        <w:color w:val="3370FF"/>
      </w:rPr>
    </w:lvl>
  </w:abstractNum>
  <w:abstractNum w:abstractNumId="2">
    <w:nsid w:val="825EC3C5"/>
    <w:multiLevelType w:val="singleLevel"/>
    <w:tmpl w:val="825EC3C5"/>
    <w:lvl w:ilvl="0" w:tentative="0">
      <w:start w:val="4"/>
      <w:numFmt w:val="decimal"/>
      <w:lvlText w:val="%1."/>
      <w:lvlJc w:val="left"/>
      <w:rPr>
        <w:color w:val="3370FF"/>
      </w:rPr>
    </w:lvl>
  </w:abstractNum>
  <w:abstractNum w:abstractNumId="3">
    <w:nsid w:val="845B5372"/>
    <w:multiLevelType w:val="singleLevel"/>
    <w:tmpl w:val="845B5372"/>
    <w:lvl w:ilvl="0" w:tentative="0">
      <w:start w:val="4"/>
      <w:numFmt w:val="decimal"/>
      <w:lvlText w:val="%1."/>
      <w:lvlJc w:val="left"/>
      <w:rPr>
        <w:color w:val="3370FF"/>
      </w:rPr>
    </w:lvl>
  </w:abstractNum>
  <w:abstractNum w:abstractNumId="4">
    <w:nsid w:val="8461FADE"/>
    <w:multiLevelType w:val="singleLevel"/>
    <w:tmpl w:val="8461FADE"/>
    <w:lvl w:ilvl="0" w:tentative="0">
      <w:start w:val="4"/>
      <w:numFmt w:val="decimal"/>
      <w:lvlText w:val="%1."/>
      <w:lvlJc w:val="left"/>
      <w:rPr>
        <w:color w:val="3370FF"/>
      </w:rPr>
    </w:lvl>
  </w:abstractNum>
  <w:abstractNum w:abstractNumId="5">
    <w:nsid w:val="883B3669"/>
    <w:multiLevelType w:val="singleLevel"/>
    <w:tmpl w:val="883B3669"/>
    <w:lvl w:ilvl="0" w:tentative="0">
      <w:start w:val="5"/>
      <w:numFmt w:val="decimal"/>
      <w:lvlText w:val="%1."/>
      <w:lvlJc w:val="left"/>
      <w:rPr>
        <w:color w:val="3370FF"/>
      </w:rPr>
    </w:lvl>
  </w:abstractNum>
  <w:abstractNum w:abstractNumId="6">
    <w:nsid w:val="8CAEB125"/>
    <w:multiLevelType w:val="singleLevel"/>
    <w:tmpl w:val="8CAEB125"/>
    <w:lvl w:ilvl="0" w:tentative="0">
      <w:start w:val="1"/>
      <w:numFmt w:val="decimal"/>
      <w:lvlText w:val="%1."/>
      <w:lvlJc w:val="left"/>
      <w:rPr>
        <w:color w:val="3370FF"/>
      </w:rPr>
    </w:lvl>
  </w:abstractNum>
  <w:abstractNum w:abstractNumId="7">
    <w:nsid w:val="91995D4F"/>
    <w:multiLevelType w:val="singleLevel"/>
    <w:tmpl w:val="91995D4F"/>
    <w:lvl w:ilvl="0" w:tentative="0">
      <w:start w:val="1"/>
      <w:numFmt w:val="decimal"/>
      <w:lvlText w:val="%1."/>
      <w:lvlJc w:val="left"/>
      <w:rPr>
        <w:color w:val="3370FF"/>
      </w:rPr>
    </w:lvl>
  </w:abstractNum>
  <w:abstractNum w:abstractNumId="8">
    <w:nsid w:val="91B69C97"/>
    <w:multiLevelType w:val="singleLevel"/>
    <w:tmpl w:val="91B69C97"/>
    <w:lvl w:ilvl="0" w:tentative="0">
      <w:start w:val="1"/>
      <w:numFmt w:val="decimal"/>
      <w:lvlText w:val="%1."/>
      <w:lvlJc w:val="left"/>
      <w:rPr>
        <w:color w:val="3370FF"/>
      </w:rPr>
    </w:lvl>
  </w:abstractNum>
  <w:abstractNum w:abstractNumId="9">
    <w:nsid w:val="9239341B"/>
    <w:multiLevelType w:val="singleLevel"/>
    <w:tmpl w:val="9239341B"/>
    <w:lvl w:ilvl="0" w:tentative="0">
      <w:start w:val="0"/>
      <w:numFmt w:val="bullet"/>
      <w:lvlText w:val="•"/>
      <w:lvlJc w:val="left"/>
      <w:rPr>
        <w:color w:val="3370FF"/>
      </w:rPr>
    </w:lvl>
  </w:abstractNum>
  <w:abstractNum w:abstractNumId="10">
    <w:nsid w:val="9288B902"/>
    <w:multiLevelType w:val="singleLevel"/>
    <w:tmpl w:val="9288B902"/>
    <w:lvl w:ilvl="0" w:tentative="0">
      <w:start w:val="2"/>
      <w:numFmt w:val="decimal"/>
      <w:lvlText w:val="%1."/>
      <w:lvlJc w:val="left"/>
      <w:rPr>
        <w:color w:val="3370FF"/>
      </w:rPr>
    </w:lvl>
  </w:abstractNum>
  <w:abstractNum w:abstractNumId="11">
    <w:nsid w:val="9377BC45"/>
    <w:multiLevelType w:val="singleLevel"/>
    <w:tmpl w:val="9377BC45"/>
    <w:lvl w:ilvl="0" w:tentative="0">
      <w:start w:val="3"/>
      <w:numFmt w:val="decimal"/>
      <w:lvlText w:val="%1."/>
      <w:lvlJc w:val="left"/>
      <w:rPr>
        <w:color w:val="3370FF"/>
      </w:rPr>
    </w:lvl>
  </w:abstractNum>
  <w:abstractNum w:abstractNumId="12">
    <w:nsid w:val="9ACF65A0"/>
    <w:multiLevelType w:val="singleLevel"/>
    <w:tmpl w:val="9ACF65A0"/>
    <w:lvl w:ilvl="0" w:tentative="0">
      <w:start w:val="0"/>
      <w:numFmt w:val="bullet"/>
      <w:lvlText w:val="•"/>
      <w:lvlJc w:val="left"/>
      <w:rPr>
        <w:color w:val="3370FF"/>
      </w:rPr>
    </w:lvl>
  </w:abstractNum>
  <w:abstractNum w:abstractNumId="13">
    <w:nsid w:val="9C11E984"/>
    <w:multiLevelType w:val="singleLevel"/>
    <w:tmpl w:val="9C11E984"/>
    <w:lvl w:ilvl="0" w:tentative="0">
      <w:start w:val="3"/>
      <w:numFmt w:val="decimal"/>
      <w:lvlText w:val="%1."/>
      <w:lvlJc w:val="left"/>
      <w:rPr>
        <w:color w:val="3370FF"/>
      </w:rPr>
    </w:lvl>
  </w:abstractNum>
  <w:abstractNum w:abstractNumId="14">
    <w:nsid w:val="9C8AC8EF"/>
    <w:multiLevelType w:val="singleLevel"/>
    <w:tmpl w:val="9C8AC8EF"/>
    <w:lvl w:ilvl="0" w:tentative="0">
      <w:start w:val="1"/>
      <w:numFmt w:val="decimal"/>
      <w:lvlText w:val="%1."/>
      <w:lvlJc w:val="left"/>
      <w:rPr>
        <w:color w:val="3370FF"/>
      </w:rPr>
    </w:lvl>
  </w:abstractNum>
  <w:abstractNum w:abstractNumId="15">
    <w:nsid w:val="9D5D7490"/>
    <w:multiLevelType w:val="singleLevel"/>
    <w:tmpl w:val="9D5D7490"/>
    <w:lvl w:ilvl="0" w:tentative="0">
      <w:start w:val="4"/>
      <w:numFmt w:val="decimal"/>
      <w:lvlText w:val="%1."/>
      <w:lvlJc w:val="left"/>
      <w:rPr>
        <w:color w:val="3370FF"/>
      </w:rPr>
    </w:lvl>
  </w:abstractNum>
  <w:abstractNum w:abstractNumId="16">
    <w:nsid w:val="9F81B9F9"/>
    <w:multiLevelType w:val="singleLevel"/>
    <w:tmpl w:val="9F81B9F9"/>
    <w:lvl w:ilvl="0" w:tentative="0">
      <w:start w:val="0"/>
      <w:numFmt w:val="bullet"/>
      <w:lvlText w:val="•"/>
      <w:lvlJc w:val="left"/>
      <w:rPr>
        <w:color w:val="3370FF"/>
      </w:rPr>
    </w:lvl>
  </w:abstractNum>
  <w:abstractNum w:abstractNumId="17">
    <w:nsid w:val="A0C93552"/>
    <w:multiLevelType w:val="singleLevel"/>
    <w:tmpl w:val="A0C93552"/>
    <w:lvl w:ilvl="0" w:tentative="0">
      <w:start w:val="3"/>
      <w:numFmt w:val="decimal"/>
      <w:lvlText w:val="%1."/>
      <w:lvlJc w:val="left"/>
      <w:rPr>
        <w:color w:val="3370FF"/>
      </w:rPr>
    </w:lvl>
  </w:abstractNum>
  <w:abstractNum w:abstractNumId="18">
    <w:nsid w:val="A0F05207"/>
    <w:multiLevelType w:val="singleLevel"/>
    <w:tmpl w:val="A0F05207"/>
    <w:lvl w:ilvl="0" w:tentative="0">
      <w:start w:val="0"/>
      <w:numFmt w:val="bullet"/>
      <w:lvlText w:val="•"/>
      <w:lvlJc w:val="left"/>
      <w:rPr>
        <w:color w:val="3370FF"/>
      </w:rPr>
    </w:lvl>
  </w:abstractNum>
  <w:abstractNum w:abstractNumId="19">
    <w:nsid w:val="A9AC3AA7"/>
    <w:multiLevelType w:val="singleLevel"/>
    <w:tmpl w:val="A9AC3AA7"/>
    <w:lvl w:ilvl="0" w:tentative="0">
      <w:start w:val="2"/>
      <w:numFmt w:val="decimal"/>
      <w:lvlText w:val="%1."/>
      <w:lvlJc w:val="left"/>
      <w:rPr>
        <w:color w:val="3370FF"/>
      </w:rPr>
    </w:lvl>
  </w:abstractNum>
  <w:abstractNum w:abstractNumId="20">
    <w:nsid w:val="AAF3F3FA"/>
    <w:multiLevelType w:val="singleLevel"/>
    <w:tmpl w:val="AAF3F3FA"/>
    <w:lvl w:ilvl="0" w:tentative="0">
      <w:start w:val="5"/>
      <w:numFmt w:val="decimal"/>
      <w:lvlText w:val="%1."/>
      <w:lvlJc w:val="left"/>
      <w:rPr>
        <w:color w:val="3370FF"/>
      </w:rPr>
    </w:lvl>
  </w:abstractNum>
  <w:abstractNum w:abstractNumId="21">
    <w:nsid w:val="B0ED9BEA"/>
    <w:multiLevelType w:val="singleLevel"/>
    <w:tmpl w:val="B0ED9BEA"/>
    <w:lvl w:ilvl="0" w:tentative="0">
      <w:start w:val="2"/>
      <w:numFmt w:val="decimal"/>
      <w:lvlText w:val="%1."/>
      <w:lvlJc w:val="left"/>
      <w:rPr>
        <w:color w:val="3370FF"/>
      </w:rPr>
    </w:lvl>
  </w:abstractNum>
  <w:abstractNum w:abstractNumId="22">
    <w:nsid w:val="B0F1ACD9"/>
    <w:multiLevelType w:val="singleLevel"/>
    <w:tmpl w:val="B0F1ACD9"/>
    <w:lvl w:ilvl="0" w:tentative="0">
      <w:start w:val="0"/>
      <w:numFmt w:val="bullet"/>
      <w:lvlText w:val="•"/>
      <w:lvlJc w:val="left"/>
      <w:rPr>
        <w:color w:val="3370FF"/>
      </w:rPr>
    </w:lvl>
  </w:abstractNum>
  <w:abstractNum w:abstractNumId="23">
    <w:nsid w:val="B23A94A9"/>
    <w:multiLevelType w:val="singleLevel"/>
    <w:tmpl w:val="B23A94A9"/>
    <w:lvl w:ilvl="0" w:tentative="0">
      <w:start w:val="0"/>
      <w:numFmt w:val="bullet"/>
      <w:lvlText w:val="•"/>
      <w:lvlJc w:val="left"/>
      <w:rPr>
        <w:color w:val="3370FF"/>
      </w:rPr>
    </w:lvl>
  </w:abstractNum>
  <w:abstractNum w:abstractNumId="24">
    <w:nsid w:val="B53F3350"/>
    <w:multiLevelType w:val="singleLevel"/>
    <w:tmpl w:val="B53F3350"/>
    <w:lvl w:ilvl="0" w:tentative="0">
      <w:start w:val="5"/>
      <w:numFmt w:val="decimal"/>
      <w:lvlText w:val="%1."/>
      <w:lvlJc w:val="left"/>
      <w:rPr>
        <w:color w:val="3370FF"/>
      </w:rPr>
    </w:lvl>
  </w:abstractNum>
  <w:abstractNum w:abstractNumId="25">
    <w:nsid w:val="B5E306ED"/>
    <w:multiLevelType w:val="singleLevel"/>
    <w:tmpl w:val="B5E306ED"/>
    <w:lvl w:ilvl="0" w:tentative="0">
      <w:start w:val="0"/>
      <w:numFmt w:val="bullet"/>
      <w:lvlText w:val="￮"/>
      <w:lvlJc w:val="left"/>
      <w:rPr>
        <w:color w:val="3370FF"/>
      </w:rPr>
    </w:lvl>
  </w:abstractNum>
  <w:abstractNum w:abstractNumId="26">
    <w:nsid w:val="B88D21A8"/>
    <w:multiLevelType w:val="singleLevel"/>
    <w:tmpl w:val="B88D21A8"/>
    <w:lvl w:ilvl="0" w:tentative="0">
      <w:start w:val="0"/>
      <w:numFmt w:val="bullet"/>
      <w:lvlText w:val="•"/>
      <w:lvlJc w:val="left"/>
      <w:rPr>
        <w:color w:val="3370FF"/>
      </w:rPr>
    </w:lvl>
  </w:abstractNum>
  <w:abstractNum w:abstractNumId="27">
    <w:nsid w:val="B8CEF35B"/>
    <w:multiLevelType w:val="singleLevel"/>
    <w:tmpl w:val="B8CEF35B"/>
    <w:lvl w:ilvl="0" w:tentative="0">
      <w:start w:val="2"/>
      <w:numFmt w:val="decimal"/>
      <w:lvlText w:val="%1."/>
      <w:lvlJc w:val="left"/>
      <w:rPr>
        <w:color w:val="3370FF"/>
      </w:rPr>
    </w:lvl>
  </w:abstractNum>
  <w:abstractNum w:abstractNumId="28">
    <w:nsid w:val="BB64CFA9"/>
    <w:multiLevelType w:val="singleLevel"/>
    <w:tmpl w:val="BB64CFA9"/>
    <w:lvl w:ilvl="0" w:tentative="0">
      <w:start w:val="0"/>
      <w:numFmt w:val="bullet"/>
      <w:lvlText w:val="•"/>
      <w:lvlJc w:val="left"/>
      <w:rPr>
        <w:color w:val="3370FF"/>
      </w:rPr>
    </w:lvl>
  </w:abstractNum>
  <w:abstractNum w:abstractNumId="29">
    <w:nsid w:val="BCECA0B4"/>
    <w:multiLevelType w:val="singleLevel"/>
    <w:tmpl w:val="BCECA0B4"/>
    <w:lvl w:ilvl="0" w:tentative="0">
      <w:start w:val="0"/>
      <w:numFmt w:val="bullet"/>
      <w:lvlText w:val="•"/>
      <w:lvlJc w:val="left"/>
      <w:rPr>
        <w:color w:val="3370FF"/>
      </w:rPr>
    </w:lvl>
  </w:abstractNum>
  <w:abstractNum w:abstractNumId="30">
    <w:nsid w:val="BDA1395C"/>
    <w:multiLevelType w:val="singleLevel"/>
    <w:tmpl w:val="BDA1395C"/>
    <w:lvl w:ilvl="0" w:tentative="0">
      <w:start w:val="1"/>
      <w:numFmt w:val="decimal"/>
      <w:lvlText w:val="%1."/>
      <w:lvlJc w:val="left"/>
      <w:rPr>
        <w:color w:val="3370FF"/>
      </w:rPr>
    </w:lvl>
  </w:abstractNum>
  <w:abstractNum w:abstractNumId="31">
    <w:nsid w:val="BE8A4F4C"/>
    <w:multiLevelType w:val="singleLevel"/>
    <w:tmpl w:val="BE8A4F4C"/>
    <w:lvl w:ilvl="0" w:tentative="0">
      <w:start w:val="3"/>
      <w:numFmt w:val="decimal"/>
      <w:lvlText w:val="%1."/>
      <w:lvlJc w:val="left"/>
      <w:rPr>
        <w:color w:val="3370FF"/>
      </w:rPr>
    </w:lvl>
  </w:abstractNum>
  <w:abstractNum w:abstractNumId="32">
    <w:nsid w:val="BE923771"/>
    <w:multiLevelType w:val="singleLevel"/>
    <w:tmpl w:val="BE923771"/>
    <w:lvl w:ilvl="0" w:tentative="0">
      <w:start w:val="0"/>
      <w:numFmt w:val="bullet"/>
      <w:lvlText w:val="•"/>
      <w:lvlJc w:val="left"/>
      <w:rPr>
        <w:color w:val="3370FF"/>
      </w:rPr>
    </w:lvl>
  </w:abstractNum>
  <w:abstractNum w:abstractNumId="33">
    <w:nsid w:val="BF205925"/>
    <w:multiLevelType w:val="singleLevel"/>
    <w:tmpl w:val="BF205925"/>
    <w:lvl w:ilvl="0" w:tentative="0">
      <w:start w:val="0"/>
      <w:numFmt w:val="bullet"/>
      <w:lvlText w:val="￮"/>
      <w:lvlJc w:val="left"/>
      <w:rPr>
        <w:color w:val="3370FF"/>
      </w:rPr>
    </w:lvl>
  </w:abstractNum>
  <w:abstractNum w:abstractNumId="34">
    <w:nsid w:val="BF50FE6B"/>
    <w:multiLevelType w:val="singleLevel"/>
    <w:tmpl w:val="BF50FE6B"/>
    <w:lvl w:ilvl="0" w:tentative="0">
      <w:start w:val="0"/>
      <w:numFmt w:val="bullet"/>
      <w:lvlText w:val="•"/>
      <w:lvlJc w:val="left"/>
      <w:rPr>
        <w:color w:val="3370FF"/>
      </w:rPr>
    </w:lvl>
  </w:abstractNum>
  <w:abstractNum w:abstractNumId="35">
    <w:nsid w:val="C0915F4F"/>
    <w:multiLevelType w:val="singleLevel"/>
    <w:tmpl w:val="C0915F4F"/>
    <w:lvl w:ilvl="0" w:tentative="0">
      <w:start w:val="5"/>
      <w:numFmt w:val="decimal"/>
      <w:lvlText w:val="%1."/>
      <w:lvlJc w:val="left"/>
      <w:rPr>
        <w:color w:val="3370FF"/>
      </w:rPr>
    </w:lvl>
  </w:abstractNum>
  <w:abstractNum w:abstractNumId="36">
    <w:nsid w:val="C4E0D24A"/>
    <w:multiLevelType w:val="singleLevel"/>
    <w:tmpl w:val="C4E0D24A"/>
    <w:lvl w:ilvl="0" w:tentative="0">
      <w:start w:val="2"/>
      <w:numFmt w:val="decimal"/>
      <w:lvlText w:val="%1."/>
      <w:lvlJc w:val="left"/>
      <w:rPr>
        <w:color w:val="3370FF"/>
      </w:rPr>
    </w:lvl>
  </w:abstractNum>
  <w:abstractNum w:abstractNumId="37">
    <w:nsid w:val="C8879AEF"/>
    <w:multiLevelType w:val="singleLevel"/>
    <w:tmpl w:val="C8879AEF"/>
    <w:lvl w:ilvl="0" w:tentative="0">
      <w:start w:val="0"/>
      <w:numFmt w:val="bullet"/>
      <w:lvlText w:val="•"/>
      <w:lvlJc w:val="left"/>
      <w:rPr>
        <w:color w:val="3370FF"/>
      </w:rPr>
    </w:lvl>
  </w:abstractNum>
  <w:abstractNum w:abstractNumId="38">
    <w:nsid w:val="C90D1B09"/>
    <w:multiLevelType w:val="singleLevel"/>
    <w:tmpl w:val="C90D1B09"/>
    <w:lvl w:ilvl="0" w:tentative="0">
      <w:start w:val="0"/>
      <w:numFmt w:val="bullet"/>
      <w:lvlText w:val="•"/>
      <w:lvlJc w:val="left"/>
      <w:rPr>
        <w:color w:val="3370FF"/>
      </w:rPr>
    </w:lvl>
  </w:abstractNum>
  <w:abstractNum w:abstractNumId="39">
    <w:nsid w:val="CF092B84"/>
    <w:multiLevelType w:val="singleLevel"/>
    <w:tmpl w:val="CF092B84"/>
    <w:lvl w:ilvl="0" w:tentative="0">
      <w:start w:val="0"/>
      <w:numFmt w:val="bullet"/>
      <w:lvlText w:val="•"/>
      <w:lvlJc w:val="left"/>
      <w:rPr>
        <w:color w:val="3370FF"/>
      </w:rPr>
    </w:lvl>
  </w:abstractNum>
  <w:abstractNum w:abstractNumId="40">
    <w:nsid w:val="D1EB1714"/>
    <w:multiLevelType w:val="singleLevel"/>
    <w:tmpl w:val="D1EB1714"/>
    <w:lvl w:ilvl="0" w:tentative="0">
      <w:start w:val="5"/>
      <w:numFmt w:val="decimal"/>
      <w:lvlText w:val="%1."/>
      <w:lvlJc w:val="left"/>
      <w:rPr>
        <w:color w:val="3370FF"/>
      </w:rPr>
    </w:lvl>
  </w:abstractNum>
  <w:abstractNum w:abstractNumId="41">
    <w:nsid w:val="D7D140E4"/>
    <w:multiLevelType w:val="singleLevel"/>
    <w:tmpl w:val="D7D140E4"/>
    <w:lvl w:ilvl="0" w:tentative="0">
      <w:start w:val="0"/>
      <w:numFmt w:val="bullet"/>
      <w:lvlText w:val="•"/>
      <w:lvlJc w:val="left"/>
      <w:rPr>
        <w:color w:val="3370FF"/>
      </w:rPr>
    </w:lvl>
  </w:abstractNum>
  <w:abstractNum w:abstractNumId="42">
    <w:nsid w:val="D7F9FE59"/>
    <w:multiLevelType w:val="singleLevel"/>
    <w:tmpl w:val="D7F9FE59"/>
    <w:lvl w:ilvl="0" w:tentative="0">
      <w:start w:val="4"/>
      <w:numFmt w:val="decimal"/>
      <w:lvlText w:val="%1."/>
      <w:lvlJc w:val="left"/>
      <w:rPr>
        <w:color w:val="3370FF"/>
      </w:rPr>
    </w:lvl>
  </w:abstractNum>
  <w:abstractNum w:abstractNumId="43">
    <w:nsid w:val="DAD3A854"/>
    <w:multiLevelType w:val="singleLevel"/>
    <w:tmpl w:val="DAD3A854"/>
    <w:lvl w:ilvl="0" w:tentative="0">
      <w:start w:val="5"/>
      <w:numFmt w:val="decimal"/>
      <w:lvlText w:val="%1."/>
      <w:lvlJc w:val="left"/>
      <w:rPr>
        <w:color w:val="3370FF"/>
      </w:rPr>
    </w:lvl>
  </w:abstractNum>
  <w:abstractNum w:abstractNumId="44">
    <w:nsid w:val="DCBA6B53"/>
    <w:multiLevelType w:val="singleLevel"/>
    <w:tmpl w:val="DCBA6B53"/>
    <w:lvl w:ilvl="0" w:tentative="0">
      <w:start w:val="3"/>
      <w:numFmt w:val="decimal"/>
      <w:lvlText w:val="%1."/>
      <w:lvlJc w:val="left"/>
      <w:rPr>
        <w:color w:val="3370FF"/>
      </w:rPr>
    </w:lvl>
  </w:abstractNum>
  <w:abstractNum w:abstractNumId="45">
    <w:nsid w:val="E0294EC7"/>
    <w:multiLevelType w:val="singleLevel"/>
    <w:tmpl w:val="E0294EC7"/>
    <w:lvl w:ilvl="0" w:tentative="0">
      <w:start w:val="4"/>
      <w:numFmt w:val="decimal"/>
      <w:lvlText w:val="%1."/>
      <w:lvlJc w:val="left"/>
      <w:rPr>
        <w:color w:val="3370FF"/>
      </w:rPr>
    </w:lvl>
  </w:abstractNum>
  <w:abstractNum w:abstractNumId="46">
    <w:nsid w:val="E093A4B0"/>
    <w:multiLevelType w:val="singleLevel"/>
    <w:tmpl w:val="E093A4B0"/>
    <w:lvl w:ilvl="0" w:tentative="0">
      <w:start w:val="0"/>
      <w:numFmt w:val="bullet"/>
      <w:lvlText w:val="•"/>
      <w:lvlJc w:val="left"/>
      <w:rPr>
        <w:color w:val="3370FF"/>
      </w:rPr>
    </w:lvl>
  </w:abstractNum>
  <w:abstractNum w:abstractNumId="47">
    <w:nsid w:val="E504947C"/>
    <w:multiLevelType w:val="singleLevel"/>
    <w:tmpl w:val="E504947C"/>
    <w:lvl w:ilvl="0" w:tentative="0">
      <w:start w:val="1"/>
      <w:numFmt w:val="decimal"/>
      <w:lvlText w:val="%1."/>
      <w:lvlJc w:val="left"/>
      <w:rPr>
        <w:color w:val="3370FF"/>
      </w:rPr>
    </w:lvl>
  </w:abstractNum>
  <w:abstractNum w:abstractNumId="48">
    <w:nsid w:val="E7B27C5B"/>
    <w:multiLevelType w:val="singleLevel"/>
    <w:tmpl w:val="E7B27C5B"/>
    <w:lvl w:ilvl="0" w:tentative="0">
      <w:start w:val="0"/>
      <w:numFmt w:val="bullet"/>
      <w:lvlText w:val="•"/>
      <w:lvlJc w:val="left"/>
      <w:rPr>
        <w:color w:val="3370FF"/>
      </w:rPr>
    </w:lvl>
  </w:abstractNum>
  <w:abstractNum w:abstractNumId="49">
    <w:nsid w:val="F0E89278"/>
    <w:multiLevelType w:val="singleLevel"/>
    <w:tmpl w:val="F0E89278"/>
    <w:lvl w:ilvl="0" w:tentative="0">
      <w:start w:val="3"/>
      <w:numFmt w:val="decimal"/>
      <w:lvlText w:val="%1."/>
      <w:lvlJc w:val="left"/>
      <w:rPr>
        <w:color w:val="3370FF"/>
      </w:rPr>
    </w:lvl>
  </w:abstractNum>
  <w:abstractNum w:abstractNumId="50">
    <w:nsid w:val="F4B5D9F5"/>
    <w:multiLevelType w:val="singleLevel"/>
    <w:tmpl w:val="F4B5D9F5"/>
    <w:lvl w:ilvl="0" w:tentative="0">
      <w:start w:val="1"/>
      <w:numFmt w:val="decimal"/>
      <w:lvlText w:val="%1."/>
      <w:lvlJc w:val="left"/>
      <w:rPr>
        <w:color w:val="3370FF"/>
      </w:rPr>
    </w:lvl>
  </w:abstractNum>
  <w:abstractNum w:abstractNumId="51">
    <w:nsid w:val="F585BF25"/>
    <w:multiLevelType w:val="singleLevel"/>
    <w:tmpl w:val="F585BF25"/>
    <w:lvl w:ilvl="0" w:tentative="0">
      <w:start w:val="0"/>
      <w:numFmt w:val="bullet"/>
      <w:lvlText w:val="•"/>
      <w:lvlJc w:val="left"/>
      <w:rPr>
        <w:color w:val="3370FF"/>
      </w:rPr>
    </w:lvl>
  </w:abstractNum>
  <w:abstractNum w:abstractNumId="52">
    <w:nsid w:val="F689643B"/>
    <w:multiLevelType w:val="singleLevel"/>
    <w:tmpl w:val="F689643B"/>
    <w:lvl w:ilvl="0" w:tentative="0">
      <w:start w:val="0"/>
      <w:numFmt w:val="bullet"/>
      <w:lvlText w:val="•"/>
      <w:lvlJc w:val="left"/>
      <w:rPr>
        <w:color w:val="3370FF"/>
      </w:rPr>
    </w:lvl>
  </w:abstractNum>
  <w:abstractNum w:abstractNumId="53">
    <w:nsid w:val="F7735DC9"/>
    <w:multiLevelType w:val="singleLevel"/>
    <w:tmpl w:val="F7735DC9"/>
    <w:lvl w:ilvl="0" w:tentative="0">
      <w:start w:val="0"/>
      <w:numFmt w:val="bullet"/>
      <w:lvlText w:val="•"/>
      <w:lvlJc w:val="left"/>
      <w:rPr>
        <w:color w:val="3370FF"/>
      </w:rPr>
    </w:lvl>
  </w:abstractNum>
  <w:abstractNum w:abstractNumId="54">
    <w:nsid w:val="FEC2EA36"/>
    <w:multiLevelType w:val="singleLevel"/>
    <w:tmpl w:val="FEC2EA36"/>
    <w:lvl w:ilvl="0" w:tentative="0">
      <w:start w:val="2"/>
      <w:numFmt w:val="decimal"/>
      <w:lvlText w:val="%1."/>
      <w:lvlJc w:val="left"/>
      <w:rPr>
        <w:color w:val="3370FF"/>
      </w:rPr>
    </w:lvl>
  </w:abstractNum>
  <w:abstractNum w:abstractNumId="55">
    <w:nsid w:val="0053208E"/>
    <w:multiLevelType w:val="singleLevel"/>
    <w:tmpl w:val="0053208E"/>
    <w:lvl w:ilvl="0" w:tentative="0">
      <w:start w:val="0"/>
      <w:numFmt w:val="bullet"/>
      <w:lvlText w:val="•"/>
      <w:lvlJc w:val="left"/>
      <w:rPr>
        <w:color w:val="3370FF"/>
      </w:rPr>
    </w:lvl>
  </w:abstractNum>
  <w:abstractNum w:abstractNumId="56">
    <w:nsid w:val="01836A6D"/>
    <w:multiLevelType w:val="singleLevel"/>
    <w:tmpl w:val="01836A6D"/>
    <w:lvl w:ilvl="0" w:tentative="0">
      <w:start w:val="0"/>
      <w:numFmt w:val="bullet"/>
      <w:lvlText w:val="•"/>
      <w:lvlJc w:val="left"/>
      <w:rPr>
        <w:color w:val="3370FF"/>
      </w:rPr>
    </w:lvl>
  </w:abstractNum>
  <w:abstractNum w:abstractNumId="57">
    <w:nsid w:val="0248C179"/>
    <w:multiLevelType w:val="singleLevel"/>
    <w:tmpl w:val="0248C179"/>
    <w:lvl w:ilvl="0" w:tentative="0">
      <w:start w:val="0"/>
      <w:numFmt w:val="bullet"/>
      <w:lvlText w:val="•"/>
      <w:lvlJc w:val="left"/>
      <w:rPr>
        <w:color w:val="3370FF"/>
      </w:rPr>
    </w:lvl>
  </w:abstractNum>
  <w:abstractNum w:abstractNumId="58">
    <w:nsid w:val="03A63A41"/>
    <w:multiLevelType w:val="singleLevel"/>
    <w:tmpl w:val="03A63A41"/>
    <w:lvl w:ilvl="0" w:tentative="0">
      <w:start w:val="4"/>
      <w:numFmt w:val="decimal"/>
      <w:lvlText w:val="%1."/>
      <w:lvlJc w:val="left"/>
      <w:rPr>
        <w:color w:val="3370FF"/>
      </w:rPr>
    </w:lvl>
  </w:abstractNum>
  <w:abstractNum w:abstractNumId="59">
    <w:nsid w:val="03D62ECE"/>
    <w:multiLevelType w:val="singleLevel"/>
    <w:tmpl w:val="03D62ECE"/>
    <w:lvl w:ilvl="0" w:tentative="0">
      <w:start w:val="0"/>
      <w:numFmt w:val="bullet"/>
      <w:lvlText w:val="￮"/>
      <w:lvlJc w:val="left"/>
      <w:rPr>
        <w:color w:val="3370FF"/>
      </w:rPr>
    </w:lvl>
  </w:abstractNum>
  <w:abstractNum w:abstractNumId="60">
    <w:nsid w:val="0709FD3E"/>
    <w:multiLevelType w:val="singleLevel"/>
    <w:tmpl w:val="0709FD3E"/>
    <w:lvl w:ilvl="0" w:tentative="0">
      <w:start w:val="0"/>
      <w:numFmt w:val="bullet"/>
      <w:lvlText w:val="•"/>
      <w:lvlJc w:val="left"/>
      <w:rPr>
        <w:color w:val="3370FF"/>
      </w:rPr>
    </w:lvl>
  </w:abstractNum>
  <w:abstractNum w:abstractNumId="61">
    <w:nsid w:val="0CEF100B"/>
    <w:multiLevelType w:val="singleLevel"/>
    <w:tmpl w:val="0CEF100B"/>
    <w:lvl w:ilvl="0" w:tentative="0">
      <w:start w:val="0"/>
      <w:numFmt w:val="bullet"/>
      <w:lvlText w:val="•"/>
      <w:lvlJc w:val="left"/>
      <w:rPr>
        <w:color w:val="3370FF"/>
      </w:rPr>
    </w:lvl>
  </w:abstractNum>
  <w:abstractNum w:abstractNumId="62">
    <w:nsid w:val="0E640482"/>
    <w:multiLevelType w:val="singleLevel"/>
    <w:tmpl w:val="0E640482"/>
    <w:lvl w:ilvl="0" w:tentative="0">
      <w:start w:val="4"/>
      <w:numFmt w:val="decimal"/>
      <w:lvlText w:val="%1."/>
      <w:lvlJc w:val="left"/>
      <w:rPr>
        <w:color w:val="3370FF"/>
      </w:rPr>
    </w:lvl>
  </w:abstractNum>
  <w:abstractNum w:abstractNumId="63">
    <w:nsid w:val="0F9F9CCA"/>
    <w:multiLevelType w:val="singleLevel"/>
    <w:tmpl w:val="0F9F9CCA"/>
    <w:lvl w:ilvl="0" w:tentative="0">
      <w:start w:val="2"/>
      <w:numFmt w:val="decimal"/>
      <w:lvlText w:val="%1."/>
      <w:lvlJc w:val="left"/>
      <w:rPr>
        <w:color w:val="3370FF"/>
      </w:rPr>
    </w:lvl>
  </w:abstractNum>
  <w:abstractNum w:abstractNumId="64">
    <w:nsid w:val="10D591E5"/>
    <w:multiLevelType w:val="singleLevel"/>
    <w:tmpl w:val="10D591E5"/>
    <w:lvl w:ilvl="0" w:tentative="0">
      <w:start w:val="2"/>
      <w:numFmt w:val="decimal"/>
      <w:lvlText w:val="%1."/>
      <w:lvlJc w:val="left"/>
      <w:rPr>
        <w:color w:val="3370FF"/>
      </w:rPr>
    </w:lvl>
  </w:abstractNum>
  <w:abstractNum w:abstractNumId="65">
    <w:nsid w:val="12EADF99"/>
    <w:multiLevelType w:val="singleLevel"/>
    <w:tmpl w:val="12EADF99"/>
    <w:lvl w:ilvl="0" w:tentative="0">
      <w:start w:val="0"/>
      <w:numFmt w:val="bullet"/>
      <w:lvlText w:val="•"/>
      <w:lvlJc w:val="left"/>
      <w:rPr>
        <w:color w:val="3370FF"/>
      </w:rPr>
    </w:lvl>
  </w:abstractNum>
  <w:abstractNum w:abstractNumId="66">
    <w:nsid w:val="1450273B"/>
    <w:multiLevelType w:val="singleLevel"/>
    <w:tmpl w:val="1450273B"/>
    <w:lvl w:ilvl="0" w:tentative="0">
      <w:start w:val="4"/>
      <w:numFmt w:val="decimal"/>
      <w:lvlText w:val="%1."/>
      <w:lvlJc w:val="left"/>
      <w:rPr>
        <w:color w:val="3370FF"/>
      </w:rPr>
    </w:lvl>
  </w:abstractNum>
  <w:abstractNum w:abstractNumId="67">
    <w:nsid w:val="18F74015"/>
    <w:multiLevelType w:val="singleLevel"/>
    <w:tmpl w:val="18F74015"/>
    <w:lvl w:ilvl="0" w:tentative="0">
      <w:start w:val="3"/>
      <w:numFmt w:val="decimal"/>
      <w:lvlText w:val="%1."/>
      <w:lvlJc w:val="left"/>
      <w:rPr>
        <w:color w:val="3370FF"/>
      </w:rPr>
    </w:lvl>
  </w:abstractNum>
  <w:abstractNum w:abstractNumId="68">
    <w:nsid w:val="1ACDE60F"/>
    <w:multiLevelType w:val="singleLevel"/>
    <w:tmpl w:val="1ACDE60F"/>
    <w:lvl w:ilvl="0" w:tentative="0">
      <w:start w:val="5"/>
      <w:numFmt w:val="decimal"/>
      <w:lvlText w:val="%1."/>
      <w:lvlJc w:val="left"/>
      <w:rPr>
        <w:color w:val="3370FF"/>
      </w:rPr>
    </w:lvl>
  </w:abstractNum>
  <w:abstractNum w:abstractNumId="69">
    <w:nsid w:val="1AD50295"/>
    <w:multiLevelType w:val="singleLevel"/>
    <w:tmpl w:val="1AD50295"/>
    <w:lvl w:ilvl="0" w:tentative="0">
      <w:start w:val="5"/>
      <w:numFmt w:val="decimal"/>
      <w:lvlText w:val="%1."/>
      <w:lvlJc w:val="left"/>
      <w:rPr>
        <w:color w:val="3370FF"/>
      </w:rPr>
    </w:lvl>
  </w:abstractNum>
  <w:abstractNum w:abstractNumId="70">
    <w:nsid w:val="1BCBBCF0"/>
    <w:multiLevelType w:val="singleLevel"/>
    <w:tmpl w:val="1BCBBCF0"/>
    <w:lvl w:ilvl="0" w:tentative="0">
      <w:start w:val="2"/>
      <w:numFmt w:val="decimal"/>
      <w:lvlText w:val="%1."/>
      <w:lvlJc w:val="left"/>
      <w:rPr>
        <w:color w:val="3370FF"/>
      </w:rPr>
    </w:lvl>
  </w:abstractNum>
  <w:abstractNum w:abstractNumId="71">
    <w:nsid w:val="1C257C7B"/>
    <w:multiLevelType w:val="singleLevel"/>
    <w:tmpl w:val="1C257C7B"/>
    <w:lvl w:ilvl="0" w:tentative="0">
      <w:start w:val="2"/>
      <w:numFmt w:val="decimal"/>
      <w:lvlText w:val="%1."/>
      <w:lvlJc w:val="left"/>
      <w:rPr>
        <w:color w:val="3370FF"/>
      </w:rPr>
    </w:lvl>
  </w:abstractNum>
  <w:abstractNum w:abstractNumId="72">
    <w:nsid w:val="23E97754"/>
    <w:multiLevelType w:val="singleLevel"/>
    <w:tmpl w:val="23E97754"/>
    <w:lvl w:ilvl="0" w:tentative="0">
      <w:start w:val="4"/>
      <w:numFmt w:val="decimal"/>
      <w:lvlText w:val="%1."/>
      <w:lvlJc w:val="left"/>
      <w:rPr>
        <w:color w:val="3370FF"/>
      </w:rPr>
    </w:lvl>
  </w:abstractNum>
  <w:abstractNum w:abstractNumId="73">
    <w:nsid w:val="243FCF68"/>
    <w:multiLevelType w:val="singleLevel"/>
    <w:tmpl w:val="243FCF68"/>
    <w:lvl w:ilvl="0" w:tentative="0">
      <w:start w:val="4"/>
      <w:numFmt w:val="decimal"/>
      <w:lvlText w:val="%1."/>
      <w:lvlJc w:val="left"/>
      <w:rPr>
        <w:color w:val="3370FF"/>
      </w:rPr>
    </w:lvl>
  </w:abstractNum>
  <w:abstractNum w:abstractNumId="74">
    <w:nsid w:val="2470EC97"/>
    <w:multiLevelType w:val="singleLevel"/>
    <w:tmpl w:val="2470EC97"/>
    <w:lvl w:ilvl="0" w:tentative="0">
      <w:start w:val="2"/>
      <w:numFmt w:val="decimal"/>
      <w:lvlText w:val="%1."/>
      <w:lvlJc w:val="left"/>
      <w:rPr>
        <w:color w:val="3370FF"/>
      </w:rPr>
    </w:lvl>
  </w:abstractNum>
  <w:abstractNum w:abstractNumId="75">
    <w:nsid w:val="25B654F3"/>
    <w:multiLevelType w:val="singleLevel"/>
    <w:tmpl w:val="25B654F3"/>
    <w:lvl w:ilvl="0" w:tentative="0">
      <w:start w:val="0"/>
      <w:numFmt w:val="bullet"/>
      <w:lvlText w:val="•"/>
      <w:lvlJc w:val="left"/>
      <w:rPr>
        <w:color w:val="3370FF"/>
      </w:rPr>
    </w:lvl>
  </w:abstractNum>
  <w:abstractNum w:abstractNumId="76">
    <w:nsid w:val="2A8F537B"/>
    <w:multiLevelType w:val="singleLevel"/>
    <w:tmpl w:val="2A8F537B"/>
    <w:lvl w:ilvl="0" w:tentative="0">
      <w:start w:val="0"/>
      <w:numFmt w:val="bullet"/>
      <w:lvlText w:val="•"/>
      <w:lvlJc w:val="left"/>
      <w:rPr>
        <w:color w:val="3370FF"/>
      </w:rPr>
    </w:lvl>
  </w:abstractNum>
  <w:abstractNum w:abstractNumId="77">
    <w:nsid w:val="2F2D79CE"/>
    <w:multiLevelType w:val="singleLevel"/>
    <w:tmpl w:val="2F2D79CE"/>
    <w:lvl w:ilvl="0" w:tentative="0">
      <w:start w:val="0"/>
      <w:numFmt w:val="bullet"/>
      <w:lvlText w:val="•"/>
      <w:lvlJc w:val="left"/>
      <w:rPr>
        <w:color w:val="3370FF"/>
      </w:rPr>
    </w:lvl>
  </w:abstractNum>
  <w:abstractNum w:abstractNumId="78">
    <w:nsid w:val="30A0AC00"/>
    <w:multiLevelType w:val="singleLevel"/>
    <w:tmpl w:val="30A0AC00"/>
    <w:lvl w:ilvl="0" w:tentative="0">
      <w:start w:val="1"/>
      <w:numFmt w:val="decimal"/>
      <w:lvlText w:val="%1."/>
      <w:lvlJc w:val="left"/>
      <w:rPr>
        <w:color w:val="3370FF"/>
      </w:rPr>
    </w:lvl>
  </w:abstractNum>
  <w:abstractNum w:abstractNumId="79">
    <w:nsid w:val="30FC5B15"/>
    <w:multiLevelType w:val="singleLevel"/>
    <w:tmpl w:val="30FC5B15"/>
    <w:lvl w:ilvl="0" w:tentative="0">
      <w:start w:val="0"/>
      <w:numFmt w:val="bullet"/>
      <w:lvlText w:val="•"/>
      <w:lvlJc w:val="left"/>
      <w:rPr>
        <w:color w:val="3370FF"/>
      </w:rPr>
    </w:lvl>
  </w:abstractNum>
  <w:abstractNum w:abstractNumId="80">
    <w:nsid w:val="322D85CA"/>
    <w:multiLevelType w:val="singleLevel"/>
    <w:tmpl w:val="322D85CA"/>
    <w:lvl w:ilvl="0" w:tentative="0">
      <w:start w:val="5"/>
      <w:numFmt w:val="decimal"/>
      <w:lvlText w:val="%1."/>
      <w:lvlJc w:val="left"/>
      <w:rPr>
        <w:color w:val="3370FF"/>
      </w:rPr>
    </w:lvl>
  </w:abstractNum>
  <w:abstractNum w:abstractNumId="81">
    <w:nsid w:val="32A7AF2D"/>
    <w:multiLevelType w:val="singleLevel"/>
    <w:tmpl w:val="32A7AF2D"/>
    <w:lvl w:ilvl="0" w:tentative="0">
      <w:start w:val="1"/>
      <w:numFmt w:val="decimal"/>
      <w:lvlText w:val="%1."/>
      <w:lvlJc w:val="left"/>
      <w:rPr>
        <w:color w:val="3370FF"/>
      </w:rPr>
    </w:lvl>
  </w:abstractNum>
  <w:abstractNum w:abstractNumId="82">
    <w:nsid w:val="35E83B33"/>
    <w:multiLevelType w:val="singleLevel"/>
    <w:tmpl w:val="35E83B33"/>
    <w:lvl w:ilvl="0" w:tentative="0">
      <w:start w:val="3"/>
      <w:numFmt w:val="decimal"/>
      <w:lvlText w:val="%1."/>
      <w:lvlJc w:val="left"/>
      <w:rPr>
        <w:color w:val="3370FF"/>
      </w:rPr>
    </w:lvl>
  </w:abstractNum>
  <w:abstractNum w:abstractNumId="83">
    <w:nsid w:val="39A0D9AC"/>
    <w:multiLevelType w:val="singleLevel"/>
    <w:tmpl w:val="39A0D9AC"/>
    <w:lvl w:ilvl="0" w:tentative="0">
      <w:start w:val="3"/>
      <w:numFmt w:val="decimal"/>
      <w:lvlText w:val="%1."/>
      <w:lvlJc w:val="left"/>
      <w:rPr>
        <w:color w:val="3370FF"/>
      </w:rPr>
    </w:lvl>
  </w:abstractNum>
  <w:abstractNum w:abstractNumId="84">
    <w:nsid w:val="3B8127DF"/>
    <w:multiLevelType w:val="singleLevel"/>
    <w:tmpl w:val="3B8127DF"/>
    <w:lvl w:ilvl="0" w:tentative="0">
      <w:start w:val="0"/>
      <w:numFmt w:val="bullet"/>
      <w:lvlText w:val="•"/>
      <w:lvlJc w:val="left"/>
      <w:rPr>
        <w:color w:val="3370FF"/>
      </w:rPr>
    </w:lvl>
  </w:abstractNum>
  <w:abstractNum w:abstractNumId="85">
    <w:nsid w:val="40B249F9"/>
    <w:multiLevelType w:val="singleLevel"/>
    <w:tmpl w:val="40B249F9"/>
    <w:lvl w:ilvl="0" w:tentative="0">
      <w:start w:val="1"/>
      <w:numFmt w:val="decimal"/>
      <w:lvlText w:val="%1."/>
      <w:lvlJc w:val="left"/>
      <w:rPr>
        <w:color w:val="3370FF"/>
      </w:rPr>
    </w:lvl>
  </w:abstractNum>
  <w:abstractNum w:abstractNumId="86">
    <w:nsid w:val="46A08BB8"/>
    <w:multiLevelType w:val="singleLevel"/>
    <w:tmpl w:val="46A08BB8"/>
    <w:lvl w:ilvl="0" w:tentative="0">
      <w:start w:val="5"/>
      <w:numFmt w:val="decimal"/>
      <w:lvlText w:val="%1."/>
      <w:lvlJc w:val="left"/>
      <w:rPr>
        <w:color w:val="3370FF"/>
      </w:rPr>
    </w:lvl>
  </w:abstractNum>
  <w:abstractNum w:abstractNumId="87">
    <w:nsid w:val="4A51D704"/>
    <w:multiLevelType w:val="singleLevel"/>
    <w:tmpl w:val="4A51D704"/>
    <w:lvl w:ilvl="0" w:tentative="0">
      <w:start w:val="1"/>
      <w:numFmt w:val="decimal"/>
      <w:lvlText w:val="%1."/>
      <w:lvlJc w:val="left"/>
      <w:rPr>
        <w:color w:val="3370FF"/>
      </w:rPr>
    </w:lvl>
  </w:abstractNum>
  <w:abstractNum w:abstractNumId="88">
    <w:nsid w:val="4C1BAE26"/>
    <w:multiLevelType w:val="singleLevel"/>
    <w:tmpl w:val="4C1BAE26"/>
    <w:lvl w:ilvl="0" w:tentative="0">
      <w:start w:val="2"/>
      <w:numFmt w:val="decimal"/>
      <w:lvlText w:val="%1."/>
      <w:lvlJc w:val="left"/>
      <w:rPr>
        <w:color w:val="3370FF"/>
      </w:rPr>
    </w:lvl>
  </w:abstractNum>
  <w:abstractNum w:abstractNumId="89">
    <w:nsid w:val="4C3D7A74"/>
    <w:multiLevelType w:val="singleLevel"/>
    <w:tmpl w:val="4C3D7A74"/>
    <w:lvl w:ilvl="0" w:tentative="0">
      <w:start w:val="4"/>
      <w:numFmt w:val="decimal"/>
      <w:lvlText w:val="%1."/>
      <w:lvlJc w:val="left"/>
      <w:rPr>
        <w:color w:val="3370FF"/>
      </w:rPr>
    </w:lvl>
  </w:abstractNum>
  <w:abstractNum w:abstractNumId="90">
    <w:nsid w:val="4CD1E351"/>
    <w:multiLevelType w:val="singleLevel"/>
    <w:tmpl w:val="4CD1E351"/>
    <w:lvl w:ilvl="0" w:tentative="0">
      <w:start w:val="1"/>
      <w:numFmt w:val="decimal"/>
      <w:lvlText w:val="%1."/>
      <w:lvlJc w:val="left"/>
      <w:rPr>
        <w:color w:val="3370FF"/>
      </w:rPr>
    </w:lvl>
  </w:abstractNum>
  <w:abstractNum w:abstractNumId="91">
    <w:nsid w:val="4D4DC07F"/>
    <w:multiLevelType w:val="singleLevel"/>
    <w:tmpl w:val="4D4DC07F"/>
    <w:lvl w:ilvl="0" w:tentative="0">
      <w:start w:val="0"/>
      <w:numFmt w:val="bullet"/>
      <w:lvlText w:val="•"/>
      <w:lvlJc w:val="left"/>
      <w:rPr>
        <w:color w:val="3370FF"/>
      </w:rPr>
    </w:lvl>
  </w:abstractNum>
  <w:abstractNum w:abstractNumId="92">
    <w:nsid w:val="4D94DA66"/>
    <w:multiLevelType w:val="singleLevel"/>
    <w:tmpl w:val="4D94DA66"/>
    <w:lvl w:ilvl="0" w:tentative="0">
      <w:start w:val="5"/>
      <w:numFmt w:val="decimal"/>
      <w:lvlText w:val="%1."/>
      <w:lvlJc w:val="left"/>
      <w:rPr>
        <w:color w:val="3370FF"/>
      </w:rPr>
    </w:lvl>
  </w:abstractNum>
  <w:abstractNum w:abstractNumId="93">
    <w:nsid w:val="58765686"/>
    <w:multiLevelType w:val="singleLevel"/>
    <w:tmpl w:val="58765686"/>
    <w:lvl w:ilvl="0" w:tentative="0">
      <w:start w:val="1"/>
      <w:numFmt w:val="decimal"/>
      <w:lvlText w:val="%1."/>
      <w:lvlJc w:val="left"/>
      <w:rPr>
        <w:color w:val="3370FF"/>
      </w:rPr>
    </w:lvl>
  </w:abstractNum>
  <w:abstractNum w:abstractNumId="94">
    <w:nsid w:val="59ADCABA"/>
    <w:multiLevelType w:val="singleLevel"/>
    <w:tmpl w:val="59ADCABA"/>
    <w:lvl w:ilvl="0" w:tentative="0">
      <w:start w:val="0"/>
      <w:numFmt w:val="bullet"/>
      <w:lvlText w:val="•"/>
      <w:lvlJc w:val="left"/>
      <w:rPr>
        <w:color w:val="3370FF"/>
      </w:rPr>
    </w:lvl>
  </w:abstractNum>
  <w:abstractNum w:abstractNumId="95">
    <w:nsid w:val="59EEFD2A"/>
    <w:multiLevelType w:val="singleLevel"/>
    <w:tmpl w:val="59EEFD2A"/>
    <w:lvl w:ilvl="0" w:tentative="0">
      <w:start w:val="0"/>
      <w:numFmt w:val="bullet"/>
      <w:lvlText w:val="•"/>
      <w:lvlJc w:val="left"/>
      <w:rPr>
        <w:color w:val="3370FF"/>
      </w:rPr>
    </w:lvl>
  </w:abstractNum>
  <w:abstractNum w:abstractNumId="96">
    <w:nsid w:val="5A241D34"/>
    <w:multiLevelType w:val="singleLevel"/>
    <w:tmpl w:val="5A241D34"/>
    <w:lvl w:ilvl="0" w:tentative="0">
      <w:start w:val="0"/>
      <w:numFmt w:val="bullet"/>
      <w:lvlText w:val="•"/>
      <w:lvlJc w:val="left"/>
      <w:rPr>
        <w:color w:val="3370FF"/>
      </w:rPr>
    </w:lvl>
  </w:abstractNum>
  <w:abstractNum w:abstractNumId="97">
    <w:nsid w:val="5E29AB5A"/>
    <w:multiLevelType w:val="singleLevel"/>
    <w:tmpl w:val="5E29AB5A"/>
    <w:lvl w:ilvl="0" w:tentative="0">
      <w:start w:val="3"/>
      <w:numFmt w:val="decimal"/>
      <w:lvlText w:val="%1."/>
      <w:lvlJc w:val="left"/>
      <w:rPr>
        <w:color w:val="3370FF"/>
      </w:rPr>
    </w:lvl>
  </w:abstractNum>
  <w:abstractNum w:abstractNumId="98">
    <w:nsid w:val="5FFFB1A7"/>
    <w:multiLevelType w:val="singleLevel"/>
    <w:tmpl w:val="5FFFB1A7"/>
    <w:lvl w:ilvl="0" w:tentative="0">
      <w:start w:val="2"/>
      <w:numFmt w:val="decimal"/>
      <w:lvlText w:val="%1."/>
      <w:lvlJc w:val="left"/>
      <w:rPr>
        <w:color w:val="3370FF"/>
      </w:rPr>
    </w:lvl>
  </w:abstractNum>
  <w:abstractNum w:abstractNumId="99">
    <w:nsid w:val="60382F6E"/>
    <w:multiLevelType w:val="singleLevel"/>
    <w:tmpl w:val="60382F6E"/>
    <w:lvl w:ilvl="0" w:tentative="0">
      <w:start w:val="3"/>
      <w:numFmt w:val="decimal"/>
      <w:lvlText w:val="%1."/>
      <w:lvlJc w:val="left"/>
      <w:rPr>
        <w:color w:val="3370FF"/>
      </w:rPr>
    </w:lvl>
  </w:abstractNum>
  <w:abstractNum w:abstractNumId="100">
    <w:nsid w:val="610EFE5C"/>
    <w:multiLevelType w:val="singleLevel"/>
    <w:tmpl w:val="610EFE5C"/>
    <w:lvl w:ilvl="0" w:tentative="0">
      <w:start w:val="3"/>
      <w:numFmt w:val="decimal"/>
      <w:lvlText w:val="%1."/>
      <w:lvlJc w:val="left"/>
      <w:rPr>
        <w:color w:val="3370FF"/>
      </w:rPr>
    </w:lvl>
  </w:abstractNum>
  <w:abstractNum w:abstractNumId="101">
    <w:nsid w:val="629F7852"/>
    <w:multiLevelType w:val="singleLevel"/>
    <w:tmpl w:val="629F7852"/>
    <w:lvl w:ilvl="0" w:tentative="0">
      <w:start w:val="1"/>
      <w:numFmt w:val="decimal"/>
      <w:lvlText w:val="%1."/>
      <w:lvlJc w:val="left"/>
      <w:rPr>
        <w:color w:val="3370FF"/>
      </w:rPr>
    </w:lvl>
  </w:abstractNum>
  <w:abstractNum w:abstractNumId="102">
    <w:nsid w:val="65CD0074"/>
    <w:multiLevelType w:val="singleLevel"/>
    <w:tmpl w:val="65CD0074"/>
    <w:lvl w:ilvl="0" w:tentative="0">
      <w:start w:val="0"/>
      <w:numFmt w:val="bullet"/>
      <w:lvlText w:val="•"/>
      <w:lvlJc w:val="left"/>
      <w:rPr>
        <w:color w:val="3370FF"/>
      </w:rPr>
    </w:lvl>
  </w:abstractNum>
  <w:abstractNum w:abstractNumId="103">
    <w:nsid w:val="68B298F7"/>
    <w:multiLevelType w:val="singleLevel"/>
    <w:tmpl w:val="68B298F7"/>
    <w:lvl w:ilvl="0" w:tentative="0">
      <w:start w:val="0"/>
      <w:numFmt w:val="bullet"/>
      <w:lvlText w:val="•"/>
      <w:lvlJc w:val="left"/>
      <w:rPr>
        <w:color w:val="3370FF"/>
      </w:rPr>
    </w:lvl>
  </w:abstractNum>
  <w:abstractNum w:abstractNumId="104">
    <w:nsid w:val="700FDCEF"/>
    <w:multiLevelType w:val="singleLevel"/>
    <w:tmpl w:val="700FDCEF"/>
    <w:lvl w:ilvl="0" w:tentative="0">
      <w:start w:val="4"/>
      <w:numFmt w:val="decimal"/>
      <w:lvlText w:val="%1."/>
      <w:lvlJc w:val="left"/>
      <w:rPr>
        <w:color w:val="3370FF"/>
      </w:rPr>
    </w:lvl>
  </w:abstractNum>
  <w:abstractNum w:abstractNumId="105">
    <w:nsid w:val="72183CF9"/>
    <w:multiLevelType w:val="singleLevel"/>
    <w:tmpl w:val="72183CF9"/>
    <w:lvl w:ilvl="0" w:tentative="0">
      <w:start w:val="0"/>
      <w:numFmt w:val="bullet"/>
      <w:lvlText w:val="•"/>
      <w:lvlJc w:val="left"/>
      <w:rPr>
        <w:color w:val="3370FF"/>
      </w:rPr>
    </w:lvl>
  </w:abstractNum>
  <w:abstractNum w:abstractNumId="106">
    <w:nsid w:val="74C28B35"/>
    <w:multiLevelType w:val="singleLevel"/>
    <w:tmpl w:val="74C28B35"/>
    <w:lvl w:ilvl="0" w:tentative="0">
      <w:start w:val="3"/>
      <w:numFmt w:val="decimal"/>
      <w:lvlText w:val="%1."/>
      <w:lvlJc w:val="left"/>
      <w:rPr>
        <w:color w:val="3370FF"/>
      </w:rPr>
    </w:lvl>
  </w:abstractNum>
  <w:abstractNum w:abstractNumId="107">
    <w:nsid w:val="77633216"/>
    <w:multiLevelType w:val="singleLevel"/>
    <w:tmpl w:val="77633216"/>
    <w:lvl w:ilvl="0" w:tentative="0">
      <w:start w:val="4"/>
      <w:numFmt w:val="decimal"/>
      <w:lvlText w:val="%1."/>
      <w:lvlJc w:val="left"/>
      <w:rPr>
        <w:color w:val="3370FF"/>
      </w:rPr>
    </w:lvl>
  </w:abstractNum>
  <w:abstractNum w:abstractNumId="108">
    <w:nsid w:val="77ECEA79"/>
    <w:multiLevelType w:val="singleLevel"/>
    <w:tmpl w:val="77ECEA79"/>
    <w:lvl w:ilvl="0" w:tentative="0">
      <w:start w:val="0"/>
      <w:numFmt w:val="bullet"/>
      <w:lvlText w:val="•"/>
      <w:lvlJc w:val="left"/>
      <w:rPr>
        <w:color w:val="3370FF"/>
      </w:rPr>
    </w:lvl>
  </w:abstractNum>
  <w:abstractNum w:abstractNumId="109">
    <w:nsid w:val="79AA4FA4"/>
    <w:multiLevelType w:val="singleLevel"/>
    <w:tmpl w:val="79AA4FA4"/>
    <w:lvl w:ilvl="0" w:tentative="0">
      <w:start w:val="0"/>
      <w:numFmt w:val="bullet"/>
      <w:lvlText w:val="•"/>
      <w:lvlJc w:val="left"/>
      <w:rPr>
        <w:color w:val="3370FF"/>
      </w:rPr>
    </w:lvl>
  </w:abstractNum>
  <w:abstractNum w:abstractNumId="110">
    <w:nsid w:val="7C246926"/>
    <w:multiLevelType w:val="singleLevel"/>
    <w:tmpl w:val="7C246926"/>
    <w:lvl w:ilvl="0" w:tentative="0">
      <w:start w:val="0"/>
      <w:numFmt w:val="bullet"/>
      <w:lvlText w:val="•"/>
      <w:lvlJc w:val="left"/>
      <w:rPr>
        <w:color w:val="3370FF"/>
      </w:rPr>
    </w:lvl>
  </w:abstractNum>
  <w:abstractNum w:abstractNumId="111">
    <w:nsid w:val="7DEC2089"/>
    <w:multiLevelType w:val="singleLevel"/>
    <w:tmpl w:val="7DEC2089"/>
    <w:lvl w:ilvl="0" w:tentative="0">
      <w:start w:val="2"/>
      <w:numFmt w:val="decimal"/>
      <w:lvlText w:val="%1."/>
      <w:lvlJc w:val="left"/>
      <w:rPr>
        <w:color w:val="3370FF"/>
      </w:rPr>
    </w:lvl>
  </w:abstractNum>
  <w:num w:numId="1">
    <w:abstractNumId w:val="55"/>
  </w:num>
  <w:num w:numId="2">
    <w:abstractNumId w:val="39"/>
  </w:num>
  <w:num w:numId="3">
    <w:abstractNumId w:val="94"/>
  </w:num>
  <w:num w:numId="4">
    <w:abstractNumId w:val="33"/>
  </w:num>
  <w:num w:numId="5">
    <w:abstractNumId w:val="25"/>
  </w:num>
  <w:num w:numId="6">
    <w:abstractNumId w:val="59"/>
  </w:num>
  <w:num w:numId="7">
    <w:abstractNumId w:val="75"/>
  </w:num>
  <w:num w:numId="8">
    <w:abstractNumId w:val="105"/>
  </w:num>
  <w:num w:numId="9">
    <w:abstractNumId w:val="57"/>
  </w:num>
  <w:num w:numId="10">
    <w:abstractNumId w:val="9"/>
  </w:num>
  <w:num w:numId="11">
    <w:abstractNumId w:val="76"/>
  </w:num>
  <w:num w:numId="12">
    <w:abstractNumId w:val="96"/>
  </w:num>
  <w:num w:numId="13">
    <w:abstractNumId w:val="37"/>
  </w:num>
  <w:num w:numId="14">
    <w:abstractNumId w:val="91"/>
  </w:num>
  <w:num w:numId="15">
    <w:abstractNumId w:val="50"/>
  </w:num>
  <w:num w:numId="16">
    <w:abstractNumId w:val="74"/>
  </w:num>
  <w:num w:numId="17">
    <w:abstractNumId w:val="44"/>
  </w:num>
  <w:num w:numId="18">
    <w:abstractNumId w:val="42"/>
  </w:num>
  <w:num w:numId="19">
    <w:abstractNumId w:val="14"/>
  </w:num>
  <w:num w:numId="20">
    <w:abstractNumId w:val="88"/>
  </w:num>
  <w:num w:numId="21">
    <w:abstractNumId w:val="99"/>
  </w:num>
  <w:num w:numId="22">
    <w:abstractNumId w:val="62"/>
  </w:num>
  <w:num w:numId="23">
    <w:abstractNumId w:val="86"/>
  </w:num>
  <w:num w:numId="24">
    <w:abstractNumId w:val="22"/>
  </w:num>
  <w:num w:numId="25">
    <w:abstractNumId w:val="110"/>
  </w:num>
  <w:num w:numId="26">
    <w:abstractNumId w:val="108"/>
  </w:num>
  <w:num w:numId="27">
    <w:abstractNumId w:val="32"/>
  </w:num>
  <w:num w:numId="28">
    <w:abstractNumId w:val="101"/>
  </w:num>
  <w:num w:numId="29">
    <w:abstractNumId w:val="10"/>
  </w:num>
  <w:num w:numId="30">
    <w:abstractNumId w:val="83"/>
  </w:num>
  <w:num w:numId="31">
    <w:abstractNumId w:val="4"/>
  </w:num>
  <w:num w:numId="32">
    <w:abstractNumId w:val="93"/>
  </w:num>
  <w:num w:numId="33">
    <w:abstractNumId w:val="111"/>
  </w:num>
  <w:num w:numId="34">
    <w:abstractNumId w:val="1"/>
  </w:num>
  <w:num w:numId="35">
    <w:abstractNumId w:val="73"/>
  </w:num>
  <w:num w:numId="36">
    <w:abstractNumId w:val="92"/>
  </w:num>
  <w:num w:numId="37">
    <w:abstractNumId w:val="53"/>
  </w:num>
  <w:num w:numId="38">
    <w:abstractNumId w:val="46"/>
  </w:num>
  <w:num w:numId="39">
    <w:abstractNumId w:val="79"/>
  </w:num>
  <w:num w:numId="40">
    <w:abstractNumId w:val="109"/>
  </w:num>
  <w:num w:numId="41">
    <w:abstractNumId w:val="28"/>
  </w:num>
  <w:num w:numId="42">
    <w:abstractNumId w:val="7"/>
  </w:num>
  <w:num w:numId="43">
    <w:abstractNumId w:val="27"/>
  </w:num>
  <w:num w:numId="44">
    <w:abstractNumId w:val="97"/>
  </w:num>
  <w:num w:numId="45">
    <w:abstractNumId w:val="3"/>
  </w:num>
  <w:num w:numId="46">
    <w:abstractNumId w:val="68"/>
  </w:num>
  <w:num w:numId="47">
    <w:abstractNumId w:val="6"/>
  </w:num>
  <w:num w:numId="48">
    <w:abstractNumId w:val="98"/>
  </w:num>
  <w:num w:numId="49">
    <w:abstractNumId w:val="106"/>
  </w:num>
  <w:num w:numId="50">
    <w:abstractNumId w:val="89"/>
  </w:num>
  <w:num w:numId="51">
    <w:abstractNumId w:val="80"/>
  </w:num>
  <w:num w:numId="52">
    <w:abstractNumId w:val="102"/>
  </w:num>
  <w:num w:numId="53">
    <w:abstractNumId w:val="60"/>
  </w:num>
  <w:num w:numId="54">
    <w:abstractNumId w:val="61"/>
  </w:num>
  <w:num w:numId="55">
    <w:abstractNumId w:val="41"/>
  </w:num>
  <w:num w:numId="56">
    <w:abstractNumId w:val="81"/>
  </w:num>
  <w:num w:numId="57">
    <w:abstractNumId w:val="71"/>
  </w:num>
  <w:num w:numId="58">
    <w:abstractNumId w:val="49"/>
  </w:num>
  <w:num w:numId="59">
    <w:abstractNumId w:val="72"/>
  </w:num>
  <w:num w:numId="60">
    <w:abstractNumId w:val="24"/>
  </w:num>
  <w:num w:numId="61">
    <w:abstractNumId w:val="85"/>
  </w:num>
  <w:num w:numId="62">
    <w:abstractNumId w:val="63"/>
  </w:num>
  <w:num w:numId="63">
    <w:abstractNumId w:val="82"/>
  </w:num>
  <w:num w:numId="64">
    <w:abstractNumId w:val="58"/>
  </w:num>
  <w:num w:numId="65">
    <w:abstractNumId w:val="35"/>
  </w:num>
  <w:num w:numId="66">
    <w:abstractNumId w:val="65"/>
  </w:num>
  <w:num w:numId="67">
    <w:abstractNumId w:val="23"/>
  </w:num>
  <w:num w:numId="68">
    <w:abstractNumId w:val="84"/>
  </w:num>
  <w:num w:numId="69">
    <w:abstractNumId w:val="18"/>
  </w:num>
  <w:num w:numId="70">
    <w:abstractNumId w:val="52"/>
  </w:num>
  <w:num w:numId="71">
    <w:abstractNumId w:val="78"/>
  </w:num>
  <w:num w:numId="72">
    <w:abstractNumId w:val="54"/>
  </w:num>
  <w:num w:numId="73">
    <w:abstractNumId w:val="67"/>
  </w:num>
  <w:num w:numId="74">
    <w:abstractNumId w:val="104"/>
  </w:num>
  <w:num w:numId="75">
    <w:abstractNumId w:val="47"/>
  </w:num>
  <w:num w:numId="76">
    <w:abstractNumId w:val="36"/>
  </w:num>
  <w:num w:numId="77">
    <w:abstractNumId w:val="17"/>
  </w:num>
  <w:num w:numId="78">
    <w:abstractNumId w:val="107"/>
  </w:num>
  <w:num w:numId="79">
    <w:abstractNumId w:val="43"/>
  </w:num>
  <w:num w:numId="80">
    <w:abstractNumId w:val="26"/>
  </w:num>
  <w:num w:numId="81">
    <w:abstractNumId w:val="77"/>
  </w:num>
  <w:num w:numId="82">
    <w:abstractNumId w:val="48"/>
  </w:num>
  <w:num w:numId="83">
    <w:abstractNumId w:val="12"/>
  </w:num>
  <w:num w:numId="84">
    <w:abstractNumId w:val="95"/>
  </w:num>
  <w:num w:numId="85">
    <w:abstractNumId w:val="30"/>
  </w:num>
  <w:num w:numId="86">
    <w:abstractNumId w:val="21"/>
  </w:num>
  <w:num w:numId="87">
    <w:abstractNumId w:val="11"/>
  </w:num>
  <w:num w:numId="88">
    <w:abstractNumId w:val="15"/>
  </w:num>
  <w:num w:numId="89">
    <w:abstractNumId w:val="20"/>
  </w:num>
  <w:num w:numId="90">
    <w:abstractNumId w:val="8"/>
  </w:num>
  <w:num w:numId="91">
    <w:abstractNumId w:val="70"/>
  </w:num>
  <w:num w:numId="92">
    <w:abstractNumId w:val="31"/>
  </w:num>
  <w:num w:numId="93">
    <w:abstractNumId w:val="66"/>
  </w:num>
  <w:num w:numId="94">
    <w:abstractNumId w:val="40"/>
  </w:num>
  <w:num w:numId="95">
    <w:abstractNumId w:val="103"/>
  </w:num>
  <w:num w:numId="96">
    <w:abstractNumId w:val="0"/>
  </w:num>
  <w:num w:numId="97">
    <w:abstractNumId w:val="29"/>
  </w:num>
  <w:num w:numId="98">
    <w:abstractNumId w:val="51"/>
  </w:num>
  <w:num w:numId="99">
    <w:abstractNumId w:val="90"/>
  </w:num>
  <w:num w:numId="100">
    <w:abstractNumId w:val="64"/>
  </w:num>
  <w:num w:numId="101">
    <w:abstractNumId w:val="13"/>
  </w:num>
  <w:num w:numId="102">
    <w:abstractNumId w:val="45"/>
  </w:num>
  <w:num w:numId="103">
    <w:abstractNumId w:val="69"/>
  </w:num>
  <w:num w:numId="104">
    <w:abstractNumId w:val="87"/>
  </w:num>
  <w:num w:numId="105">
    <w:abstractNumId w:val="19"/>
  </w:num>
  <w:num w:numId="106">
    <w:abstractNumId w:val="100"/>
  </w:num>
  <w:num w:numId="107">
    <w:abstractNumId w:val="2"/>
  </w:num>
  <w:num w:numId="108">
    <w:abstractNumId w:val="5"/>
  </w:num>
  <w:num w:numId="109">
    <w:abstractNumId w:val="56"/>
  </w:num>
  <w:num w:numId="110">
    <w:abstractNumId w:val="16"/>
  </w:num>
  <w:num w:numId="111">
    <w:abstractNumId w:val="34"/>
  </w:num>
  <w:num w:numId="112">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useFELayout/>
    <w:splitPgBreakAndParaMark/>
    <w:compatSetting w:name="compatibilityMode" w:uri="http://schemas.microsoft.com/office/word" w:val="12"/>
  </w:compat>
  <w:rsids>
    <w:rsidRoot w:val="00000000"/>
    <w:rsid w:val="38802800"/>
    <w:rsid w:val="3A0A5D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28</Pages>
  <Words>17264</Words>
  <Characters>20709</Characters>
  <TotalTime>2</TotalTime>
  <ScaleCrop>false</ScaleCrop>
  <LinksUpToDate>false</LinksUpToDate>
  <CharactersWithSpaces>21152</CharactersWithSpaces>
  <Application>WPS Office_11.1.0.10463_F1E327BC-269C-435d-A152-05C5408002CA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2025-06-16T03:29:00Z</dcterms:created>
  <dc:creator>Apache POI</dc:creator>
  <cp:lastModifiedBy>康测科技市场部</cp:lastModifiedBy>
  <dcterms:modified xsi:type="dcterms:W3CDTF">2025-06-19T00:48:01Z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eyJoZGlkIjoiM2YyOTZmZWFhZTdkMzU1MWE5ZDY5OGU5ZDgwODY4ZGIiLCJ1c2VySWQiOiI3MjI2NjI4MzkifQ==</vt:lpwstr>
  </property>
  <property fmtid="{D5CDD505-2E9C-101B-9397-08002B2CF9AE}" pid="3" name="KSOProductBuildVer">
    <vt:lpwstr>2052-11.1.0.10463</vt:lpwstr>
  </property>
  <property fmtid="{D5CDD505-2E9C-101B-9397-08002B2CF9AE}" pid="4" name="ICV">
    <vt:lpwstr>B4ECABD726AC40AE958D14C0F10B10FC_12</vt:lpwstr>
  </property>
</Properties>
</file>