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F827E7">
      <w:pPr>
        <w:pStyle w:val="145"/>
        <w:rPr>
          <w:lang w:eastAsia="zh-CN"/>
        </w:rPr>
      </w:pPr>
      <w:bookmarkStart w:id="0" w:name="_Toc453597319"/>
      <w:bookmarkStart w:id="1" w:name="_Toc481801204"/>
      <w:bookmarkStart w:id="2" w:name="_Toc438987549"/>
      <w:bookmarkStart w:id="3" w:name="_Toc517262917"/>
      <w:bookmarkStart w:id="4" w:name="_Toc418070112"/>
      <w:bookmarkStart w:id="5" w:name="_Toc415818939"/>
      <w:bookmarkStart w:id="6" w:name="_Toc415142861"/>
      <w:bookmarkStart w:id="7" w:name="OLE_LINK40"/>
      <w:bookmarkStart w:id="8" w:name="OLE_LINK15"/>
      <w:bookmarkStart w:id="9" w:name="_Toc415143481"/>
      <w:bookmarkStart w:id="10" w:name="OLE_LINK13"/>
      <w:bookmarkStart w:id="11" w:name="OLE_LINK39"/>
      <w:bookmarkStart w:id="12" w:name="OLE_LINK24"/>
      <w:r>
        <w:rPr>
          <w:rFonts w:hint="eastAsia"/>
          <w:lang w:eastAsia="zh-CN"/>
        </w:rPr>
        <w:t>冲牙器是一种清洁口腔的辅助性工具，利用脉冲水流冲击的方式来清洁牙齿、牙缝的一种工具，主要有便携式，台式，一般冲洗压力在0到90psi。冲牙器，又称水牙线机或牙缝清洁机，是一种家用的口腔清洁装置。在使用时，冲牙器喷射出脉冲水流，冲击清洁牙缝与牙龈处的牙菌斑和食物残渣。使用冲牙器可改善牙龈健康，亦有助于清洁矫正器和人工牙体。冲牙器也叫水牙线，可以理解为高气压的水流，用水流去冲洗平常漱口时不容易去除的食物残渣。冲牙器最大的特点是能将牙齿之间或是隐匿部位嵌塞的食物冲洗出来，而这些部位刷牙和漱口是没办法清洁到位的。所以，从使用上来讲，大众都可以使用冲牙器来进行牙周维护、牙齿清洁，特别适合正畸患者以及牙周病患者。由于正畸者牙面带有托槽，进食后容易嵌塞食物残渣，单凭刷牙很难清理干净，通过使用冲牙器可以大范围将挂在弓丝和托槽上的食物残渣冲刷掉。此外，部分牙周病患者、塞牙严重者，用冲牙器能有效清洁牙缝，维护牙周健康。但是对于凝血功能障碍者、血友病患者，以及刚做完口腔手术者而言，冲牙器需谨慎使用。</w:t>
      </w:r>
    </w:p>
    <w:p w14:paraId="2FF8A494">
      <w:pPr>
        <w:pStyle w:val="145"/>
        <w:rPr>
          <w:rFonts w:hint="eastAsia"/>
          <w:lang w:eastAsia="zh-CN"/>
        </w:rPr>
      </w:pPr>
      <w:r>
        <w:rPr>
          <w:rFonts w:hint="eastAsia"/>
          <w:lang w:eastAsia="zh-CN"/>
        </w:rPr>
        <w:t>冲牙器市场的快速发展得益于消费者对口腔健康意识的提升以及对高效清洁产品需求的增加。随着饮食结构的变化，牙菌斑和口腔疾病的发病率上升，推动了消费者对冲牙器的兴趣。此外，技术的进步使得冲牙器的性能和使用体验不断优化，如多模式喷射功能、智能控制和便携性设计，这些创新吸引了更多消费者。与此同时，社交媒体和电商平台的推广使冲牙器品牌获得了更广泛的曝光，从而进一步推动市场需求。</w:t>
      </w:r>
    </w:p>
    <w:p w14:paraId="70CE9515">
      <w:pPr>
        <w:pStyle w:val="145"/>
        <w:rPr>
          <w:rFonts w:hint="eastAsia"/>
          <w:lang w:eastAsia="zh-CN"/>
        </w:rPr>
      </w:pPr>
      <w:r>
        <w:rPr>
          <w:rFonts w:hint="eastAsia"/>
          <w:lang w:eastAsia="zh-CN"/>
        </w:rPr>
        <w:t>尽管市场发展迅速，但冲牙器行业也面临诸多挑战。一方面，高昂的价格和消费者教育的不足可能限制部分潜在客户的购买意愿，尤其是在中低收入市场。另一方面，行业内的竞争日趋激烈，大量新兴品牌的涌入使市场趋于饱和，品牌间需要通过产品差异化和用户忠诚度提升来获得竞争优势。此外，监管标准的不断提升要求厂商在技术研发和质量管理上投入更多资源，这可能加剧中小企业的经营压力。</w:t>
      </w:r>
    </w:p>
    <w:p w14:paraId="599BFBDB">
      <w:pPr>
        <w:pStyle w:val="145"/>
        <w:rPr>
          <w:rFonts w:hint="eastAsia"/>
          <w:lang w:eastAsia="zh-CN"/>
        </w:rPr>
      </w:pPr>
      <w:r>
        <w:rPr>
          <w:rFonts w:hint="eastAsia"/>
          <w:lang w:eastAsia="zh-CN"/>
        </w:rPr>
        <w:t>未来，冲牙器将进一步向智能化和个性化方向发展。随着人工智能和物联网技术的成熟，冲牙器有望配备智能监测功能，如检测用户的口腔健康状况并提供个性化护理建议。同时，设备的操作界面将更加直观，支持通过手机App进行远程控制和数据分析。高效节水、静音设计以及环保材料的应用也将成为未来产品设计的重要方向，以满足消费者对可持续发展的需求。</w:t>
      </w:r>
    </w:p>
    <w:p w14:paraId="46013E3C">
      <w:pPr>
        <w:pStyle w:val="145"/>
        <w:rPr>
          <w:rFonts w:hint="eastAsia"/>
          <w:lang w:eastAsia="zh-CN"/>
        </w:rPr>
      </w:pPr>
      <w:r>
        <w:rPr>
          <w:rFonts w:hint="eastAsia"/>
          <w:lang w:eastAsia="zh-CN"/>
        </w:rPr>
        <w:t>冲牙器市场未来将呈现更加细分化和多元化的趋势。厂商可能会针对不同的消费群体推出定制化产品，例如儿童专用冲牙器、敏感牙龈专用机型或便携式旅行款，以满足特定用户的需求。此外，随着新兴市场的崛起，经济型冲牙器的需求将不断增加，推动品牌在全球范围内扩展市场版图。与此同时，线上与线下渠道的结合，以及健康生活方式的持续推广，将进一步助力冲牙器市场的长远发展。</w:t>
      </w:r>
    </w:p>
    <w:p w14:paraId="2BC4A487">
      <w:pPr>
        <w:pStyle w:val="145"/>
        <w:rPr>
          <w:lang w:eastAsia="zh-CN"/>
        </w:rPr>
      </w:pPr>
      <w:r>
        <w:rPr>
          <w:rFonts w:hint="eastAsia"/>
          <w:lang w:eastAsia="zh-CN"/>
        </w:rPr>
        <w:t>据QYResearch调研团队最新报告“全球冲牙器市场报告2024-2030”显示，预计2030年全球冲牙器市场规模将达到9.3亿美元，未来几年年复合增长率CAGR为5.8%。</w:t>
      </w:r>
    </w:p>
    <w:p w14:paraId="435E3011">
      <w:pPr>
        <w:pStyle w:val="145"/>
        <w:rPr>
          <w:lang w:eastAsia="zh-CN"/>
        </w:rPr>
      </w:pPr>
    </w:p>
    <w:p w14:paraId="3F6C2722">
      <w:pPr>
        <w:pStyle w:val="148"/>
        <w:rPr>
          <w:lang w:eastAsia="zh-CN"/>
        </w:rPr>
      </w:pPr>
      <w:r>
        <w:rPr>
          <w:lang w:eastAsia="zh-CN"/>
        </w:rPr>
        <w:t>冲牙器</w:t>
      </w:r>
      <w:r>
        <w:rPr>
          <w:rFonts w:hint="eastAsia"/>
          <w:lang w:eastAsia="zh-CN"/>
        </w:rPr>
        <w:t>，全球市场总体规模</w:t>
      </w:r>
    </w:p>
    <w:p w14:paraId="33261207">
      <w:pPr>
        <w:pStyle w:val="145"/>
      </w:pPr>
      <w:r>
        <w:drawing>
          <wp:inline distT="0" distB="0" distL="0" distR="0">
            <wp:extent cx="6188710" cy="2954655"/>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48964BA">
      <w:pPr>
        <w:pStyle w:val="143"/>
        <w:rPr>
          <w:lang w:eastAsia="zh-CN"/>
        </w:rPr>
      </w:pPr>
      <w:r>
        <w:rPr>
          <w:rFonts w:hint="eastAsia"/>
          <w:lang w:eastAsia="zh-CN"/>
        </w:rPr>
        <w:t>来源：QYResearch 医疗研究中心</w:t>
      </w:r>
    </w:p>
    <w:p w14:paraId="12FD9BEF">
      <w:pPr>
        <w:pStyle w:val="145"/>
        <w:rPr>
          <w:lang w:eastAsia="zh-CN"/>
        </w:rPr>
      </w:pPr>
    </w:p>
    <w:p w14:paraId="720E31E2">
      <w:pPr>
        <w:pStyle w:val="148"/>
        <w:rPr>
          <w:lang w:eastAsia="zh-CN"/>
        </w:rPr>
      </w:pPr>
      <w:r>
        <w:rPr>
          <w:rFonts w:hint="eastAsia"/>
          <w:lang w:eastAsia="zh-CN"/>
        </w:rPr>
        <w:t>全球</w:t>
      </w:r>
      <w:r>
        <w:rPr>
          <w:lang w:eastAsia="zh-CN"/>
        </w:rPr>
        <w:t>冲牙器</w:t>
      </w:r>
      <w:r>
        <w:rPr>
          <w:rFonts w:hint="eastAsia"/>
          <w:lang w:eastAsia="zh-CN"/>
        </w:rPr>
        <w:t>市场前15强生产商排名及市场占有率（基于2</w:t>
      </w:r>
      <w:r>
        <w:rPr>
          <w:lang w:eastAsia="zh-CN"/>
        </w:rPr>
        <w:t>023</w:t>
      </w:r>
      <w:r>
        <w:rPr>
          <w:rFonts w:hint="eastAsia"/>
          <w:lang w:eastAsia="zh-CN"/>
        </w:rPr>
        <w:t>年调研数据；目前最新数据以本公司最新调研数据为准）</w:t>
      </w:r>
    </w:p>
    <w:p w14:paraId="773AFA33">
      <w:pPr>
        <w:widowControl/>
        <w:topLinePunct w:val="0"/>
        <w:spacing w:after="0"/>
        <w:jc w:val="center"/>
        <w:rPr>
          <w:rFonts w:ascii="宋体" w:hAnsi="宋体" w:cs="宋体"/>
          <w:kern w:val="0"/>
          <w:sz w:val="24"/>
          <w:szCs w:val="24"/>
        </w:rPr>
      </w:pPr>
      <w:r>
        <w:drawing>
          <wp:inline distT="0" distB="0" distL="0" distR="0">
            <wp:extent cx="3771900" cy="5991225"/>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4A43543">
      <w:pPr>
        <w:pStyle w:val="143"/>
        <w:rPr>
          <w:lang w:eastAsia="zh-CN"/>
        </w:rPr>
      </w:pPr>
      <w:r>
        <w:rPr>
          <w:rFonts w:hint="eastAsia"/>
          <w:lang w:eastAsia="zh-CN"/>
        </w:rPr>
        <w:t>来源：QYResearch 医疗研究中心。行业处于不断变动之中，最新数据请联系QYResearch咨询。</w:t>
      </w:r>
    </w:p>
    <w:p w14:paraId="6E466FB3">
      <w:pPr>
        <w:pStyle w:val="145"/>
        <w:rPr>
          <w:lang w:eastAsia="zh-CN"/>
        </w:rPr>
      </w:pPr>
      <w:r>
        <w:rPr>
          <w:rFonts w:hint="eastAsia"/>
          <w:lang w:eastAsia="zh-CN"/>
        </w:rPr>
        <w:t>根据QYResearch头部企业研究中心调研，全球范围内冲牙器生产商主要包括洁碧公司、宝洁、松下、深圳市飞猫、飞利浦等。2023年，全球前五大厂商占有大约70.0%的市场份额。</w:t>
      </w:r>
    </w:p>
    <w:p w14:paraId="3B2E5865">
      <w:pPr>
        <w:pStyle w:val="145"/>
        <w:rPr>
          <w:lang w:eastAsia="zh-CN"/>
        </w:rPr>
      </w:pPr>
    </w:p>
    <w:p w14:paraId="3E6DE9A8">
      <w:pPr>
        <w:pStyle w:val="148"/>
        <w:rPr>
          <w:lang w:eastAsia="zh-CN"/>
        </w:rPr>
      </w:pPr>
      <w:r>
        <w:rPr>
          <w:lang w:eastAsia="zh-CN"/>
        </w:rPr>
        <w:t>冲牙器</w:t>
      </w:r>
      <w:r>
        <w:rPr>
          <w:rFonts w:hint="eastAsia"/>
          <w:lang w:eastAsia="zh-CN"/>
        </w:rPr>
        <w:t>，全球市场规模，按产品类型细分，便携式冲牙器处于主导地位</w:t>
      </w:r>
    </w:p>
    <w:p w14:paraId="1DAC1641">
      <w:pPr>
        <w:pStyle w:val="145"/>
        <w:rPr>
          <w:rFonts w:hint="eastAsia"/>
          <w:lang w:eastAsia="zh-CN"/>
        </w:rPr>
      </w:pPr>
      <w:r>
        <w:drawing>
          <wp:inline distT="0" distB="0" distL="0" distR="0">
            <wp:extent cx="6188710" cy="2922270"/>
            <wp:effectExtent l="0" t="0" r="254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9AE0722">
      <w:pPr>
        <w:pStyle w:val="143"/>
        <w:rPr>
          <w:lang w:eastAsia="zh-CN"/>
        </w:rPr>
      </w:pPr>
      <w:r>
        <w:rPr>
          <w:rFonts w:hint="eastAsia"/>
          <w:lang w:eastAsia="zh-CN"/>
        </w:rPr>
        <w:t>来源：QYResearch 医疗研究中心</w:t>
      </w:r>
    </w:p>
    <w:p w14:paraId="41C3AE68">
      <w:pPr>
        <w:pStyle w:val="145"/>
        <w:rPr>
          <w:lang w:eastAsia="zh-CN"/>
        </w:rPr>
      </w:pPr>
      <w:r>
        <w:rPr>
          <w:rFonts w:hint="eastAsia"/>
          <w:lang w:eastAsia="zh-CN"/>
        </w:rPr>
        <w:t>就产品类型而言，目前便携式冲牙器是最主要的细分产品，占据大约86.4%的份额。</w:t>
      </w:r>
    </w:p>
    <w:p w14:paraId="0B069045">
      <w:pPr>
        <w:pStyle w:val="148"/>
        <w:rPr>
          <w:lang w:eastAsia="zh-CN"/>
        </w:rPr>
      </w:pPr>
      <w:r>
        <w:rPr>
          <w:lang w:eastAsia="zh-CN"/>
        </w:rPr>
        <w:t>冲牙器</w:t>
      </w:r>
      <w:r>
        <w:rPr>
          <w:rFonts w:hint="eastAsia"/>
          <w:lang w:eastAsia="zh-CN"/>
        </w:rPr>
        <w:t>，全球市场规模，按应用细分，家庭是最大的下游市场，占有93.8%份额。</w:t>
      </w:r>
    </w:p>
    <w:p w14:paraId="1F9213C6">
      <w:pPr>
        <w:widowControl/>
        <w:topLinePunct w:val="0"/>
        <w:spacing w:after="0"/>
        <w:jc w:val="left"/>
        <w:rPr>
          <w:rFonts w:hint="eastAsia" w:ascii="宋体" w:hAnsi="宋体" w:cs="宋体"/>
          <w:kern w:val="0"/>
          <w:sz w:val="24"/>
          <w:szCs w:val="24"/>
        </w:rPr>
      </w:pPr>
      <w:r>
        <w:drawing>
          <wp:inline distT="0" distB="0" distL="0" distR="0">
            <wp:extent cx="6188710" cy="2922270"/>
            <wp:effectExtent l="0" t="0" r="254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E38A552">
      <w:pPr>
        <w:pStyle w:val="143"/>
        <w:rPr>
          <w:lang w:eastAsia="zh-CN"/>
        </w:rPr>
      </w:pPr>
      <w:r>
        <w:rPr>
          <w:rFonts w:hint="eastAsia"/>
          <w:lang w:eastAsia="zh-CN"/>
        </w:rPr>
        <w:t>来源：QYResearch 医疗研究中心</w:t>
      </w:r>
    </w:p>
    <w:p w14:paraId="08CA65EC">
      <w:pPr>
        <w:pStyle w:val="143"/>
        <w:rPr>
          <w:lang w:eastAsia="zh-CN"/>
        </w:rPr>
      </w:pPr>
    </w:p>
    <w:p w14:paraId="57B4BA57">
      <w:pPr>
        <w:pStyle w:val="145"/>
        <w:rPr>
          <w:lang w:eastAsia="zh-CN"/>
        </w:rPr>
      </w:pPr>
      <w:r>
        <w:rPr>
          <w:rFonts w:hint="eastAsia"/>
          <w:lang w:eastAsia="zh-CN"/>
        </w:rPr>
        <w:t>就产品应用而言，目前家庭是最主要的需求来源，占据大约93.8%的份额。</w:t>
      </w:r>
    </w:p>
    <w:p w14:paraId="4B5D90DE">
      <w:pPr>
        <w:pStyle w:val="145"/>
        <w:rPr>
          <w:lang w:eastAsia="zh-CN"/>
        </w:rPr>
      </w:pPr>
    </w:p>
    <w:p w14:paraId="5F8B78C0">
      <w:pPr>
        <w:pStyle w:val="148"/>
        <w:rPr>
          <w:lang w:eastAsia="zh-CN"/>
        </w:rPr>
      </w:pPr>
      <w:r>
        <w:rPr>
          <w:rFonts w:hint="eastAsia"/>
          <w:lang w:eastAsia="zh-CN"/>
        </w:rPr>
        <w:t>全球</w:t>
      </w:r>
      <w:r>
        <w:rPr>
          <w:lang w:eastAsia="zh-CN"/>
        </w:rPr>
        <w:t>冲牙器</w:t>
      </w:r>
      <w:r>
        <w:rPr>
          <w:rFonts w:hint="eastAsia"/>
          <w:lang w:eastAsia="zh-CN"/>
        </w:rPr>
        <w:t>规模，主要销售地区份额（按销售额）</w:t>
      </w:r>
    </w:p>
    <w:p w14:paraId="04A4515E">
      <w:pPr>
        <w:pStyle w:val="145"/>
        <w:rPr>
          <w:lang w:val="en-US" w:eastAsia="zh-CN"/>
        </w:rPr>
      </w:pPr>
      <w:r>
        <w:drawing>
          <wp:inline distT="0" distB="0" distL="0" distR="0">
            <wp:extent cx="6188710" cy="2922270"/>
            <wp:effectExtent l="0" t="0" r="254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E2B1440">
      <w:pPr>
        <w:pStyle w:val="143"/>
        <w:rPr>
          <w:lang w:eastAsia="zh-CN"/>
        </w:rPr>
      </w:pPr>
      <w:r>
        <w:rPr>
          <w:rFonts w:hint="eastAsia"/>
          <w:lang w:eastAsia="zh-CN"/>
        </w:rPr>
        <w:t>来源：QYResearch 医疗研究中心</w:t>
      </w:r>
    </w:p>
    <w:p w14:paraId="5315F7D2">
      <w:pPr>
        <w:pStyle w:val="143"/>
      </w:pPr>
    </w:p>
    <w:p w14:paraId="0CD10F4E">
      <w:pPr>
        <w:pStyle w:val="148"/>
        <w:rPr>
          <w:lang w:eastAsia="zh-CN"/>
        </w:rPr>
      </w:pPr>
      <w:r>
        <w:rPr>
          <w:rFonts w:hint="eastAsia"/>
          <w:lang w:eastAsia="zh-CN"/>
        </w:rPr>
        <w:t>全球主要市场</w:t>
      </w:r>
      <w:r>
        <w:rPr>
          <w:lang w:eastAsia="zh-CN"/>
        </w:rPr>
        <w:t>冲牙器</w:t>
      </w:r>
      <w:r>
        <w:rPr>
          <w:rFonts w:hint="eastAsia"/>
          <w:lang w:eastAsia="zh-CN"/>
        </w:rPr>
        <w:t>规模</w:t>
      </w:r>
    </w:p>
    <w:p w14:paraId="4B44D8E9">
      <w:pPr>
        <w:pStyle w:val="145"/>
        <w:rPr>
          <w:lang w:val="en-US" w:eastAsia="zh-CN"/>
        </w:rPr>
      </w:pPr>
      <w:r>
        <w:drawing>
          <wp:inline distT="0" distB="0" distL="0" distR="0">
            <wp:extent cx="6188710" cy="2922270"/>
            <wp:effectExtent l="0" t="0" r="254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7A95001">
      <w:pPr>
        <w:pStyle w:val="143"/>
        <w:rPr>
          <w:lang w:eastAsia="zh-CN"/>
        </w:rPr>
      </w:pPr>
      <w:r>
        <w:rPr>
          <w:rFonts w:hint="eastAsia"/>
          <w:lang w:eastAsia="zh-CN"/>
        </w:rPr>
        <w:t>来源：QYResearch 医疗研究中心</w:t>
      </w:r>
      <w:bookmarkEnd w:id="0"/>
      <w:bookmarkEnd w:id="1"/>
      <w:bookmarkEnd w:id="2"/>
      <w:bookmarkEnd w:id="3"/>
      <w:bookmarkEnd w:id="4"/>
      <w:bookmarkEnd w:id="5"/>
      <w:bookmarkEnd w:id="6"/>
      <w:bookmarkEnd w:id="7"/>
      <w:bookmarkEnd w:id="8"/>
      <w:bookmarkEnd w:id="9"/>
      <w:bookmarkEnd w:id="10"/>
      <w:bookmarkEnd w:id="11"/>
      <w:bookmarkEnd w:id="12"/>
      <w:bookmarkStart w:id="13" w:name="_GoBack"/>
      <w:bookmarkEnd w:id="13"/>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Malgun Gothic Semilight"/>
    <w:panose1 w:val="020B0604020202020204"/>
    <w:charset w:val="86"/>
    <w:family w:val="swiss"/>
    <w:pitch w:val="default"/>
    <w:sig w:usb0="00000000" w:usb1="00000000" w:usb2="0000003F" w:usb3="00000000" w:csb0="003F01FF" w:csb1="00000000"/>
  </w:font>
  <w:font w:name="Malgun Gothic Semilight">
    <w:panose1 w:val="020B0502040204020203"/>
    <w:charset w:val="86"/>
    <w:family w:val="auto"/>
    <w:pitch w:val="default"/>
    <w:sig w:usb0="900002AF" w:usb1="01D77CFB" w:usb2="00000012" w:usb3="00000000" w:csb0="203E01BD" w:csb1="D7FF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3F2"/>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139"/>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3EF"/>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2BC"/>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96E"/>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3D8A"/>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B51"/>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761"/>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612"/>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7B5976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qFormat="1" w:uiPriority="39" w:semiHidden="0" w:name="toc 7"/>
    <w:lsdException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 w:type="character" w:customStyle="1" w:styleId="205">
    <w:name w:val="未处理的提及11"/>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4.xml"/><Relationship Id="rId3" Type="http://schemas.microsoft.com/office/2011/relationships/chartStyle" Target="style4.xml"/><Relationship Id="rId2" Type="http://schemas.openxmlformats.org/officeDocument/2006/relationships/chartUserShapes" Target="../drawings/drawing1.xml"/><Relationship Id="rId1" Type="http://schemas.openxmlformats.org/officeDocument/2006/relationships/oleObject" Target="file:///C:\Users\Administrator\Desktop\&#23459;&#20256;&#25991;&#20214;\&#35266;&#28857;&#25968;&#25454;&#22270;&#34920;&#27169;&#26495;-&#27169;&#26495;%2020240612%20&#20026;&#2093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3459;&#20256;&#25991;&#20214;\&#35266;&#28857;&#25968;&#25454;&#22270;&#34920;&#27169;&#26495;-&#27169;&#26495;%2020240612%20&#20026;&#20934;.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istrator\Desktop\&#23459;&#20256;&#25991;&#20214;\&#35266;&#28857;&#25968;&#25454;&#22270;&#34920;&#27169;&#26495;-&#27169;&#26495;%2020240612%20&#20026;&#20934;.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23459;&#20256;&#25991;&#20214;\&#35266;&#28857;&#25968;&#25454;&#22270;&#34920;&#27169;&#26495;-&#27169;&#26495;%2020240612%20&#20026;&#20934;.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3459;&#20256;&#25991;&#20214;\&#35266;&#28857;&#25968;&#25454;&#22270;&#34920;&#27169;&#26495;-&#27169;&#26495;%2020240612%20&#20026;&#20934;.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3459;&#20256;&#25991;&#20214;\&#35266;&#28857;&#25968;&#25454;&#22270;&#34920;&#27169;&#26495;-&#27169;&#26495;%2020240612%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Global Market Size ($ Mn)</a:t>
            </a:r>
            <a:endParaRPr lang="en-US"/>
          </a:p>
        </c:rich>
      </c:tx>
      <c:layout/>
      <c:overlay val="0"/>
      <c:spPr>
        <a:noFill/>
        <a:ln>
          <a:noFill/>
        </a:ln>
        <a:effectLst/>
      </c:spPr>
    </c:title>
    <c:autoTitleDeleted val="0"/>
    <c:plotArea>
      <c:layout>
        <c:manualLayout>
          <c:layoutTarget val="inner"/>
          <c:xMode val="edge"/>
          <c:yMode val="edge"/>
          <c:x val="0.0333680629718612"/>
          <c:y val="0.131440849673203"/>
          <c:w val="0.937283950617284"/>
          <c:h val="0.793030392156863"/>
        </c:manualLayout>
      </c:layout>
      <c:barChart>
        <c:barDir val="col"/>
        <c:grouping val="stacked"/>
        <c:varyColors val="0"/>
        <c:ser>
          <c:idx val="0"/>
          <c:order val="0"/>
          <c:tx>
            <c:strRef>
              <c:f>全球总体!$R$7</c:f>
              <c:strCache>
                <c:ptCount val="1"/>
                <c:pt idx="0">
                  <c:v>Global Market Size ($ Mn)</c:v>
                </c:pt>
              </c:strCache>
            </c:strRef>
          </c:tx>
          <c:spPr>
            <a:solidFill>
              <a:srgbClr val="002060"/>
            </a:solidFill>
            <a:ln>
              <a:noFill/>
            </a:ln>
            <a:effectLst/>
          </c:spPr>
          <c:invertIfNegative val="0"/>
          <c:dLbls>
            <c:delete val="1"/>
          </c:dLbls>
          <c:cat>
            <c:numRef>
              <c:f>全球总体!$S$6:$U$6</c:f>
              <c:numCache>
                <c:formatCode>General</c:formatCode>
                <c:ptCount val="3"/>
                <c:pt idx="0">
                  <c:v>2019</c:v>
                </c:pt>
                <c:pt idx="1">
                  <c:v>2024</c:v>
                </c:pt>
                <c:pt idx="2">
                  <c:v>2030</c:v>
                </c:pt>
              </c:numCache>
            </c:numRef>
          </c:cat>
          <c:val>
            <c:numRef>
              <c:f>全球总体!$S$7:$U$7</c:f>
              <c:numCache>
                <c:formatCode>#,##0_ </c:formatCode>
                <c:ptCount val="3"/>
                <c:pt idx="0">
                  <c:v>635.97</c:v>
                </c:pt>
                <c:pt idx="1">
                  <c:v>671.75</c:v>
                </c:pt>
                <c:pt idx="2">
                  <c:v>929.75</c:v>
                </c:pt>
              </c:numCache>
            </c:numRef>
          </c:val>
        </c:ser>
        <c:dLbls>
          <c:showLegendKey val="0"/>
          <c:showVal val="0"/>
          <c:showCatName val="0"/>
          <c:showSerName val="0"/>
          <c:showPercent val="0"/>
          <c:showBubbleSize val="0"/>
        </c:dLbls>
        <c:gapWidth val="219"/>
        <c:overlap val="100"/>
        <c:serLines>
          <c:spPr>
            <a:ln w="15875" cap="sq" cmpd="sng" algn="ctr">
              <a:solidFill>
                <a:srgbClr val="002060"/>
              </a:solidFill>
              <a:round/>
              <a:headEnd type="triangle"/>
            </a:ln>
            <a:effectLst/>
          </c:spPr>
        </c:serLines>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19571343"/>
        <c:crosses val="autoZero"/>
        <c:crossBetween val="between"/>
      </c:valAx>
      <c:spPr>
        <a:noFill/>
        <a:ln>
          <a:noFill/>
        </a:ln>
        <a:effectLst/>
      </c:spPr>
    </c:plotArea>
    <c:plotVisOnly val="1"/>
    <c:dispBlanksAs val="gap"/>
    <c:showDLblsOverMax val="0"/>
    <c:extLst>
      <c:ext uri="{0b15fc19-7d7d-44ad-8c2d-2c3a37ce22c3}">
        <chartProps xmlns="https://web.wps.cn/et/2018/main" chartId="{0514b4b3-8d59-46d5-b6e9-2aad1a6b2e1d}"/>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2023</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Lbls>
            <c:delete val="1"/>
          </c:dLbls>
          <c:cat>
            <c:strRef>
              <c:f>企业收入!$H$2:$H$21</c:f>
              <c:strCache>
                <c:ptCount val="15"/>
                <c:pt idx="0">
                  <c:v>洁碧公司</c:v>
                </c:pt>
                <c:pt idx="1">
                  <c:v>宝洁</c:v>
                </c:pt>
                <c:pt idx="2">
                  <c:v>松下</c:v>
                </c:pt>
                <c:pt idx="3">
                  <c:v>深圳市飞猫</c:v>
                </c:pt>
                <c:pt idx="4">
                  <c:v>飞利浦</c:v>
                </c:pt>
                <c:pt idx="5">
                  <c:v>深圳素士</c:v>
                </c:pt>
                <c:pt idx="6">
                  <c:v>瑞圣特科技</c:v>
                </c:pt>
                <c:pt idx="7">
                  <c:v>上海飞象健康科技</c:v>
                </c:pt>
                <c:pt idx="8">
                  <c:v>usmile笑容加</c:v>
                </c:pt>
                <c:pt idx="9">
                  <c:v>宝丰通电器</c:v>
                </c:pt>
                <c:pt idx="10">
                  <c:v>美康雅</c:v>
                </c:pt>
                <c:pt idx="11">
                  <c:v>凯电科技</c:v>
                </c:pt>
                <c:pt idx="12">
                  <c:v>Jetpik</c:v>
                </c:pt>
                <c:pt idx="13">
                  <c:v>Hydro Floss</c:v>
                </c:pt>
                <c:pt idx="14">
                  <c:v>Aquapick</c:v>
                </c:pt>
              </c:strCache>
            </c:strRef>
          </c:cat>
          <c:val>
            <c:numRef>
              <c:f>企业收入!$I$2:$I$21</c:f>
              <c:numCache>
                <c:formatCode>0.0%</c:formatCode>
                <c:ptCount val="15"/>
                <c:pt idx="0">
                  <c:v>0.296695550007343</c:v>
                </c:pt>
                <c:pt idx="1">
                  <c:v>0.134836246144808</c:v>
                </c:pt>
                <c:pt idx="2">
                  <c:v>0.107240417095021</c:v>
                </c:pt>
                <c:pt idx="3">
                  <c:v>0.0794389778234689</c:v>
                </c:pt>
                <c:pt idx="4">
                  <c:v>0.0778822147158173</c:v>
                </c:pt>
                <c:pt idx="5">
                  <c:v>0.0403877221324717</c:v>
                </c:pt>
                <c:pt idx="6">
                  <c:v>0.0344250257012777</c:v>
                </c:pt>
                <c:pt idx="7">
                  <c:v>0.0205169628432956</c:v>
                </c:pt>
                <c:pt idx="8">
                  <c:v>0.0160229108532824</c:v>
                </c:pt>
                <c:pt idx="9">
                  <c:v>0.013761198413864</c:v>
                </c:pt>
                <c:pt idx="10">
                  <c:v>0.00593332354237039</c:v>
                </c:pt>
                <c:pt idx="11">
                  <c:v>0.00395065354677632</c:v>
                </c:pt>
                <c:pt idx="12">
                  <c:v>0.00375972976942282</c:v>
                </c:pt>
                <c:pt idx="13">
                  <c:v>0.00304009399324423</c:v>
                </c:pt>
                <c:pt idx="14">
                  <c:v>0.00277573799383169</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807b4c29-4eb3-406e-a66c-7ca19522347f}"/>
      </c:ext>
    </c:extLst>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分类!$R$2</c:f>
              <c:strCache>
                <c:ptCount val="1"/>
                <c:pt idx="0">
                  <c:v>台式冲牙器</c:v>
                </c:pt>
              </c:strCache>
            </c:strRef>
          </c:tx>
          <c:spPr>
            <a:solidFill>
              <a:srgbClr val="00206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分类!$S$2:$AD$2</c:f>
              <c:numCache>
                <c:formatCode>0.0%</c:formatCode>
                <c:ptCount val="12"/>
                <c:pt idx="0">
                  <c:v>0.1416</c:v>
                </c:pt>
                <c:pt idx="1">
                  <c:v>0.140353196991067</c:v>
                </c:pt>
                <c:pt idx="2">
                  <c:v>0.13749967825796</c:v>
                </c:pt>
                <c:pt idx="3">
                  <c:v>0.138561419118056</c:v>
                </c:pt>
                <c:pt idx="4">
                  <c:v>0.136187399030695</c:v>
                </c:pt>
                <c:pt idx="5">
                  <c:v>0.135273539263119</c:v>
                </c:pt>
                <c:pt idx="6">
                  <c:v>0.13227687119545</c:v>
                </c:pt>
                <c:pt idx="7">
                  <c:v>0.131714297285257</c:v>
                </c:pt>
                <c:pt idx="8">
                  <c:v>0.129047095801497</c:v>
                </c:pt>
                <c:pt idx="9">
                  <c:v>0.127817100963452</c:v>
                </c:pt>
                <c:pt idx="10">
                  <c:v>0.126269265639166</c:v>
                </c:pt>
                <c:pt idx="11">
                  <c:v>0.125324011831137</c:v>
                </c:pt>
              </c:numCache>
            </c:numRef>
          </c:val>
        </c:ser>
        <c:ser>
          <c:idx val="1"/>
          <c:order val="1"/>
          <c:tx>
            <c:strRef>
              <c:f>分类!$R$3</c:f>
              <c:strCache>
                <c:ptCount val="1"/>
                <c:pt idx="0">
                  <c:v>便携式冲牙器</c:v>
                </c:pt>
              </c:strCache>
            </c:strRef>
          </c:tx>
          <c:spPr>
            <a:solidFill>
              <a:schemeClr val="bg1">
                <a:lumMod val="50000"/>
              </a:schemeClr>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分类!$S$3:$AD$3</c:f>
              <c:numCache>
                <c:formatCode>0.0%</c:formatCode>
                <c:ptCount val="12"/>
                <c:pt idx="0">
                  <c:v>0.8584</c:v>
                </c:pt>
                <c:pt idx="1">
                  <c:v>0.859646803008933</c:v>
                </c:pt>
                <c:pt idx="2">
                  <c:v>0.86250032174204</c:v>
                </c:pt>
                <c:pt idx="3">
                  <c:v>0.861438580881944</c:v>
                </c:pt>
                <c:pt idx="4">
                  <c:v>0.863812600969305</c:v>
                </c:pt>
                <c:pt idx="5">
                  <c:v>0.864726460736881</c:v>
                </c:pt>
                <c:pt idx="6">
                  <c:v>0.86772312880455</c:v>
                </c:pt>
                <c:pt idx="7">
                  <c:v>0.868285702714743</c:v>
                </c:pt>
                <c:pt idx="8">
                  <c:v>0.870952904198503</c:v>
                </c:pt>
                <c:pt idx="9">
                  <c:v>0.872182899036548</c:v>
                </c:pt>
                <c:pt idx="10">
                  <c:v>0.873730734360834</c:v>
                </c:pt>
                <c:pt idx="11">
                  <c:v>0.874675988168863</c:v>
                </c:pt>
              </c:numCache>
            </c:numRef>
          </c:val>
        </c:ser>
        <c:ser>
          <c:idx val="2"/>
          <c:order val="2"/>
          <c:tx>
            <c:strRef>
              <c:f>分类!$R$4</c:f>
              <c:strCache>
                <c:ptCount val="1"/>
                <c:pt idx="0">
                  <c:v>0</c:v>
                </c:pt>
              </c:strCache>
            </c:strRef>
          </c:tx>
          <c:spPr>
            <a:solidFill>
              <a:srgbClr val="0070C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分类!$S$4:$AD$4</c:f>
            </c:numRef>
          </c:val>
        </c:ser>
        <c:ser>
          <c:idx val="3"/>
          <c:order val="3"/>
          <c:tx>
            <c:strRef>
              <c:f>分类!$R$5</c:f>
              <c:strCache>
                <c:ptCount val="1"/>
                <c:pt idx="0">
                  <c:v>0</c:v>
                </c:pt>
              </c:strCache>
            </c:strRef>
          </c:tx>
          <c:spPr>
            <a:solidFill>
              <a:srgbClr val="FFC00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分类!$S$5:$AD$5</c:f>
            </c:numRef>
          </c:val>
        </c:ser>
        <c:ser>
          <c:idx val="4"/>
          <c:order val="4"/>
          <c:tx>
            <c:strRef>
              <c:f>分类!$R$6</c:f>
              <c:strCache>
                <c:ptCount val="1"/>
                <c:pt idx="0">
                  <c:v>0</c:v>
                </c:pt>
              </c:strCache>
            </c:strRef>
          </c:tx>
          <c:spPr>
            <a:solidFill>
              <a:schemeClr val="tx1">
                <a:lumMod val="65000"/>
                <a:lumOff val="35000"/>
              </a:schemeClr>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分类!$S$6:$AD$6</c:f>
            </c:numRef>
          </c:val>
        </c:ser>
        <c:ser>
          <c:idx val="5"/>
          <c:order val="5"/>
          <c:tx>
            <c:strRef>
              <c:f>分类!$R$7</c:f>
              <c:strCache>
                <c:ptCount val="1"/>
                <c:pt idx="0">
                  <c:v>0</c:v>
                </c:pt>
              </c:strCache>
            </c:strRef>
          </c:tx>
          <c:spPr>
            <a:solidFill>
              <a:srgbClr val="C0000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分类!$S$7:$AD$7</c:f>
            </c:numRef>
          </c:val>
        </c:ser>
        <c:ser>
          <c:idx val="6"/>
          <c:order val="6"/>
          <c:tx>
            <c:strRef>
              <c:f>分类!$R$8</c:f>
              <c:strCache>
                <c:ptCount val="1"/>
                <c:pt idx="0">
                  <c:v>0</c:v>
                </c:pt>
              </c:strCache>
            </c:strRef>
          </c:tx>
          <c:spPr>
            <a:solidFill>
              <a:srgbClr val="7030A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分类!$S$8:$AD$8</c:f>
            </c:numRef>
          </c:val>
        </c:ser>
        <c:ser>
          <c:idx val="7"/>
          <c:order val="7"/>
          <c:tx>
            <c:strRef>
              <c:f>分类!$R$9</c:f>
              <c:strCache>
                <c:ptCount val="1"/>
                <c:pt idx="0">
                  <c:v>0</c:v>
                </c:pt>
              </c:strCache>
            </c:strRef>
          </c:tx>
          <c:spPr>
            <a:solidFill>
              <a:schemeClr val="tx2">
                <a:lumMod val="60000"/>
                <a:lumOff val="40000"/>
              </a:schemeClr>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分类!$S$9:$AD$9</c:f>
            </c:numRef>
          </c:val>
        </c:ser>
        <c:ser>
          <c:idx val="8"/>
          <c:order val="8"/>
          <c:tx>
            <c:strRef>
              <c:f>分类!$R$10</c:f>
              <c:strCache>
                <c:ptCount val="1"/>
                <c:pt idx="0">
                  <c:v>0</c:v>
                </c:pt>
              </c:strCache>
            </c:strRef>
          </c:tx>
          <c:spPr>
            <a:solidFill>
              <a:schemeClr val="accent6">
                <a:lumMod val="75000"/>
              </a:schemeClr>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分类!$S$10:$AD$10</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a8cc8b81-69d8-4e58-a791-a0122a07abe1}"/>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应用!$A$2</c:f>
              <c:strCache>
                <c:ptCount val="1"/>
                <c:pt idx="0">
                  <c:v>家庭</c:v>
                </c:pt>
              </c:strCache>
            </c:strRef>
          </c:tx>
          <c:spPr>
            <a:solidFill>
              <a:srgbClr val="002060"/>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应用!$B$2:$M$2</c:f>
              <c:numCache>
                <c:formatCode>#,##0_);[Red]\(#,##0\)</c:formatCode>
                <c:ptCount val="12"/>
                <c:pt idx="0">
                  <c:v>592.90116192</c:v>
                </c:pt>
                <c:pt idx="1">
                  <c:v>635.1451</c:v>
                </c:pt>
                <c:pt idx="2">
                  <c:v>726.7745</c:v>
                </c:pt>
                <c:pt idx="3">
                  <c:v>674.0055</c:v>
                </c:pt>
                <c:pt idx="4">
                  <c:v>638.4093</c:v>
                </c:pt>
                <c:pt idx="5">
                  <c:v>630.576</c:v>
                </c:pt>
                <c:pt idx="6">
                  <c:v>657.115</c:v>
                </c:pt>
                <c:pt idx="7">
                  <c:v>696.0968</c:v>
                </c:pt>
                <c:pt idx="8">
                  <c:v>736.9338</c:v>
                </c:pt>
                <c:pt idx="9">
                  <c:v>782.835</c:v>
                </c:pt>
                <c:pt idx="10">
                  <c:v>833.62</c:v>
                </c:pt>
                <c:pt idx="11">
                  <c:v>879.036116</c:v>
                </c:pt>
              </c:numCache>
            </c:numRef>
          </c:val>
        </c:ser>
        <c:ser>
          <c:idx val="1"/>
          <c:order val="1"/>
          <c:tx>
            <c:strRef>
              <c:f>应用!$A$3</c:f>
              <c:strCache>
                <c:ptCount val="1"/>
                <c:pt idx="0">
                  <c:v>牙科医院诊所</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应用!$B$3:$M$3</c:f>
              <c:numCache>
                <c:formatCode>#,##0_);[Red]\(#,##0\)</c:formatCode>
                <c:ptCount val="12"/>
                <c:pt idx="0">
                  <c:v>43.06883808</c:v>
                </c:pt>
                <c:pt idx="1">
                  <c:v>45.4949</c:v>
                </c:pt>
                <c:pt idx="2">
                  <c:v>50.2455</c:v>
                </c:pt>
                <c:pt idx="3">
                  <c:v>45.3145</c:v>
                </c:pt>
                <c:pt idx="4">
                  <c:v>42.4907</c:v>
                </c:pt>
                <c:pt idx="5">
                  <c:v>41.174</c:v>
                </c:pt>
                <c:pt idx="6">
                  <c:v>42.705</c:v>
                </c:pt>
                <c:pt idx="7">
                  <c:v>44.6732</c:v>
                </c:pt>
                <c:pt idx="8">
                  <c:v>45.7262</c:v>
                </c:pt>
                <c:pt idx="9">
                  <c:v>46.475</c:v>
                </c:pt>
                <c:pt idx="10">
                  <c:v>48.78</c:v>
                </c:pt>
                <c:pt idx="11">
                  <c:v>50.713884</c:v>
                </c:pt>
              </c:numCache>
            </c:numRef>
          </c:val>
        </c:ser>
        <c:ser>
          <c:idx val="2"/>
          <c:order val="2"/>
          <c:tx>
            <c:strRef>
              <c:f>应用!$A$4</c:f>
              <c:strCache>
                <c:ptCount val="1"/>
                <c:pt idx="0">
                  <c:v/>
                </c:pt>
              </c:strCache>
            </c:strRef>
          </c:tx>
          <c:spPr>
            <a:solidFill>
              <a:schemeClr val="accent6">
                <a:lumMod val="75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应用!$B$4:$M$4</c:f>
            </c:numRef>
          </c:val>
        </c:ser>
        <c:ser>
          <c:idx val="3"/>
          <c:order val="3"/>
          <c:tx>
            <c:strRef>
              <c:f>应用!$A$5</c:f>
              <c:strCache>
                <c:ptCount val="1"/>
                <c:pt idx="0">
                  <c:v/>
                </c:pt>
              </c:strCache>
            </c:strRef>
          </c:tx>
          <c:spPr>
            <a:solidFill>
              <a:schemeClr val="tx2">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应用!$B$5:$M$5</c:f>
            </c:numRef>
          </c:val>
        </c:ser>
        <c:ser>
          <c:idx val="4"/>
          <c:order val="4"/>
          <c:tx>
            <c:strRef>
              <c:f>应用!$A$6</c:f>
              <c:strCache>
                <c:ptCount val="1"/>
                <c:pt idx="0">
                  <c:v/>
                </c:pt>
              </c:strCache>
            </c:strRef>
          </c:tx>
          <c:spPr>
            <a:solidFill>
              <a:schemeClr val="accent1">
                <a:lumMod val="75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应用!$B$6:$M$6</c:f>
            </c:numRef>
          </c:val>
        </c:ser>
        <c:ser>
          <c:idx val="5"/>
          <c:order val="5"/>
          <c:tx>
            <c:strRef>
              <c:f>应用!$A$7</c:f>
              <c:strCache>
                <c:ptCount val="1"/>
                <c:pt idx="0">
                  <c:v/>
                </c:pt>
              </c:strCache>
            </c:strRef>
          </c:tx>
          <c:spPr>
            <a:solidFill>
              <a:schemeClr val="accent4">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应用!$B$7:$M$7</c:f>
            </c:numRef>
          </c:val>
        </c:ser>
        <c:ser>
          <c:idx val="6"/>
          <c:order val="6"/>
          <c:tx>
            <c:strRef>
              <c:f>应用!$A$8</c:f>
              <c:strCache>
                <c:ptCount val="1"/>
                <c:pt idx="0">
                  <c:v/>
                </c:pt>
              </c:strCache>
            </c:strRef>
          </c:tx>
          <c:spPr>
            <a:solidFill>
              <a:schemeClr val="accent2">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应用!$B$8:$M$8</c:f>
            </c:numRef>
          </c:val>
        </c:ser>
        <c:ser>
          <c:idx val="7"/>
          <c:order val="7"/>
          <c:tx>
            <c:strRef>
              <c:f>应用!$A$9</c:f>
              <c:strCache>
                <c:ptCount val="1"/>
                <c:pt idx="0">
                  <c:v/>
                </c:pt>
              </c:strCache>
            </c:strRef>
          </c:tx>
          <c:spPr>
            <a:solidFill>
              <a:schemeClr val="bg2">
                <a:lumMod val="5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应用!$B$9:$M$9</c:f>
            </c:numRef>
          </c:val>
        </c:ser>
        <c:ser>
          <c:idx val="8"/>
          <c:order val="8"/>
          <c:tx>
            <c:strRef>
              <c:f>应用!$A$10</c:f>
              <c:strCache>
                <c:ptCount val="1"/>
                <c:pt idx="0">
                  <c:v/>
                </c:pt>
              </c:strCache>
            </c:strRef>
          </c:tx>
          <c:spPr>
            <a:solidFill>
              <a:schemeClr val="accent5">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应用!$A$11</c:f>
              <c:strCache>
                <c:ptCount val="1"/>
                <c:pt idx="0">
                  <c:v>合计</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应用!$B$11:$M$11</c:f>
              <c:numCache>
                <c:formatCode>#,##0_);[Red]\(#,##0\)</c:formatCode>
                <c:ptCount val="12"/>
                <c:pt idx="0">
                  <c:v>635.97</c:v>
                </c:pt>
                <c:pt idx="1">
                  <c:v>680.64</c:v>
                </c:pt>
                <c:pt idx="2">
                  <c:v>777.02</c:v>
                </c:pt>
                <c:pt idx="3">
                  <c:v>719.32</c:v>
                </c:pt>
                <c:pt idx="4">
                  <c:v>680.9</c:v>
                </c:pt>
                <c:pt idx="5">
                  <c:v>671.75</c:v>
                </c:pt>
                <c:pt idx="6">
                  <c:v>699.82</c:v>
                </c:pt>
                <c:pt idx="7">
                  <c:v>740.77</c:v>
                </c:pt>
                <c:pt idx="8">
                  <c:v>782.66</c:v>
                </c:pt>
                <c:pt idx="9">
                  <c:v>829.31</c:v>
                </c:pt>
                <c:pt idx="10">
                  <c:v>882.4</c:v>
                </c:pt>
                <c:pt idx="11">
                  <c:v>929.75</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721c23c3-2d35-40ec-a149-c89604c755cd}"/>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2019 Vs 2024 VS 2030</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'地区-消费'!$AE$1</c:f>
              <c:strCache>
                <c:ptCount val="1"/>
                <c:pt idx="0">
                  <c:v>2019</c:v>
                </c:pt>
              </c:strCache>
            </c:strRef>
          </c:tx>
          <c:spPr>
            <a:solidFill>
              <a:srgbClr val="FFC000"/>
            </a:solidFill>
            <a:ln>
              <a:noFill/>
            </a:ln>
            <a:effectLst/>
          </c:spPr>
          <c:invertIfNegative val="0"/>
          <c:dLbls>
            <c:delete val="1"/>
          </c:dLbls>
          <c:cat>
            <c:strRef>
              <c:f>'地区-消费'!$AD$2:$AD$10</c:f>
              <c:strCache>
                <c:ptCount val="7"/>
                <c:pt idx="0">
                  <c:v>北美</c:v>
                </c:pt>
                <c:pt idx="1">
                  <c:v>欧洲</c:v>
                </c:pt>
                <c:pt idx="2">
                  <c:v>中国</c:v>
                </c:pt>
                <c:pt idx="3">
                  <c:v>日本</c:v>
                </c:pt>
                <c:pt idx="4">
                  <c:v>印度</c:v>
                </c:pt>
                <c:pt idx="5">
                  <c:v>东南亚</c:v>
                </c:pt>
                <c:pt idx="6">
                  <c:v>全球其他</c:v>
                </c:pt>
              </c:strCache>
            </c:strRef>
          </c:cat>
          <c:val>
            <c:numRef>
              <c:f>'地区-消费'!$AE$2:$AE$10</c:f>
              <c:numCache>
                <c:formatCode>#,##0_);[Red]\(#,##0\)</c:formatCode>
                <c:ptCount val="7"/>
                <c:pt idx="0">
                  <c:v>327.33</c:v>
                </c:pt>
                <c:pt idx="1">
                  <c:v>137.27</c:v>
                </c:pt>
                <c:pt idx="2">
                  <c:v>62.52</c:v>
                </c:pt>
                <c:pt idx="3">
                  <c:v>46.09</c:v>
                </c:pt>
                <c:pt idx="4">
                  <c:v>3.61</c:v>
                </c:pt>
                <c:pt idx="5">
                  <c:v>13.62</c:v>
                </c:pt>
                <c:pt idx="6">
                  <c:v>45.53</c:v>
                </c:pt>
              </c:numCache>
            </c:numRef>
          </c:val>
        </c:ser>
        <c:ser>
          <c:idx val="1"/>
          <c:order val="1"/>
          <c:tx>
            <c:strRef>
              <c:f>'地区-消费'!$AF$1</c:f>
              <c:strCache>
                <c:ptCount val="1"/>
                <c:pt idx="0">
                  <c:v>2023</c:v>
                </c:pt>
              </c:strCache>
            </c:strRef>
          </c:tx>
          <c:spPr>
            <a:solidFill>
              <a:schemeClr val="bg1">
                <a:lumMod val="50000"/>
              </a:schemeClr>
            </a:solidFill>
            <a:ln>
              <a:noFill/>
            </a:ln>
            <a:effectLst/>
          </c:spPr>
          <c:invertIfNegative val="0"/>
          <c:dLbls>
            <c:delete val="1"/>
          </c:dLbls>
          <c:cat>
            <c:strRef>
              <c:f>'地区-消费'!$AD$2:$AD$10</c:f>
              <c:strCache>
                <c:ptCount val="7"/>
                <c:pt idx="0">
                  <c:v>北美</c:v>
                </c:pt>
                <c:pt idx="1">
                  <c:v>欧洲</c:v>
                </c:pt>
                <c:pt idx="2">
                  <c:v>中国</c:v>
                </c:pt>
                <c:pt idx="3">
                  <c:v>日本</c:v>
                </c:pt>
                <c:pt idx="4">
                  <c:v>印度</c:v>
                </c:pt>
                <c:pt idx="5">
                  <c:v>东南亚</c:v>
                </c:pt>
                <c:pt idx="6">
                  <c:v>全球其他</c:v>
                </c:pt>
              </c:strCache>
            </c:strRef>
          </c:cat>
          <c:val>
            <c:numRef>
              <c:f>'地区-消费'!$AF$2:$AF$10</c:f>
              <c:numCache>
                <c:formatCode>#,##0_);[Red]\(#,##0\)</c:formatCode>
                <c:ptCount val="7"/>
                <c:pt idx="0">
                  <c:v>309.06</c:v>
                </c:pt>
                <c:pt idx="1">
                  <c:v>131.99</c:v>
                </c:pt>
                <c:pt idx="2">
                  <c:v>91.41</c:v>
                </c:pt>
                <c:pt idx="3">
                  <c:v>57.96</c:v>
                </c:pt>
                <c:pt idx="4">
                  <c:v>5.03</c:v>
                </c:pt>
                <c:pt idx="5">
                  <c:v>19.09</c:v>
                </c:pt>
                <c:pt idx="6">
                  <c:v>66.36</c:v>
                </c:pt>
              </c:numCache>
            </c:numRef>
          </c:val>
        </c:ser>
        <c:ser>
          <c:idx val="2"/>
          <c:order val="2"/>
          <c:tx>
            <c:strRef>
              <c:f>'地区-消费'!$AG$1</c:f>
              <c:strCache>
                <c:ptCount val="1"/>
                <c:pt idx="0">
                  <c:v>2030</c:v>
                </c:pt>
              </c:strCache>
            </c:strRef>
          </c:tx>
          <c:spPr>
            <a:solidFill>
              <a:srgbClr val="002060"/>
            </a:solidFill>
            <a:ln>
              <a:noFill/>
            </a:ln>
            <a:effectLst/>
          </c:spPr>
          <c:invertIfNegative val="0"/>
          <c:dLbls>
            <c:delete val="1"/>
          </c:dLbls>
          <c:cat>
            <c:strRef>
              <c:f>'地区-消费'!$AD$2:$AD$10</c:f>
              <c:strCache>
                <c:ptCount val="7"/>
                <c:pt idx="0">
                  <c:v>北美</c:v>
                </c:pt>
                <c:pt idx="1">
                  <c:v>欧洲</c:v>
                </c:pt>
                <c:pt idx="2">
                  <c:v>中国</c:v>
                </c:pt>
                <c:pt idx="3">
                  <c:v>日本</c:v>
                </c:pt>
                <c:pt idx="4">
                  <c:v>印度</c:v>
                </c:pt>
                <c:pt idx="5">
                  <c:v>东南亚</c:v>
                </c:pt>
                <c:pt idx="6">
                  <c:v>全球其他</c:v>
                </c:pt>
              </c:strCache>
            </c:strRef>
          </c:cat>
          <c:val>
            <c:numRef>
              <c:f>'地区-消费'!$AG$2:$AG$10</c:f>
              <c:numCache>
                <c:formatCode>#,##0_);[Red]\(#,##0\)</c:formatCode>
                <c:ptCount val="7"/>
                <c:pt idx="0">
                  <c:v>374.11</c:v>
                </c:pt>
                <c:pt idx="1">
                  <c:v>160.66</c:v>
                </c:pt>
                <c:pt idx="2">
                  <c:v>142.17</c:v>
                </c:pt>
                <c:pt idx="3">
                  <c:v>92.82</c:v>
                </c:pt>
                <c:pt idx="4">
                  <c:v>8.03</c:v>
                </c:pt>
                <c:pt idx="5">
                  <c:v>30.31</c:v>
                </c:pt>
                <c:pt idx="6">
                  <c:v>121.65</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extLst>
      <c:ext uri="{0b15fc19-7d7d-44ad-8c2d-2c3a37ce22c3}">
        <chartProps xmlns="https://web.wps.cn/et/2018/main" chartId="{c9c7cca1-bf23-41ee-b37b-c0f9be3932dc}"/>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北美</c:v>
                </c:pt>
              </c:strCache>
            </c:strRef>
          </c:tx>
          <c:spPr>
            <a:solidFill>
              <a:srgbClr val="00206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'地区-消费'!$B$2:$M$2</c:f>
              <c:numCache>
                <c:formatCode>#,##0_);[Red]\(#,##0\)</c:formatCode>
                <c:ptCount val="12"/>
                <c:pt idx="0">
                  <c:v>327.33</c:v>
                </c:pt>
                <c:pt idx="1">
                  <c:v>336.52</c:v>
                </c:pt>
                <c:pt idx="2">
                  <c:v>343.86</c:v>
                </c:pt>
                <c:pt idx="3">
                  <c:v>321.3</c:v>
                </c:pt>
                <c:pt idx="4">
                  <c:v>309.06</c:v>
                </c:pt>
                <c:pt idx="5">
                  <c:v>302.23</c:v>
                </c:pt>
                <c:pt idx="6">
                  <c:v>309.42</c:v>
                </c:pt>
                <c:pt idx="7">
                  <c:v>323.47</c:v>
                </c:pt>
                <c:pt idx="8">
                  <c:v>335.92</c:v>
                </c:pt>
                <c:pt idx="9">
                  <c:v>351.07</c:v>
                </c:pt>
                <c:pt idx="10">
                  <c:v>363.64</c:v>
                </c:pt>
                <c:pt idx="11">
                  <c:v>374.11</c:v>
                </c:pt>
              </c:numCache>
            </c:numRef>
          </c:val>
        </c:ser>
        <c:ser>
          <c:idx val="1"/>
          <c:order val="1"/>
          <c:tx>
            <c:strRef>
              <c:f>'地区-消费'!$A$3</c:f>
              <c:strCache>
                <c:ptCount val="1"/>
                <c:pt idx="0">
                  <c:v>欧洲</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'地区-消费'!$B$3:$M$3</c:f>
              <c:numCache>
                <c:formatCode>#,##0_);[Red]\(#,##0\)</c:formatCode>
                <c:ptCount val="12"/>
                <c:pt idx="0">
                  <c:v>137.27</c:v>
                </c:pt>
                <c:pt idx="1">
                  <c:v>141.64</c:v>
                </c:pt>
                <c:pt idx="2">
                  <c:v>143.51</c:v>
                </c:pt>
                <c:pt idx="3">
                  <c:v>135.88</c:v>
                </c:pt>
                <c:pt idx="4">
                  <c:v>131.99</c:v>
                </c:pt>
                <c:pt idx="5">
                  <c:v>127.59</c:v>
                </c:pt>
                <c:pt idx="6">
                  <c:v>131.75</c:v>
                </c:pt>
                <c:pt idx="7">
                  <c:v>136.88</c:v>
                </c:pt>
                <c:pt idx="8">
                  <c:v>143.38</c:v>
                </c:pt>
                <c:pt idx="9">
                  <c:v>148.1</c:v>
                </c:pt>
                <c:pt idx="10">
                  <c:v>154.1</c:v>
                </c:pt>
                <c:pt idx="11">
                  <c:v>160.66</c:v>
                </c:pt>
              </c:numCache>
            </c:numRef>
          </c:val>
        </c:ser>
        <c:ser>
          <c:idx val="2"/>
          <c:order val="2"/>
          <c:tx>
            <c:strRef>
              <c:f>'地区-消费'!$A$4</c:f>
              <c:strCache>
                <c:ptCount val="1"/>
                <c:pt idx="0">
                  <c:v>中国</c:v>
                </c:pt>
              </c:strCache>
            </c:strRef>
          </c:tx>
          <c:spPr>
            <a:solidFill>
              <a:srgbClr val="0070C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'地区-消费'!$B$4:$M$4</c:f>
              <c:numCache>
                <c:formatCode>#,##0_);[Red]\(#,##0\)</c:formatCode>
                <c:ptCount val="12"/>
                <c:pt idx="0">
                  <c:v>62.52</c:v>
                </c:pt>
                <c:pt idx="1">
                  <c:v>80.53</c:v>
                </c:pt>
                <c:pt idx="2">
                  <c:v>155.6</c:v>
                </c:pt>
                <c:pt idx="3">
                  <c:v>121.25</c:v>
                </c:pt>
                <c:pt idx="4">
                  <c:v>91.41</c:v>
                </c:pt>
                <c:pt idx="5">
                  <c:v>82.55</c:v>
                </c:pt>
                <c:pt idx="6">
                  <c:v>87.89</c:v>
                </c:pt>
                <c:pt idx="7">
                  <c:v>95.59</c:v>
                </c:pt>
                <c:pt idx="8">
                  <c:v>106.09</c:v>
                </c:pt>
                <c:pt idx="9">
                  <c:v>116.71</c:v>
                </c:pt>
                <c:pt idx="10">
                  <c:v>131.07</c:v>
                </c:pt>
                <c:pt idx="11">
                  <c:v>142.17</c:v>
                </c:pt>
              </c:numCache>
            </c:numRef>
          </c:val>
        </c:ser>
        <c:ser>
          <c:idx val="3"/>
          <c:order val="3"/>
          <c:tx>
            <c:strRef>
              <c:f>'地区-消费'!$A$5</c:f>
              <c:strCache>
                <c:ptCount val="1"/>
                <c:pt idx="0">
                  <c:v>日本</c:v>
                </c:pt>
              </c:strCache>
            </c:strRef>
          </c:tx>
          <c:spPr>
            <a:solidFill>
              <a:srgbClr val="FFC00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'地区-消费'!$B$5:$M$5</c:f>
              <c:numCache>
                <c:formatCode>#,##0_);[Red]\(#,##0\)</c:formatCode>
                <c:ptCount val="12"/>
                <c:pt idx="0">
                  <c:v>46.09</c:v>
                </c:pt>
                <c:pt idx="1">
                  <c:v>50.97</c:v>
                </c:pt>
                <c:pt idx="2">
                  <c:v>53.45</c:v>
                </c:pt>
                <c:pt idx="3">
                  <c:v>56.08</c:v>
                </c:pt>
                <c:pt idx="4">
                  <c:v>57.96</c:v>
                </c:pt>
                <c:pt idx="5">
                  <c:v>61.42</c:v>
                </c:pt>
                <c:pt idx="6">
                  <c:v>65.46</c:v>
                </c:pt>
                <c:pt idx="7">
                  <c:v>70.41</c:v>
                </c:pt>
                <c:pt idx="8">
                  <c:v>73.85</c:v>
                </c:pt>
                <c:pt idx="9">
                  <c:v>78.96</c:v>
                </c:pt>
                <c:pt idx="10">
                  <c:v>86.24</c:v>
                </c:pt>
                <c:pt idx="11">
                  <c:v>92.82</c:v>
                </c:pt>
              </c:numCache>
            </c:numRef>
          </c:val>
        </c:ser>
        <c:ser>
          <c:idx val="4"/>
          <c:order val="4"/>
          <c:tx>
            <c:strRef>
              <c:f>'地区-消费'!$A$6</c:f>
              <c:strCache>
                <c:ptCount val="1"/>
                <c:pt idx="0">
                  <c:v>印度</c:v>
                </c:pt>
              </c:strCache>
            </c:strRef>
          </c:tx>
          <c:spPr>
            <a:solidFill>
              <a:schemeClr val="tx1">
                <a:lumMod val="65000"/>
                <a:lumOff val="35000"/>
              </a:schemeClr>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'地区-消费'!$B$6:$M$6</c:f>
              <c:numCache>
                <c:formatCode>#,##0_);[Red]\(#,##0\)</c:formatCode>
                <c:ptCount val="12"/>
                <c:pt idx="0">
                  <c:v>3.61</c:v>
                </c:pt>
                <c:pt idx="1">
                  <c:v>4.19</c:v>
                </c:pt>
                <c:pt idx="2">
                  <c:v>4.61</c:v>
                </c:pt>
                <c:pt idx="3">
                  <c:v>4.79</c:v>
                </c:pt>
                <c:pt idx="4">
                  <c:v>5.03</c:v>
                </c:pt>
                <c:pt idx="5">
                  <c:v>5.34</c:v>
                </c:pt>
                <c:pt idx="6">
                  <c:v>5.68</c:v>
                </c:pt>
                <c:pt idx="7">
                  <c:v>6.03</c:v>
                </c:pt>
                <c:pt idx="8">
                  <c:v>6.4</c:v>
                </c:pt>
                <c:pt idx="9">
                  <c:v>6.85</c:v>
                </c:pt>
                <c:pt idx="10">
                  <c:v>7.44</c:v>
                </c:pt>
                <c:pt idx="11">
                  <c:v>8.03</c:v>
                </c:pt>
              </c:numCache>
            </c:numRef>
          </c:val>
        </c:ser>
        <c:ser>
          <c:idx val="5"/>
          <c:order val="5"/>
          <c:tx>
            <c:strRef>
              <c:f>'地区-消费'!$A$7</c:f>
              <c:strCache>
                <c:ptCount val="1"/>
                <c:pt idx="0">
                  <c:v>东南亚</c:v>
                </c:pt>
              </c:strCache>
            </c:strRef>
          </c:tx>
          <c:spPr>
            <a:solidFill>
              <a:srgbClr val="C0000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'地区-消费'!$B$7:$M$7</c:f>
              <c:numCache>
                <c:formatCode>#,##0_);[Red]\(#,##0\)</c:formatCode>
                <c:ptCount val="12"/>
                <c:pt idx="0">
                  <c:v>13.62</c:v>
                </c:pt>
                <c:pt idx="1">
                  <c:v>15.74</c:v>
                </c:pt>
                <c:pt idx="2">
                  <c:v>16.99</c:v>
                </c:pt>
                <c:pt idx="3">
                  <c:v>17.75</c:v>
                </c:pt>
                <c:pt idx="4">
                  <c:v>19.09</c:v>
                </c:pt>
                <c:pt idx="5">
                  <c:v>20.57</c:v>
                </c:pt>
                <c:pt idx="6">
                  <c:v>22.12</c:v>
                </c:pt>
                <c:pt idx="7">
                  <c:v>23.47</c:v>
                </c:pt>
                <c:pt idx="8">
                  <c:v>24.85</c:v>
                </c:pt>
                <c:pt idx="9">
                  <c:v>26.63</c:v>
                </c:pt>
                <c:pt idx="10">
                  <c:v>28.28</c:v>
                </c:pt>
                <c:pt idx="11">
                  <c:v>30.31</c:v>
                </c:pt>
              </c:numCache>
            </c:numRef>
          </c:val>
        </c:ser>
        <c:ser>
          <c:idx val="6"/>
          <c:order val="6"/>
          <c:tx>
            <c:strRef>
              <c:f>'地区-消费'!$A$8</c:f>
              <c:strCache>
                <c:ptCount val="1"/>
                <c:pt idx="0">
                  <c:v>全球其他</c:v>
                </c:pt>
              </c:strCache>
            </c:strRef>
          </c:tx>
          <c:spPr>
            <a:solidFill>
              <a:srgbClr val="7030A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'地区-消费'!$B$8:$M$8</c:f>
              <c:numCache>
                <c:formatCode>#,##0_);[Red]\(#,##0\)</c:formatCode>
                <c:ptCount val="12"/>
                <c:pt idx="0">
                  <c:v>45.53</c:v>
                </c:pt>
                <c:pt idx="1">
                  <c:v>51.05</c:v>
                </c:pt>
                <c:pt idx="2">
                  <c:v>59</c:v>
                </c:pt>
                <c:pt idx="3">
                  <c:v>62.27</c:v>
                </c:pt>
                <c:pt idx="4">
                  <c:v>66.36</c:v>
                </c:pt>
                <c:pt idx="5">
                  <c:v>72.05</c:v>
                </c:pt>
                <c:pt idx="6">
                  <c:v>77.5</c:v>
                </c:pt>
                <c:pt idx="7">
                  <c:v>84.92</c:v>
                </c:pt>
                <c:pt idx="8">
                  <c:v>92.17</c:v>
                </c:pt>
                <c:pt idx="9">
                  <c:v>100.99</c:v>
                </c:pt>
                <c:pt idx="10">
                  <c:v>111.63</c:v>
                </c:pt>
                <c:pt idx="11">
                  <c:v>121.65</c:v>
                </c:pt>
              </c:numCache>
            </c:numRef>
          </c:val>
        </c:ser>
        <c:ser>
          <c:idx val="7"/>
          <c:order val="7"/>
          <c:tx>
            <c:strRef>
              <c:f>'地区-消费'!$A$9</c:f>
              <c:strCache>
                <c:ptCount val="1"/>
                <c:pt idx="0">
                  <c:v/>
                </c:pt>
              </c:strCache>
            </c:strRef>
          </c:tx>
          <c:spPr>
            <a:solidFill>
              <a:schemeClr val="tx2">
                <a:lumMod val="60000"/>
                <a:lumOff val="40000"/>
              </a:schemeClr>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'地区-消费'!$B$9:$M$9</c:f>
            </c:numRef>
          </c:val>
        </c:ser>
        <c:ser>
          <c:idx val="8"/>
          <c:order val="8"/>
          <c:tx>
            <c:strRef>
              <c:f>'地区-消费'!$A$10</c:f>
              <c:strCache>
                <c:ptCount val="1"/>
                <c:pt idx="0">
                  <c:v/>
                </c:pt>
              </c:strCache>
            </c:strRef>
          </c:tx>
          <c:spPr>
            <a:solidFill>
              <a:schemeClr val="accent6">
                <a:lumMod val="75000"/>
              </a:schemeClr>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'地区-消费'!$B$10:$M$10</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4794c851-45d2-4f16-8654-c71c9e3d75b3}"/>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0.59604</cdr:x>
      <cdr:y>0.2407</cdr:y>
    </cdr:from>
    <cdr:to>
      <cdr:x>0.71851</cdr:x>
      <cdr:y>0.34658</cdr:y>
    </cdr:to>
    <cdr:sp>
      <cdr:nvSpPr>
        <cdr:cNvPr id="2" name="椭圆 1"/>
        <cdr:cNvSpPr/>
      </cdr:nvSpPr>
      <cdr:spPr xmlns:a="http://schemas.openxmlformats.org/drawingml/2006/main">
        <a:xfrm xmlns:a="http://schemas.openxmlformats.org/drawingml/2006/main" rot="19935493">
          <a:off x="3819415" y="736541"/>
          <a:ext cx="784788" cy="323993"/>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8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dr:relSizeAnchor xmlns:cdr="http://schemas.openxmlformats.org/drawingml/2006/chartDrawing">
    <cdr:from>
      <cdr:x>0.27871</cdr:x>
      <cdr:y>0.36046</cdr:y>
    </cdr:from>
    <cdr:to>
      <cdr:x>0.40118</cdr:x>
      <cdr:y>0.46685</cdr:y>
    </cdr:to>
    <cdr:sp>
      <cdr:nvSpPr>
        <cdr:cNvPr id="3" name="椭圆 2"/>
        <cdr:cNvSpPr/>
      </cdr:nvSpPr>
      <cdr:spPr xmlns:a="http://schemas.openxmlformats.org/drawingml/2006/main">
        <a:xfrm xmlns:a="http://schemas.openxmlformats.org/drawingml/2006/main" rot="21480000">
          <a:off x="1785992" y="1103010"/>
          <a:ext cx="784788" cy="325554"/>
        </a:xfrm>
        <a:prstGeom xmlns:a="http://schemas.openxmlformats.org/drawingml/2006/main" prst="ellipse">
          <a:avLst/>
        </a:prstGeom>
        <a:solidFill>
          <a:srgbClr val="FFC000"/>
        </a:solidFill>
        <a:ln>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9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0C7B5D-B25D-4556-85F2-C5528068C579}">
  <ds:schemaRefs/>
</ds:datastoreItem>
</file>

<file path=docProps/app.xml><?xml version="1.0" encoding="utf-8"?>
<Properties xmlns="http://schemas.openxmlformats.org/officeDocument/2006/extended-properties" xmlns:vt="http://schemas.openxmlformats.org/officeDocument/2006/docPropsVTypes">
  <Template>Normal</Template>
  <Pages>5</Pages>
  <Words>2299</Words>
  <Characters>2536</Characters>
  <Lines>18</Lines>
  <Paragraphs>5</Paragraphs>
  <TotalTime>718</TotalTime>
  <ScaleCrop>false</ScaleCrop>
  <LinksUpToDate>false</LinksUpToDate>
  <CharactersWithSpaces>2546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2025-05-28T04:02:05Z</dcterms:modified>
  <cp:revision>946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2052-12.1.0.20784</vt:lpwstr>
  </property>
  <property fmtid="{D5CDD505-2E9C-101B-9397-08002B2CF9AE}" pid="4" name="ICV">
    <vt:lpwstr>CEB8A985DFFA4D40B1FB204BB00CEBBD_12</vt:lpwstr>
  </property>
</Properties>
</file>