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44C7" w:rsidRDefault="003378B5" w:rsidP="008544C7">
      <w:pPr>
        <w:shd w:val="clear" w:color="auto" w:fill="FFFFFF"/>
        <w:rPr>
          <w:rFonts w:ascii="Calibri" w:hAnsi="Calibri"/>
          <w:color w:val="333333"/>
          <w:sz w:val="18"/>
          <w:szCs w:val="18"/>
        </w:rPr>
      </w:pPr>
      <w:r>
        <w:rPr>
          <w:rFonts w:ascii="Calibri" w:hAnsi="Calibri"/>
          <w:b/>
          <w:bCs/>
          <w:color w:val="333333"/>
          <w:sz w:val="18"/>
          <w:szCs w:val="18"/>
        </w:rPr>
        <w:t>硬脑膜补片</w:t>
      </w:r>
      <w:r w:rsidR="008544C7">
        <w:rPr>
          <w:rFonts w:ascii="Calibri" w:hAnsi="Calibri"/>
          <w:b/>
          <w:bCs/>
          <w:color w:val="333333"/>
          <w:sz w:val="18"/>
          <w:szCs w:val="18"/>
        </w:rPr>
        <w:t>市场</w:t>
      </w:r>
      <w:r w:rsidR="008544C7">
        <w:rPr>
          <w:rFonts w:hint="eastAsia"/>
          <w:b/>
          <w:bCs/>
          <w:color w:val="333333"/>
          <w:sz w:val="18"/>
          <w:szCs w:val="18"/>
        </w:rPr>
        <w:t>报告主要研究：</w:t>
      </w:r>
    </w:p>
    <w:p w:rsidR="008544C7" w:rsidRDefault="003378B5" w:rsidP="008544C7">
      <w:pPr>
        <w:shd w:val="clear" w:color="auto" w:fill="FFFFFF"/>
        <w:rPr>
          <w:rFonts w:ascii="Calibri" w:hAnsi="Calibri"/>
          <w:color w:val="333333"/>
          <w:sz w:val="18"/>
          <w:szCs w:val="18"/>
        </w:rPr>
      </w:pPr>
      <w:r>
        <w:rPr>
          <w:rFonts w:ascii="Calibri" w:hAnsi="Calibri"/>
          <w:color w:val="333333"/>
          <w:sz w:val="18"/>
          <w:szCs w:val="18"/>
        </w:rPr>
        <w:t>硬脑膜补片</w:t>
      </w:r>
      <w:r w:rsidR="008544C7">
        <w:rPr>
          <w:rFonts w:ascii="Calibri" w:hAnsi="Calibri"/>
          <w:color w:val="333333"/>
          <w:sz w:val="18"/>
          <w:szCs w:val="18"/>
        </w:rPr>
        <w:t>市场规模：</w:t>
      </w:r>
      <w:r w:rsidR="008544C7">
        <w:rPr>
          <w:rFonts w:ascii="Calibri" w:hAnsi="Calibri"/>
          <w:color w:val="333333"/>
          <w:sz w:val="18"/>
          <w:szCs w:val="18"/>
        </w:rPr>
        <w:t xml:space="preserve"> </w:t>
      </w:r>
      <w:r w:rsidR="008544C7">
        <w:rPr>
          <w:rFonts w:ascii="Calibri" w:hAnsi="Calibri"/>
          <w:color w:val="333333"/>
          <w:sz w:val="18"/>
          <w:szCs w:val="18"/>
        </w:rPr>
        <w:t>产能、产量、销售、产值、价格、成本、利润等</w:t>
      </w:r>
    </w:p>
    <w:p w:rsidR="009A081F" w:rsidRDefault="003378B5" w:rsidP="009A081F">
      <w:pPr>
        <w:shd w:val="clear" w:color="auto" w:fill="FFFFFF"/>
        <w:rPr>
          <w:rFonts w:ascii="Calibri" w:hAnsi="Calibri" w:hint="eastAsia"/>
          <w:color w:val="333333"/>
          <w:sz w:val="18"/>
          <w:szCs w:val="18"/>
        </w:rPr>
      </w:pPr>
      <w:r>
        <w:rPr>
          <w:rFonts w:ascii="Calibri" w:hAnsi="Calibri"/>
          <w:color w:val="333333"/>
          <w:sz w:val="18"/>
          <w:szCs w:val="18"/>
        </w:rPr>
        <w:t>硬脑膜补片</w:t>
      </w:r>
      <w:r w:rsidR="008544C7">
        <w:rPr>
          <w:rFonts w:ascii="Calibri" w:hAnsi="Calibri"/>
          <w:color w:val="333333"/>
          <w:sz w:val="18"/>
          <w:szCs w:val="18"/>
        </w:rPr>
        <w:t>行业竞争分析：原材料、市场应用、产品种类、市场需求、市场供给，下游市场分析、供应链分析、主要企业情况、市场份额、并购、扩张等</w:t>
      </w:r>
    </w:p>
    <w:p w:rsidR="00AE1097" w:rsidRDefault="00AE1097" w:rsidP="009A081F">
      <w:pPr>
        <w:shd w:val="clear" w:color="auto" w:fill="FFFFFF"/>
        <w:rPr>
          <w:rFonts w:ascii="Calibri" w:hAnsi="Calibri" w:hint="eastAsia"/>
          <w:color w:val="333333"/>
          <w:sz w:val="18"/>
          <w:szCs w:val="18"/>
        </w:rPr>
      </w:pPr>
    </w:p>
    <w:p w:rsidR="003378B5" w:rsidRPr="003378B5" w:rsidRDefault="003378B5" w:rsidP="003378B5">
      <w:pPr>
        <w:shd w:val="clear" w:color="auto" w:fill="FFFFFF"/>
        <w:rPr>
          <w:rFonts w:ascii="Calibri" w:hAnsi="Calibri"/>
          <w:color w:val="333333"/>
          <w:sz w:val="18"/>
          <w:szCs w:val="18"/>
        </w:rPr>
      </w:pPr>
      <w:r w:rsidRPr="003378B5">
        <w:rPr>
          <w:rFonts w:ascii="Calibri" w:hAnsi="Calibri" w:hint="eastAsia"/>
          <w:color w:val="333333"/>
          <w:sz w:val="18"/>
          <w:szCs w:val="18"/>
        </w:rPr>
        <w:t>硬脑膜是介于颅骨和脑组织之间的一厚而坚韧的双层膜性组织，构成脑组织的一道重要天然防护介质。而创伤、炎症、肿瘤侵蚀及手术操作等均能造成硬脑膜损伤，破坏其完整性。</w:t>
      </w:r>
    </w:p>
    <w:p w:rsidR="003378B5" w:rsidRPr="003378B5" w:rsidRDefault="003378B5" w:rsidP="003378B5">
      <w:pPr>
        <w:shd w:val="clear" w:color="auto" w:fill="FFFFFF"/>
        <w:rPr>
          <w:rFonts w:ascii="Calibri" w:hAnsi="Calibri" w:hint="eastAsia"/>
          <w:color w:val="333333"/>
          <w:sz w:val="18"/>
          <w:szCs w:val="18"/>
        </w:rPr>
      </w:pPr>
      <w:r w:rsidRPr="003378B5">
        <w:rPr>
          <w:rFonts w:ascii="Calibri" w:hAnsi="Calibri" w:hint="eastAsia"/>
          <w:color w:val="333333"/>
          <w:sz w:val="18"/>
          <w:szCs w:val="18"/>
        </w:rPr>
        <w:t>硬脑膜补片是指用于硬脑膜或硬脊膜缺损暂时或永久性修补的片状材料类产品。材质涵盖聚四氟乙烯</w:t>
      </w:r>
      <w:r w:rsidRPr="003378B5">
        <w:rPr>
          <w:rFonts w:ascii="Calibri" w:hAnsi="Calibri" w:hint="eastAsia"/>
          <w:color w:val="333333"/>
          <w:sz w:val="18"/>
          <w:szCs w:val="18"/>
        </w:rPr>
        <w:t>/</w:t>
      </w:r>
      <w:r w:rsidRPr="003378B5">
        <w:rPr>
          <w:rFonts w:ascii="Calibri" w:hAnsi="Calibri" w:hint="eastAsia"/>
          <w:color w:val="333333"/>
          <w:sz w:val="18"/>
          <w:szCs w:val="18"/>
        </w:rPr>
        <w:t>聚氨基甲酸酯类等不可吸收合成材料、聚乳酸</w:t>
      </w:r>
      <w:r w:rsidRPr="003378B5">
        <w:rPr>
          <w:rFonts w:ascii="Calibri" w:hAnsi="Calibri" w:hint="eastAsia"/>
          <w:color w:val="333333"/>
          <w:sz w:val="18"/>
          <w:szCs w:val="18"/>
        </w:rPr>
        <w:t>/</w:t>
      </w:r>
      <w:r w:rsidRPr="003378B5">
        <w:rPr>
          <w:rFonts w:ascii="Calibri" w:hAnsi="Calibri" w:hint="eastAsia"/>
          <w:color w:val="333333"/>
          <w:sz w:val="18"/>
          <w:szCs w:val="18"/>
        </w:rPr>
        <w:t>聚己内酯等可吸收合成材料、生物源性材料、复合材料等，用于因颅脑、脊髓损伤、肿瘤及其他颅脑疾病引起的硬脑膜或脊膜缺损的修补，防止脑脊液外漏、颅内感染、脑膨出、脑粘连和疤痕等严重并发症，以恢复其完整性。</w:t>
      </w:r>
    </w:p>
    <w:p w:rsidR="003378B5" w:rsidRPr="003378B5" w:rsidRDefault="003378B5" w:rsidP="003378B5">
      <w:pPr>
        <w:shd w:val="clear" w:color="auto" w:fill="FFFFFF"/>
        <w:rPr>
          <w:rFonts w:ascii="Calibri" w:hAnsi="Calibri" w:hint="eastAsia"/>
          <w:color w:val="333333"/>
          <w:sz w:val="18"/>
          <w:szCs w:val="18"/>
        </w:rPr>
      </w:pPr>
      <w:r w:rsidRPr="003378B5">
        <w:rPr>
          <w:rFonts w:ascii="Calibri" w:hAnsi="Calibri" w:hint="eastAsia"/>
          <w:color w:val="333333"/>
          <w:sz w:val="18"/>
          <w:szCs w:val="18"/>
        </w:rPr>
        <w:t>2023</w:t>
      </w:r>
      <w:r w:rsidRPr="003378B5">
        <w:rPr>
          <w:rFonts w:ascii="Calibri" w:hAnsi="Calibri" w:hint="eastAsia"/>
          <w:color w:val="333333"/>
          <w:sz w:val="18"/>
          <w:szCs w:val="18"/>
        </w:rPr>
        <w:t>年全球硬脑膜补片市场规模大约为</w:t>
      </w:r>
      <w:r w:rsidRPr="003378B5">
        <w:rPr>
          <w:rFonts w:ascii="Calibri" w:hAnsi="Calibri" w:hint="eastAsia"/>
          <w:color w:val="333333"/>
          <w:sz w:val="18"/>
          <w:szCs w:val="18"/>
        </w:rPr>
        <w:t>7.62</w:t>
      </w:r>
      <w:r w:rsidRPr="003378B5">
        <w:rPr>
          <w:rFonts w:ascii="Calibri" w:hAnsi="Calibri" w:hint="eastAsia"/>
          <w:color w:val="333333"/>
          <w:sz w:val="18"/>
          <w:szCs w:val="18"/>
        </w:rPr>
        <w:t>亿美元，预计</w:t>
      </w:r>
      <w:r w:rsidRPr="003378B5">
        <w:rPr>
          <w:rFonts w:ascii="Calibri" w:hAnsi="Calibri" w:hint="eastAsia"/>
          <w:color w:val="333333"/>
          <w:sz w:val="18"/>
          <w:szCs w:val="18"/>
        </w:rPr>
        <w:t>2030</w:t>
      </w:r>
      <w:r w:rsidRPr="003378B5">
        <w:rPr>
          <w:rFonts w:ascii="Calibri" w:hAnsi="Calibri" w:hint="eastAsia"/>
          <w:color w:val="333333"/>
          <w:sz w:val="18"/>
          <w:szCs w:val="18"/>
        </w:rPr>
        <w:t>年将达到</w:t>
      </w:r>
      <w:r w:rsidRPr="003378B5">
        <w:rPr>
          <w:rFonts w:ascii="Calibri" w:hAnsi="Calibri" w:hint="eastAsia"/>
          <w:color w:val="333333"/>
          <w:sz w:val="18"/>
          <w:szCs w:val="18"/>
        </w:rPr>
        <w:t>11.41</w:t>
      </w:r>
      <w:r w:rsidRPr="003378B5">
        <w:rPr>
          <w:rFonts w:ascii="Calibri" w:hAnsi="Calibri" w:hint="eastAsia"/>
          <w:color w:val="333333"/>
          <w:sz w:val="18"/>
          <w:szCs w:val="18"/>
        </w:rPr>
        <w:t>亿美元，</w:t>
      </w:r>
      <w:r w:rsidRPr="003378B5">
        <w:rPr>
          <w:rFonts w:ascii="Calibri" w:hAnsi="Calibri" w:hint="eastAsia"/>
          <w:color w:val="333333"/>
          <w:sz w:val="18"/>
          <w:szCs w:val="18"/>
        </w:rPr>
        <w:t>2024-2030</w:t>
      </w:r>
      <w:r w:rsidRPr="003378B5">
        <w:rPr>
          <w:rFonts w:ascii="Calibri" w:hAnsi="Calibri" w:hint="eastAsia"/>
          <w:color w:val="333333"/>
          <w:sz w:val="18"/>
          <w:szCs w:val="18"/>
        </w:rPr>
        <w:t>期间年复合增长率（</w:t>
      </w:r>
      <w:r w:rsidRPr="003378B5">
        <w:rPr>
          <w:rFonts w:ascii="Calibri" w:hAnsi="Calibri" w:hint="eastAsia"/>
          <w:color w:val="333333"/>
          <w:sz w:val="18"/>
          <w:szCs w:val="18"/>
        </w:rPr>
        <w:t>CAGR</w:t>
      </w:r>
      <w:r w:rsidRPr="003378B5">
        <w:rPr>
          <w:rFonts w:ascii="Calibri" w:hAnsi="Calibri" w:hint="eastAsia"/>
          <w:color w:val="333333"/>
          <w:sz w:val="18"/>
          <w:szCs w:val="18"/>
        </w:rPr>
        <w:t>）为</w:t>
      </w:r>
      <w:r w:rsidRPr="003378B5">
        <w:rPr>
          <w:rFonts w:ascii="Calibri" w:hAnsi="Calibri" w:hint="eastAsia"/>
          <w:color w:val="333333"/>
          <w:sz w:val="18"/>
          <w:szCs w:val="18"/>
        </w:rPr>
        <w:t>5.9%</w:t>
      </w:r>
      <w:r w:rsidRPr="003378B5">
        <w:rPr>
          <w:rFonts w:ascii="Calibri" w:hAnsi="Calibri" w:hint="eastAsia"/>
          <w:color w:val="333333"/>
          <w:sz w:val="18"/>
          <w:szCs w:val="18"/>
        </w:rPr>
        <w:t>。</w:t>
      </w:r>
    </w:p>
    <w:p w:rsidR="003378B5" w:rsidRPr="003378B5" w:rsidRDefault="003378B5" w:rsidP="003378B5">
      <w:pPr>
        <w:shd w:val="clear" w:color="auto" w:fill="FFFFFF"/>
        <w:rPr>
          <w:rFonts w:ascii="Calibri" w:hAnsi="Calibri" w:hint="eastAsia"/>
          <w:color w:val="333333"/>
          <w:sz w:val="18"/>
          <w:szCs w:val="18"/>
        </w:rPr>
      </w:pPr>
      <w:r w:rsidRPr="003378B5">
        <w:rPr>
          <w:rFonts w:ascii="Calibri" w:hAnsi="Calibri" w:hint="eastAsia"/>
          <w:color w:val="333333"/>
          <w:sz w:val="18"/>
          <w:szCs w:val="18"/>
        </w:rPr>
        <w:t>全球硬脑膜补片（</w:t>
      </w:r>
      <w:r w:rsidRPr="003378B5">
        <w:rPr>
          <w:rFonts w:ascii="Calibri" w:hAnsi="Calibri" w:hint="eastAsia"/>
          <w:color w:val="333333"/>
          <w:sz w:val="18"/>
          <w:szCs w:val="18"/>
        </w:rPr>
        <w:t>Dural Repair Patch</w:t>
      </w:r>
      <w:r w:rsidRPr="003378B5">
        <w:rPr>
          <w:rFonts w:ascii="Calibri" w:hAnsi="Calibri" w:hint="eastAsia"/>
          <w:color w:val="333333"/>
          <w:sz w:val="18"/>
          <w:szCs w:val="18"/>
        </w:rPr>
        <w:t>）核心厂商包括</w:t>
      </w:r>
      <w:r w:rsidRPr="003378B5">
        <w:rPr>
          <w:rFonts w:ascii="Calibri" w:hAnsi="Calibri" w:hint="eastAsia"/>
          <w:color w:val="333333"/>
          <w:sz w:val="18"/>
          <w:szCs w:val="18"/>
        </w:rPr>
        <w:t>Integra LifeSciences</w:t>
      </w:r>
      <w:r w:rsidRPr="003378B5">
        <w:rPr>
          <w:rFonts w:ascii="Calibri" w:hAnsi="Calibri" w:hint="eastAsia"/>
          <w:color w:val="333333"/>
          <w:sz w:val="18"/>
          <w:szCs w:val="18"/>
        </w:rPr>
        <w:t>、贝朗、美敦力、强生、百特和</w:t>
      </w:r>
      <w:r w:rsidRPr="003378B5">
        <w:rPr>
          <w:rFonts w:ascii="Calibri" w:hAnsi="Calibri" w:hint="eastAsia"/>
          <w:color w:val="333333"/>
          <w:sz w:val="18"/>
          <w:szCs w:val="18"/>
        </w:rPr>
        <w:t>Regenity</w:t>
      </w:r>
      <w:r w:rsidRPr="003378B5">
        <w:rPr>
          <w:rFonts w:ascii="Calibri" w:hAnsi="Calibri" w:hint="eastAsia"/>
          <w:color w:val="333333"/>
          <w:sz w:val="18"/>
          <w:szCs w:val="18"/>
        </w:rPr>
        <w:t>等，前三大厂商占有全球大约</w:t>
      </w:r>
      <w:r w:rsidRPr="003378B5">
        <w:rPr>
          <w:rFonts w:ascii="Calibri" w:hAnsi="Calibri" w:hint="eastAsia"/>
          <w:color w:val="333333"/>
          <w:sz w:val="18"/>
          <w:szCs w:val="18"/>
        </w:rPr>
        <w:t>41%</w:t>
      </w:r>
      <w:r w:rsidRPr="003378B5">
        <w:rPr>
          <w:rFonts w:ascii="Calibri" w:hAnsi="Calibri" w:hint="eastAsia"/>
          <w:color w:val="333333"/>
          <w:sz w:val="18"/>
          <w:szCs w:val="18"/>
        </w:rPr>
        <w:t>的份额。</w:t>
      </w:r>
      <w:r w:rsidRPr="003378B5">
        <w:rPr>
          <w:rFonts w:ascii="Calibri" w:hAnsi="Calibri" w:hint="eastAsia"/>
          <w:color w:val="333333"/>
          <w:sz w:val="18"/>
          <w:szCs w:val="18"/>
        </w:rPr>
        <w:t>Integra LifeSciences</w:t>
      </w:r>
      <w:r w:rsidRPr="003378B5">
        <w:rPr>
          <w:rFonts w:ascii="Calibri" w:hAnsi="Calibri" w:hint="eastAsia"/>
          <w:color w:val="333333"/>
          <w:sz w:val="18"/>
          <w:szCs w:val="18"/>
        </w:rPr>
        <w:t>是全球最大的硬脑膜补片生产商，占有大约</w:t>
      </w:r>
      <w:r w:rsidRPr="003378B5">
        <w:rPr>
          <w:rFonts w:ascii="Calibri" w:hAnsi="Calibri" w:hint="eastAsia"/>
          <w:color w:val="333333"/>
          <w:sz w:val="18"/>
          <w:szCs w:val="18"/>
        </w:rPr>
        <w:t>24%</w:t>
      </w:r>
      <w:r w:rsidRPr="003378B5">
        <w:rPr>
          <w:rFonts w:ascii="Calibri" w:hAnsi="Calibri" w:hint="eastAsia"/>
          <w:color w:val="333333"/>
          <w:sz w:val="18"/>
          <w:szCs w:val="18"/>
        </w:rPr>
        <w:t>的市场份额。</w:t>
      </w:r>
    </w:p>
    <w:p w:rsidR="003378B5" w:rsidRPr="003378B5" w:rsidRDefault="003378B5" w:rsidP="003378B5">
      <w:pPr>
        <w:shd w:val="clear" w:color="auto" w:fill="FFFFFF"/>
        <w:rPr>
          <w:rFonts w:ascii="Calibri" w:hAnsi="Calibri" w:hint="eastAsia"/>
          <w:color w:val="333333"/>
          <w:sz w:val="18"/>
          <w:szCs w:val="18"/>
        </w:rPr>
      </w:pPr>
      <w:r w:rsidRPr="003378B5">
        <w:rPr>
          <w:rFonts w:ascii="Calibri" w:hAnsi="Calibri" w:hint="eastAsia"/>
          <w:color w:val="333333"/>
          <w:sz w:val="18"/>
          <w:szCs w:val="18"/>
        </w:rPr>
        <w:t>生产端来看，北美、中国和欧洲是全球主要的硬脑膜补片生产地区，三者共占有大约</w:t>
      </w:r>
      <w:r w:rsidRPr="003378B5">
        <w:rPr>
          <w:rFonts w:ascii="Calibri" w:hAnsi="Calibri" w:hint="eastAsia"/>
          <w:color w:val="333333"/>
          <w:sz w:val="18"/>
          <w:szCs w:val="18"/>
        </w:rPr>
        <w:t>97%</w:t>
      </w:r>
      <w:r w:rsidRPr="003378B5">
        <w:rPr>
          <w:rFonts w:ascii="Calibri" w:hAnsi="Calibri" w:hint="eastAsia"/>
          <w:color w:val="333333"/>
          <w:sz w:val="18"/>
          <w:szCs w:val="18"/>
        </w:rPr>
        <w:t>的市场份额</w:t>
      </w:r>
    </w:p>
    <w:p w:rsidR="003378B5" w:rsidRPr="003378B5" w:rsidRDefault="003378B5" w:rsidP="003378B5">
      <w:pPr>
        <w:shd w:val="clear" w:color="auto" w:fill="FFFFFF"/>
        <w:rPr>
          <w:rFonts w:ascii="Calibri" w:hAnsi="Calibri" w:hint="eastAsia"/>
          <w:color w:val="333333"/>
          <w:sz w:val="18"/>
          <w:szCs w:val="18"/>
        </w:rPr>
      </w:pPr>
      <w:r w:rsidRPr="003378B5">
        <w:rPr>
          <w:rFonts w:ascii="Calibri" w:hAnsi="Calibri" w:hint="eastAsia"/>
          <w:color w:val="333333"/>
          <w:sz w:val="18"/>
          <w:szCs w:val="18"/>
        </w:rPr>
        <w:t>从产品类型方面来看，可吸收硬脑膜补片占有主要地位，占有</w:t>
      </w:r>
      <w:r w:rsidRPr="003378B5">
        <w:rPr>
          <w:rFonts w:ascii="Calibri" w:hAnsi="Calibri" w:hint="eastAsia"/>
          <w:color w:val="333333"/>
          <w:sz w:val="18"/>
          <w:szCs w:val="18"/>
        </w:rPr>
        <w:t>94%</w:t>
      </w:r>
      <w:r w:rsidRPr="003378B5">
        <w:rPr>
          <w:rFonts w:ascii="Calibri" w:hAnsi="Calibri" w:hint="eastAsia"/>
          <w:color w:val="333333"/>
          <w:sz w:val="18"/>
          <w:szCs w:val="18"/>
        </w:rPr>
        <w:t>的份额。同时就应用来说，公立医院是最大的应用领域，占有</w:t>
      </w:r>
      <w:r w:rsidRPr="003378B5">
        <w:rPr>
          <w:rFonts w:ascii="Calibri" w:hAnsi="Calibri" w:hint="eastAsia"/>
          <w:color w:val="333333"/>
          <w:sz w:val="18"/>
          <w:szCs w:val="18"/>
        </w:rPr>
        <w:t>74%</w:t>
      </w:r>
      <w:r w:rsidRPr="003378B5">
        <w:rPr>
          <w:rFonts w:ascii="Calibri" w:hAnsi="Calibri" w:hint="eastAsia"/>
          <w:color w:val="333333"/>
          <w:sz w:val="18"/>
          <w:szCs w:val="18"/>
        </w:rPr>
        <w:t>份额。</w:t>
      </w:r>
    </w:p>
    <w:p w:rsidR="009A081F" w:rsidRPr="009A081F" w:rsidRDefault="009A081F" w:rsidP="009A081F">
      <w:pPr>
        <w:shd w:val="clear" w:color="auto" w:fill="FFFFFF"/>
        <w:rPr>
          <w:rFonts w:ascii="Calibri" w:hAnsi="Calibri" w:hint="eastAsia"/>
          <w:b/>
          <w:color w:val="333333"/>
          <w:sz w:val="18"/>
          <w:szCs w:val="18"/>
        </w:rPr>
      </w:pPr>
      <w:r w:rsidRPr="009A081F">
        <w:rPr>
          <w:rFonts w:ascii="Calibri" w:hAnsi="Calibri" w:hint="eastAsia"/>
          <w:b/>
          <w:color w:val="333333"/>
          <w:sz w:val="18"/>
          <w:szCs w:val="18"/>
        </w:rPr>
        <w:t>（</w:t>
      </w:r>
      <w:r w:rsidRPr="009A081F">
        <w:rPr>
          <w:rFonts w:ascii="Calibri" w:hAnsi="Calibri" w:hint="eastAsia"/>
          <w:b/>
          <w:color w:val="333333"/>
          <w:sz w:val="18"/>
          <w:szCs w:val="18"/>
        </w:rPr>
        <w:t>Win Market Research</w:t>
      </w:r>
      <w:r w:rsidRPr="009A081F">
        <w:rPr>
          <w:rFonts w:ascii="Calibri" w:hAnsi="Calibri" w:hint="eastAsia"/>
          <w:b/>
          <w:color w:val="333333"/>
          <w:sz w:val="18"/>
          <w:szCs w:val="18"/>
        </w:rPr>
        <w:t>）辰宇信息</w:t>
      </w:r>
    </w:p>
    <w:p w:rsidR="000B429F" w:rsidRDefault="005141CD" w:rsidP="009A081F">
      <w:pPr>
        <w:shd w:val="clear" w:color="auto" w:fill="FFFFFF"/>
      </w:pPr>
      <w:r>
        <w:t>着重分析</w:t>
      </w:r>
      <w:r w:rsidR="003378B5">
        <w:rPr>
          <w:rFonts w:hint="eastAsia"/>
        </w:rPr>
        <w:t>硬脑膜补片</w:t>
      </w:r>
      <w:r>
        <w:t>行业竞争格局，包括全球市场主要厂商竞争格局和中国本土市场主要厂商竞争格局，重点分析全球主要厂商</w:t>
      </w:r>
      <w:r w:rsidR="003378B5">
        <w:rPr>
          <w:rFonts w:hint="eastAsia"/>
        </w:rPr>
        <w:t>硬脑膜补片</w:t>
      </w:r>
      <w:r>
        <w:t>产能、销量、收入、价格和市场份额，全球</w:t>
      </w:r>
      <w:r w:rsidR="003378B5">
        <w:rPr>
          <w:rFonts w:hint="eastAsia"/>
        </w:rPr>
        <w:t>硬脑膜补片</w:t>
      </w:r>
      <w:r>
        <w:t>产地分布情况、中国</w:t>
      </w:r>
      <w:r w:rsidR="003378B5">
        <w:rPr>
          <w:rFonts w:hint="eastAsia"/>
        </w:rPr>
        <w:t>硬脑膜补片</w:t>
      </w:r>
      <w:r>
        <w:t>进出口情况以及行业并购情况等。</w:t>
      </w:r>
      <w:r>
        <w:rPr>
          <w:rFonts w:hint="eastAsia"/>
        </w:rPr>
        <w:t>针对</w:t>
      </w:r>
      <w:r w:rsidR="003378B5">
        <w:rPr>
          <w:rFonts w:hint="eastAsia"/>
        </w:rPr>
        <w:t>硬脑膜补片</w:t>
      </w:r>
      <w:r>
        <w:rPr>
          <w:rFonts w:hint="eastAsia"/>
        </w:rPr>
        <w:t>行业产品分类、应用、行业政策、产业链、生产模式、销售模式、行业发展有利因素、不利因素和进入壁垒也做了详细分析。</w:t>
      </w:r>
      <w:r w:rsidR="008D6564" w:rsidRPr="008D6564">
        <w:rPr>
          <w:rFonts w:hint="eastAsia"/>
        </w:rPr>
        <w:t>如果您有兴趣了解详情，薇</w:t>
      </w:r>
      <w:r w:rsidR="008D6564">
        <w:rPr>
          <w:rFonts w:hint="eastAsia"/>
        </w:rPr>
        <w:t xml:space="preserve"> </w:t>
      </w:r>
      <w:r w:rsidR="008D6564" w:rsidRPr="008D6564">
        <w:rPr>
          <w:rFonts w:hint="eastAsia"/>
        </w:rPr>
        <w:t xml:space="preserve">joie  </w:t>
      </w:r>
      <w:r w:rsidR="008D6564" w:rsidRPr="008D6564">
        <w:rPr>
          <w:rFonts w:hint="eastAsia"/>
        </w:rPr>
        <w:t>：</w:t>
      </w:r>
      <w:r w:rsidR="008D6564" w:rsidRPr="008D6564">
        <w:rPr>
          <w:rFonts w:hint="eastAsia"/>
        </w:rPr>
        <w:t xml:space="preserve">chenyu-joie   </w:t>
      </w:r>
      <w:r w:rsidR="008D6564" w:rsidRPr="008D6564">
        <w:rPr>
          <w:rFonts w:hint="eastAsia"/>
        </w:rPr>
        <w:t>同时了解更多前沿报告及报价。</w:t>
      </w:r>
    </w:p>
    <w:p w:rsidR="000B429F" w:rsidRDefault="005141CD">
      <w:pPr>
        <w:pStyle w:val="a5"/>
        <w:widowControl/>
        <w:spacing w:before="240" w:beforeAutospacing="0" w:after="240" w:afterAutospacing="0" w:line="420" w:lineRule="atLeast"/>
        <w:jc w:val="both"/>
        <w:rPr>
          <w:b/>
          <w:szCs w:val="24"/>
        </w:rPr>
      </w:pPr>
      <w:r>
        <w:rPr>
          <w:rFonts w:hint="eastAsia"/>
          <w:b/>
          <w:szCs w:val="24"/>
        </w:rPr>
        <w:t>全球及中国主要厂商包括：</w:t>
      </w:r>
    </w:p>
    <w:p w:rsidR="003378B5" w:rsidRPr="003378B5" w:rsidRDefault="003378B5" w:rsidP="003378B5">
      <w:pPr>
        <w:pStyle w:val="a5"/>
        <w:spacing w:before="240" w:after="240" w:line="420" w:lineRule="atLeast"/>
        <w:jc w:val="both"/>
        <w:rPr>
          <w:rFonts w:ascii="Helvetica" w:eastAsia="Helvetica" w:hAnsi="Helvetica" w:cs="Helvetica"/>
          <w:color w:val="333333"/>
          <w:sz w:val="19"/>
          <w:szCs w:val="19"/>
        </w:rPr>
      </w:pPr>
      <w:r w:rsidRPr="003378B5">
        <w:rPr>
          <w:rFonts w:ascii="Helvetica" w:eastAsia="Helvetica" w:hAnsi="Helvetica" w:cs="Helvetica"/>
          <w:color w:val="333333"/>
          <w:sz w:val="19"/>
          <w:szCs w:val="19"/>
        </w:rPr>
        <w:t xml:space="preserve">    Integra LifeSciences</w:t>
      </w:r>
    </w:p>
    <w:p w:rsidR="003378B5" w:rsidRPr="003378B5" w:rsidRDefault="003378B5" w:rsidP="003378B5">
      <w:pPr>
        <w:pStyle w:val="a5"/>
        <w:spacing w:before="240" w:after="240" w:line="420" w:lineRule="atLeast"/>
        <w:jc w:val="both"/>
        <w:rPr>
          <w:rFonts w:ascii="Helvetica" w:eastAsia="Helvetica" w:hAnsi="Helvetica" w:cs="Helvetica"/>
          <w:color w:val="333333"/>
          <w:sz w:val="19"/>
          <w:szCs w:val="19"/>
        </w:rPr>
      </w:pPr>
      <w:r w:rsidRPr="003378B5">
        <w:rPr>
          <w:rFonts w:ascii="Helvetica" w:eastAsia="Helvetica" w:hAnsi="Helvetica" w:cs="Helvetica"/>
          <w:color w:val="333333"/>
          <w:sz w:val="19"/>
          <w:szCs w:val="19"/>
        </w:rPr>
        <w:t xml:space="preserve">    贝朗</w:t>
      </w:r>
    </w:p>
    <w:p w:rsidR="003378B5" w:rsidRPr="003378B5" w:rsidRDefault="003378B5" w:rsidP="003378B5">
      <w:pPr>
        <w:pStyle w:val="a5"/>
        <w:spacing w:before="240" w:after="240" w:line="420" w:lineRule="atLeast"/>
        <w:jc w:val="both"/>
        <w:rPr>
          <w:rFonts w:ascii="Helvetica" w:eastAsia="Helvetica" w:hAnsi="Helvetica" w:cs="Helvetica"/>
          <w:color w:val="333333"/>
          <w:sz w:val="19"/>
          <w:szCs w:val="19"/>
        </w:rPr>
      </w:pPr>
      <w:r w:rsidRPr="003378B5">
        <w:rPr>
          <w:rFonts w:ascii="Helvetica" w:eastAsia="Helvetica" w:hAnsi="Helvetica" w:cs="Helvetica"/>
          <w:color w:val="333333"/>
          <w:sz w:val="19"/>
          <w:szCs w:val="19"/>
        </w:rPr>
        <w:t xml:space="preserve">    美敦力</w:t>
      </w:r>
    </w:p>
    <w:p w:rsidR="003378B5" w:rsidRPr="003378B5" w:rsidRDefault="003378B5" w:rsidP="003378B5">
      <w:pPr>
        <w:pStyle w:val="a5"/>
        <w:spacing w:before="240" w:after="240" w:line="420" w:lineRule="atLeast"/>
        <w:jc w:val="both"/>
        <w:rPr>
          <w:rFonts w:ascii="Helvetica" w:eastAsia="Helvetica" w:hAnsi="Helvetica" w:cs="Helvetica"/>
          <w:color w:val="333333"/>
          <w:sz w:val="19"/>
          <w:szCs w:val="19"/>
        </w:rPr>
      </w:pPr>
      <w:r w:rsidRPr="003378B5">
        <w:rPr>
          <w:rFonts w:ascii="Helvetica" w:eastAsia="Helvetica" w:hAnsi="Helvetica" w:cs="Helvetica"/>
          <w:color w:val="333333"/>
          <w:sz w:val="19"/>
          <w:szCs w:val="19"/>
        </w:rPr>
        <w:t xml:space="preserve">    强生</w:t>
      </w:r>
    </w:p>
    <w:p w:rsidR="003378B5" w:rsidRPr="003378B5" w:rsidRDefault="003378B5" w:rsidP="003378B5">
      <w:pPr>
        <w:pStyle w:val="a5"/>
        <w:spacing w:before="240" w:after="240" w:line="420" w:lineRule="atLeast"/>
        <w:jc w:val="both"/>
        <w:rPr>
          <w:rFonts w:ascii="Helvetica" w:eastAsia="Helvetica" w:hAnsi="Helvetica" w:cs="Helvetica"/>
          <w:color w:val="333333"/>
          <w:sz w:val="19"/>
          <w:szCs w:val="19"/>
        </w:rPr>
      </w:pPr>
      <w:r w:rsidRPr="003378B5">
        <w:rPr>
          <w:rFonts w:ascii="Helvetica" w:eastAsia="Helvetica" w:hAnsi="Helvetica" w:cs="Helvetica"/>
          <w:color w:val="333333"/>
          <w:sz w:val="19"/>
          <w:szCs w:val="19"/>
        </w:rPr>
        <w:t xml:space="preserve">    百特</w:t>
      </w:r>
    </w:p>
    <w:p w:rsidR="003378B5" w:rsidRPr="003378B5" w:rsidRDefault="003378B5" w:rsidP="003378B5">
      <w:pPr>
        <w:pStyle w:val="a5"/>
        <w:spacing w:before="240" w:after="240" w:line="420" w:lineRule="atLeast"/>
        <w:jc w:val="both"/>
        <w:rPr>
          <w:rFonts w:ascii="Helvetica" w:eastAsia="Helvetica" w:hAnsi="Helvetica" w:cs="Helvetica"/>
          <w:color w:val="333333"/>
          <w:sz w:val="19"/>
          <w:szCs w:val="19"/>
        </w:rPr>
      </w:pPr>
      <w:r w:rsidRPr="003378B5">
        <w:rPr>
          <w:rFonts w:ascii="Helvetica" w:eastAsia="Helvetica" w:hAnsi="Helvetica" w:cs="Helvetica"/>
          <w:color w:val="333333"/>
          <w:sz w:val="19"/>
          <w:szCs w:val="19"/>
        </w:rPr>
        <w:t xml:space="preserve">    Regenity</w:t>
      </w:r>
    </w:p>
    <w:p w:rsidR="003378B5" w:rsidRPr="003378B5" w:rsidRDefault="003378B5" w:rsidP="003378B5">
      <w:pPr>
        <w:pStyle w:val="a5"/>
        <w:spacing w:before="240" w:after="240" w:line="420" w:lineRule="atLeast"/>
        <w:jc w:val="both"/>
        <w:rPr>
          <w:rFonts w:ascii="Helvetica" w:eastAsia="Helvetica" w:hAnsi="Helvetica" w:cs="Helvetica"/>
          <w:color w:val="333333"/>
          <w:sz w:val="19"/>
          <w:szCs w:val="19"/>
        </w:rPr>
      </w:pPr>
      <w:r w:rsidRPr="003378B5">
        <w:rPr>
          <w:rFonts w:ascii="Helvetica" w:eastAsia="Helvetica" w:hAnsi="Helvetica" w:cs="Helvetica"/>
          <w:color w:val="333333"/>
          <w:sz w:val="19"/>
          <w:szCs w:val="19"/>
        </w:rPr>
        <w:t xml:space="preserve">    库克医疗</w:t>
      </w:r>
    </w:p>
    <w:p w:rsidR="003378B5" w:rsidRPr="003378B5" w:rsidRDefault="003378B5" w:rsidP="003378B5">
      <w:pPr>
        <w:pStyle w:val="a5"/>
        <w:spacing w:before="240" w:after="240" w:line="420" w:lineRule="atLeast"/>
        <w:jc w:val="both"/>
        <w:rPr>
          <w:rFonts w:ascii="Helvetica" w:eastAsia="Helvetica" w:hAnsi="Helvetica" w:cs="Helvetica"/>
          <w:color w:val="333333"/>
          <w:sz w:val="19"/>
          <w:szCs w:val="19"/>
        </w:rPr>
      </w:pPr>
      <w:r w:rsidRPr="003378B5">
        <w:rPr>
          <w:rFonts w:ascii="Helvetica" w:eastAsia="Helvetica" w:hAnsi="Helvetica" w:cs="Helvetica"/>
          <w:color w:val="333333"/>
          <w:sz w:val="19"/>
          <w:szCs w:val="19"/>
        </w:rPr>
        <w:lastRenderedPageBreak/>
        <w:t xml:space="preserve">    戈尔</w:t>
      </w:r>
    </w:p>
    <w:p w:rsidR="003378B5" w:rsidRPr="003378B5" w:rsidRDefault="003378B5" w:rsidP="003378B5">
      <w:pPr>
        <w:pStyle w:val="a5"/>
        <w:spacing w:before="240" w:after="240" w:line="420" w:lineRule="atLeast"/>
        <w:jc w:val="both"/>
        <w:rPr>
          <w:rFonts w:ascii="Helvetica" w:eastAsia="Helvetica" w:hAnsi="Helvetica" w:cs="Helvetica"/>
          <w:color w:val="333333"/>
          <w:sz w:val="19"/>
          <w:szCs w:val="19"/>
        </w:rPr>
      </w:pPr>
      <w:r w:rsidRPr="003378B5">
        <w:rPr>
          <w:rFonts w:ascii="Helvetica" w:eastAsia="Helvetica" w:hAnsi="Helvetica" w:cs="Helvetica"/>
          <w:color w:val="333333"/>
          <w:sz w:val="19"/>
          <w:szCs w:val="19"/>
        </w:rPr>
        <w:t xml:space="preserve">    郡是</w:t>
      </w:r>
    </w:p>
    <w:p w:rsidR="003378B5" w:rsidRPr="003378B5" w:rsidRDefault="003378B5" w:rsidP="003378B5">
      <w:pPr>
        <w:pStyle w:val="a5"/>
        <w:spacing w:before="240" w:after="240" w:line="420" w:lineRule="atLeast"/>
        <w:jc w:val="both"/>
        <w:rPr>
          <w:rFonts w:ascii="Helvetica" w:eastAsia="Helvetica" w:hAnsi="Helvetica" w:cs="Helvetica"/>
          <w:color w:val="333333"/>
          <w:sz w:val="19"/>
          <w:szCs w:val="19"/>
        </w:rPr>
      </w:pPr>
      <w:r w:rsidRPr="003378B5">
        <w:rPr>
          <w:rFonts w:ascii="Helvetica" w:eastAsia="Helvetica" w:hAnsi="Helvetica" w:cs="Helvetica"/>
          <w:color w:val="333333"/>
          <w:sz w:val="19"/>
          <w:szCs w:val="19"/>
        </w:rPr>
        <w:t xml:space="preserve">    天新福医疗</w:t>
      </w:r>
    </w:p>
    <w:p w:rsidR="003378B5" w:rsidRPr="003378B5" w:rsidRDefault="003378B5" w:rsidP="003378B5">
      <w:pPr>
        <w:pStyle w:val="a5"/>
        <w:spacing w:before="240" w:after="240" w:line="420" w:lineRule="atLeast"/>
        <w:jc w:val="both"/>
        <w:rPr>
          <w:rFonts w:ascii="Helvetica" w:eastAsia="Helvetica" w:hAnsi="Helvetica" w:cs="Helvetica"/>
          <w:color w:val="333333"/>
          <w:sz w:val="19"/>
          <w:szCs w:val="19"/>
        </w:rPr>
      </w:pPr>
      <w:r w:rsidRPr="003378B5">
        <w:rPr>
          <w:rFonts w:ascii="Helvetica" w:eastAsia="Helvetica" w:hAnsi="Helvetica" w:cs="Helvetica"/>
          <w:color w:val="333333"/>
          <w:sz w:val="19"/>
          <w:szCs w:val="19"/>
        </w:rPr>
        <w:t xml:space="preserve">    冠昊生物</w:t>
      </w:r>
    </w:p>
    <w:p w:rsidR="003378B5" w:rsidRPr="003378B5" w:rsidRDefault="003378B5" w:rsidP="003378B5">
      <w:pPr>
        <w:pStyle w:val="a5"/>
        <w:spacing w:before="240" w:after="240" w:line="420" w:lineRule="atLeast"/>
        <w:jc w:val="both"/>
        <w:rPr>
          <w:rFonts w:ascii="Helvetica" w:eastAsia="Helvetica" w:hAnsi="Helvetica" w:cs="Helvetica"/>
          <w:color w:val="333333"/>
          <w:sz w:val="19"/>
          <w:szCs w:val="19"/>
        </w:rPr>
      </w:pPr>
      <w:r w:rsidRPr="003378B5">
        <w:rPr>
          <w:rFonts w:ascii="Helvetica" w:eastAsia="Helvetica" w:hAnsi="Helvetica" w:cs="Helvetica"/>
          <w:color w:val="333333"/>
          <w:sz w:val="19"/>
          <w:szCs w:val="19"/>
        </w:rPr>
        <w:t xml:space="preserve">    正海生物</w:t>
      </w:r>
    </w:p>
    <w:p w:rsidR="003378B5" w:rsidRPr="003378B5" w:rsidRDefault="003378B5" w:rsidP="003378B5">
      <w:pPr>
        <w:pStyle w:val="a5"/>
        <w:spacing w:before="240" w:after="240" w:line="420" w:lineRule="atLeast"/>
        <w:jc w:val="both"/>
        <w:rPr>
          <w:rFonts w:ascii="Helvetica" w:eastAsia="Helvetica" w:hAnsi="Helvetica" w:cs="Helvetica"/>
          <w:color w:val="333333"/>
          <w:sz w:val="19"/>
          <w:szCs w:val="19"/>
        </w:rPr>
      </w:pPr>
      <w:r w:rsidRPr="003378B5">
        <w:rPr>
          <w:rFonts w:ascii="Helvetica" w:eastAsia="Helvetica" w:hAnsi="Helvetica" w:cs="Helvetica"/>
          <w:color w:val="333333"/>
          <w:sz w:val="19"/>
          <w:szCs w:val="19"/>
        </w:rPr>
        <w:t xml:space="preserve">    迈普医学</w:t>
      </w:r>
    </w:p>
    <w:p w:rsidR="003378B5" w:rsidRPr="003378B5" w:rsidRDefault="003378B5" w:rsidP="003378B5">
      <w:pPr>
        <w:pStyle w:val="a5"/>
        <w:spacing w:before="240" w:after="240" w:line="420" w:lineRule="atLeast"/>
        <w:jc w:val="both"/>
        <w:rPr>
          <w:rFonts w:ascii="Helvetica" w:eastAsia="Helvetica" w:hAnsi="Helvetica" w:cs="Helvetica"/>
          <w:color w:val="333333"/>
          <w:sz w:val="19"/>
          <w:szCs w:val="19"/>
        </w:rPr>
      </w:pPr>
      <w:r w:rsidRPr="003378B5">
        <w:rPr>
          <w:rFonts w:ascii="Helvetica" w:eastAsia="Helvetica" w:hAnsi="Helvetica" w:cs="Helvetica"/>
          <w:color w:val="333333"/>
          <w:sz w:val="19"/>
          <w:szCs w:val="19"/>
        </w:rPr>
        <w:t xml:space="preserve">    佰仁医疗</w:t>
      </w:r>
    </w:p>
    <w:p w:rsidR="003378B5" w:rsidRPr="003378B5" w:rsidRDefault="003378B5" w:rsidP="003378B5">
      <w:pPr>
        <w:pStyle w:val="a5"/>
        <w:spacing w:before="240" w:after="240" w:line="420" w:lineRule="atLeast"/>
        <w:jc w:val="both"/>
        <w:rPr>
          <w:rFonts w:ascii="Helvetica" w:eastAsia="Helvetica" w:hAnsi="Helvetica" w:cs="Helvetica"/>
          <w:color w:val="333333"/>
          <w:sz w:val="19"/>
          <w:szCs w:val="19"/>
        </w:rPr>
      </w:pPr>
      <w:r w:rsidRPr="003378B5">
        <w:rPr>
          <w:rFonts w:ascii="Helvetica" w:eastAsia="Helvetica" w:hAnsi="Helvetica" w:cs="Helvetica"/>
          <w:color w:val="333333"/>
          <w:sz w:val="19"/>
          <w:szCs w:val="19"/>
        </w:rPr>
        <w:t xml:space="preserve">    邦塞科技</w:t>
      </w:r>
    </w:p>
    <w:p w:rsidR="003378B5" w:rsidRPr="003378B5" w:rsidRDefault="003378B5" w:rsidP="003378B5">
      <w:pPr>
        <w:pStyle w:val="a5"/>
        <w:spacing w:before="240" w:after="240" w:line="420" w:lineRule="atLeast"/>
        <w:jc w:val="both"/>
        <w:rPr>
          <w:rFonts w:ascii="Helvetica" w:eastAsia="Helvetica" w:hAnsi="Helvetica" w:cs="Helvetica"/>
          <w:color w:val="333333"/>
          <w:sz w:val="19"/>
          <w:szCs w:val="19"/>
        </w:rPr>
      </w:pPr>
      <w:r w:rsidRPr="003378B5">
        <w:rPr>
          <w:rFonts w:ascii="Helvetica" w:eastAsia="Helvetica" w:hAnsi="Helvetica" w:cs="Helvetica"/>
          <w:color w:val="333333"/>
          <w:sz w:val="19"/>
          <w:szCs w:val="19"/>
        </w:rPr>
        <w:t xml:space="preserve">    博辉瑞进</w:t>
      </w:r>
    </w:p>
    <w:p w:rsidR="003378B5" w:rsidRPr="003378B5" w:rsidRDefault="003378B5" w:rsidP="003378B5">
      <w:pPr>
        <w:pStyle w:val="a5"/>
        <w:spacing w:before="240" w:after="240" w:line="420" w:lineRule="atLeast"/>
        <w:jc w:val="both"/>
        <w:rPr>
          <w:rFonts w:ascii="Helvetica" w:eastAsia="Helvetica" w:hAnsi="Helvetica" w:cs="Helvetica"/>
          <w:b/>
          <w:color w:val="333333"/>
          <w:sz w:val="19"/>
          <w:szCs w:val="19"/>
        </w:rPr>
      </w:pPr>
      <w:r w:rsidRPr="003378B5">
        <w:rPr>
          <w:rFonts w:ascii="Helvetica" w:eastAsia="Helvetica" w:hAnsi="Helvetica" w:cs="Helvetica"/>
          <w:b/>
          <w:color w:val="333333"/>
          <w:sz w:val="19"/>
          <w:szCs w:val="19"/>
        </w:rPr>
        <w:t>按照不同产品类型，包括如下几个类别：</w:t>
      </w:r>
    </w:p>
    <w:p w:rsidR="003378B5" w:rsidRPr="003378B5" w:rsidRDefault="003378B5" w:rsidP="003378B5">
      <w:pPr>
        <w:pStyle w:val="a5"/>
        <w:spacing w:before="240" w:after="240" w:line="420" w:lineRule="atLeast"/>
        <w:jc w:val="both"/>
        <w:rPr>
          <w:rFonts w:ascii="Helvetica" w:eastAsia="Helvetica" w:hAnsi="Helvetica" w:cs="Helvetica"/>
          <w:color w:val="333333"/>
          <w:sz w:val="19"/>
          <w:szCs w:val="19"/>
        </w:rPr>
      </w:pPr>
      <w:r w:rsidRPr="003378B5">
        <w:rPr>
          <w:rFonts w:ascii="Helvetica" w:eastAsia="Helvetica" w:hAnsi="Helvetica" w:cs="Helvetica"/>
          <w:color w:val="333333"/>
          <w:sz w:val="19"/>
          <w:szCs w:val="19"/>
        </w:rPr>
        <w:t xml:space="preserve">    可吸收</w:t>
      </w:r>
    </w:p>
    <w:p w:rsidR="003378B5" w:rsidRPr="003378B5" w:rsidRDefault="003378B5" w:rsidP="003378B5">
      <w:pPr>
        <w:pStyle w:val="a5"/>
        <w:spacing w:before="240" w:after="240" w:line="420" w:lineRule="atLeast"/>
        <w:jc w:val="both"/>
        <w:rPr>
          <w:rFonts w:ascii="Helvetica" w:eastAsia="Helvetica" w:hAnsi="Helvetica" w:cs="Helvetica"/>
          <w:color w:val="333333"/>
          <w:sz w:val="19"/>
          <w:szCs w:val="19"/>
        </w:rPr>
      </w:pPr>
      <w:r w:rsidRPr="003378B5">
        <w:rPr>
          <w:rFonts w:ascii="Helvetica" w:eastAsia="Helvetica" w:hAnsi="Helvetica" w:cs="Helvetica"/>
          <w:color w:val="333333"/>
          <w:sz w:val="19"/>
          <w:szCs w:val="19"/>
        </w:rPr>
        <w:t xml:space="preserve">    不可吸收</w:t>
      </w:r>
    </w:p>
    <w:p w:rsidR="003378B5" w:rsidRPr="003378B5" w:rsidRDefault="003378B5" w:rsidP="003378B5">
      <w:pPr>
        <w:pStyle w:val="a5"/>
        <w:spacing w:before="240" w:after="240" w:line="420" w:lineRule="atLeast"/>
        <w:jc w:val="both"/>
        <w:rPr>
          <w:rFonts w:ascii="Helvetica" w:eastAsia="Helvetica" w:hAnsi="Helvetica" w:cs="Helvetica"/>
          <w:b/>
          <w:color w:val="333333"/>
          <w:sz w:val="19"/>
          <w:szCs w:val="19"/>
        </w:rPr>
      </w:pPr>
      <w:r w:rsidRPr="003378B5">
        <w:rPr>
          <w:rFonts w:ascii="Helvetica" w:eastAsia="Helvetica" w:hAnsi="Helvetica" w:cs="Helvetica"/>
          <w:b/>
          <w:color w:val="333333"/>
          <w:sz w:val="19"/>
          <w:szCs w:val="19"/>
        </w:rPr>
        <w:t>按照不同应用，主要包括如下几个方面：</w:t>
      </w:r>
    </w:p>
    <w:p w:rsidR="003378B5" w:rsidRPr="003378B5" w:rsidRDefault="003378B5" w:rsidP="003378B5">
      <w:pPr>
        <w:pStyle w:val="a5"/>
        <w:spacing w:before="240" w:after="240" w:line="420" w:lineRule="atLeast"/>
        <w:jc w:val="both"/>
        <w:rPr>
          <w:rFonts w:ascii="Helvetica" w:eastAsia="Helvetica" w:hAnsi="Helvetica" w:cs="Helvetica"/>
          <w:color w:val="333333"/>
          <w:sz w:val="19"/>
          <w:szCs w:val="19"/>
        </w:rPr>
      </w:pPr>
      <w:r w:rsidRPr="003378B5">
        <w:rPr>
          <w:rFonts w:ascii="Helvetica" w:eastAsia="Helvetica" w:hAnsi="Helvetica" w:cs="Helvetica"/>
          <w:color w:val="333333"/>
          <w:sz w:val="19"/>
          <w:szCs w:val="19"/>
        </w:rPr>
        <w:t xml:space="preserve">    公立医院</w:t>
      </w:r>
    </w:p>
    <w:p w:rsidR="003378B5" w:rsidRPr="003378B5" w:rsidRDefault="003378B5" w:rsidP="003378B5">
      <w:pPr>
        <w:pStyle w:val="a5"/>
        <w:spacing w:before="240" w:after="240" w:line="420" w:lineRule="atLeast"/>
        <w:jc w:val="both"/>
        <w:rPr>
          <w:rFonts w:ascii="Helvetica" w:eastAsia="Helvetica" w:hAnsi="Helvetica" w:cs="Helvetica"/>
          <w:color w:val="333333"/>
          <w:sz w:val="19"/>
          <w:szCs w:val="19"/>
        </w:rPr>
      </w:pPr>
      <w:r w:rsidRPr="003378B5">
        <w:rPr>
          <w:rFonts w:ascii="Helvetica" w:eastAsia="Helvetica" w:hAnsi="Helvetica" w:cs="Helvetica"/>
          <w:color w:val="333333"/>
          <w:sz w:val="19"/>
          <w:szCs w:val="19"/>
        </w:rPr>
        <w:t xml:space="preserve">    私立医院</w:t>
      </w:r>
    </w:p>
    <w:p w:rsidR="000B429F" w:rsidRDefault="005141CD" w:rsidP="00D01E35">
      <w:pPr>
        <w:pStyle w:val="a5"/>
        <w:widowControl/>
        <w:spacing w:before="240" w:beforeAutospacing="0" w:after="240" w:afterAutospacing="0" w:line="420" w:lineRule="atLeast"/>
        <w:jc w:val="both"/>
        <w:rPr>
          <w:b/>
          <w:szCs w:val="24"/>
        </w:rPr>
      </w:pPr>
      <w:r>
        <w:rPr>
          <w:b/>
          <w:szCs w:val="24"/>
        </w:rPr>
        <w:t>报告包含的主要地区和国家：</w:t>
      </w:r>
    </w:p>
    <w:p w:rsidR="000B429F" w:rsidRDefault="005141CD">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0B429F" w:rsidRDefault="005141CD">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0B429F" w:rsidRDefault="005141CD">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0B429F" w:rsidRDefault="005141CD">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0B429F" w:rsidRDefault="005141CD">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0B429F" w:rsidRDefault="005141CD">
      <w:pPr>
        <w:pStyle w:val="a5"/>
        <w:widowControl/>
        <w:spacing w:before="240" w:beforeAutospacing="0" w:after="240" w:afterAutospacing="0" w:line="420" w:lineRule="atLeast"/>
        <w:jc w:val="both"/>
        <w:rPr>
          <w:b/>
          <w:szCs w:val="24"/>
        </w:rPr>
      </w:pPr>
      <w:r>
        <w:rPr>
          <w:rFonts w:hint="eastAsia"/>
          <w:b/>
          <w:szCs w:val="24"/>
        </w:rPr>
        <w:t>报告正文共</w:t>
      </w:r>
      <w:r>
        <w:rPr>
          <w:rFonts w:hint="eastAsia"/>
          <w:b/>
          <w:szCs w:val="24"/>
        </w:rPr>
        <w:t>11</w:t>
      </w:r>
      <w:r>
        <w:rPr>
          <w:rFonts w:hint="eastAsia"/>
          <w:b/>
          <w:szCs w:val="24"/>
        </w:rPr>
        <w:t>章，各章节主要内容如下：</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第1章：报告统计范围、产品细分、下游应用领域，以及行业发展总体概况、有利和不利因素、进入壁垒等；</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第2章：全球市场供需情况、中国地区供需情况，包括主要地区</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产量、销量、收入、价格及市场份额等；</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第3章：全球主要地区和国家，</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销量和销售收入，</w:t>
      </w:r>
      <w:r w:rsidR="00743420">
        <w:rPr>
          <w:rFonts w:ascii="Helvetica" w:eastAsia="Helvetica" w:hAnsi="Helvetica" w:cs="Helvetica"/>
          <w:color w:val="333333"/>
          <w:sz w:val="19"/>
          <w:szCs w:val="19"/>
        </w:rPr>
        <w:t>2019-2023</w:t>
      </w:r>
      <w:r w:rsidR="00743420">
        <w:rPr>
          <w:rFonts w:ascii="宋体" w:eastAsia="宋体" w:hAnsi="宋体" w:cs="宋体" w:hint="eastAsia"/>
          <w:color w:val="333333"/>
          <w:sz w:val="19"/>
          <w:szCs w:val="19"/>
        </w:rPr>
        <w:t>，及预测</w:t>
      </w:r>
      <w:r w:rsidR="00743420">
        <w:rPr>
          <w:rFonts w:ascii="Helvetica" w:eastAsia="Helvetica" w:hAnsi="Helvetica" w:cs="Helvetica"/>
          <w:color w:val="333333"/>
          <w:sz w:val="19"/>
          <w:szCs w:val="19"/>
        </w:rPr>
        <w:t>2024</w:t>
      </w:r>
      <w:r w:rsidR="00743420">
        <w:rPr>
          <w:rFonts w:ascii="宋体" w:eastAsia="宋体" w:hAnsi="宋体" w:cs="宋体" w:hint="eastAsia"/>
          <w:color w:val="333333"/>
          <w:sz w:val="19"/>
          <w:szCs w:val="19"/>
        </w:rPr>
        <w:t>到</w:t>
      </w:r>
      <w:r w:rsidR="00743420">
        <w:rPr>
          <w:rFonts w:ascii="Helvetica" w:eastAsia="Helvetica" w:hAnsi="Helvetica" w:cs="Helvetica"/>
          <w:color w:val="333333"/>
          <w:sz w:val="19"/>
          <w:szCs w:val="19"/>
        </w:rPr>
        <w:t>2030</w:t>
      </w:r>
      <w:r>
        <w:rPr>
          <w:rFonts w:ascii="Helvetica" w:eastAsia="Helvetica" w:hAnsi="Helvetica" w:cs="Helvetic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第4章：行业竞争格局分析，包括全球市场企业排名及市场份额、中国市场企业排名和份额、主要厂商</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销量、收入、价格和市场份额等；</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第5章：全球市场不同类型</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销量、收入、价格及份额等；</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第6章：全球市场不同应用</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销量、收入、价格及份额等；</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第7章：行业发展环境分析，包括政策、增长驱动因素、技术趋势、营销等；</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第8章：行业供应链分析，包括产业链、主要原料供应情况、下游应用情况、行业采购模式、生产模式、销售模式及销售渠道等；</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第9章：全球市场</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主要厂商基本情况介绍，包括公司简介、</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产品规格型号、销量、价格、收入及公司最新动态等；</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第10章：中国市场</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进出口情况分析；</w:t>
      </w:r>
    </w:p>
    <w:p w:rsidR="000B429F" w:rsidRDefault="005141CD">
      <w:pPr>
        <w:pStyle w:val="a5"/>
        <w:widowControl/>
        <w:spacing w:before="240" w:beforeAutospacing="0" w:after="240" w:afterAutospacing="0" w:line="420" w:lineRule="atLeast"/>
        <w:jc w:val="both"/>
        <w:rPr>
          <w:rFonts w:ascii="Helvetica" w:eastAsia="宋体" w:hAnsi="Helvetica" w:cs="Helvetica"/>
          <w:color w:val="333333"/>
          <w:sz w:val="19"/>
          <w:szCs w:val="19"/>
        </w:rPr>
      </w:pPr>
      <w:r>
        <w:rPr>
          <w:rFonts w:ascii="Helvetica" w:eastAsia="Helvetica" w:hAnsi="Helvetica" w:cs="Helvetica"/>
          <w:color w:val="333333"/>
          <w:sz w:val="19"/>
          <w:szCs w:val="19"/>
        </w:rPr>
        <w:t>第11章：中国市场</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主要生产和消费地区分布</w:t>
      </w:r>
      <w:r>
        <w:rPr>
          <w:rFonts w:ascii="Helvetica" w:eastAsia="宋体" w:hAnsi="Helvetica" w:cs="Helvetica" w:hint="eastAsia"/>
          <w:color w:val="333333"/>
          <w:sz w:val="19"/>
          <w:szCs w:val="19"/>
        </w:rPr>
        <w:t>。</w:t>
      </w:r>
    </w:p>
    <w:p w:rsidR="00B15258" w:rsidRPr="00C725DF" w:rsidRDefault="00B15258" w:rsidP="00B15258">
      <w:pPr>
        <w:rPr>
          <w:b/>
        </w:rPr>
      </w:pPr>
      <w:r w:rsidRPr="00C725DF">
        <w:rPr>
          <w:rFonts w:hint="eastAsia"/>
          <w:b/>
        </w:rPr>
        <w:t>《辰宇信息咨询</w:t>
      </w:r>
      <w:r w:rsidRPr="00C725DF">
        <w:rPr>
          <w:rFonts w:hint="eastAsia"/>
          <w:b/>
        </w:rPr>
        <w:t xml:space="preserve"> /</w:t>
      </w:r>
      <w:r w:rsidRPr="00C725DF">
        <w:rPr>
          <w:rFonts w:hint="eastAsia"/>
          <w:b/>
        </w:rPr>
        <w:t>全球及中国</w:t>
      </w:r>
      <w:r w:rsidR="003378B5">
        <w:rPr>
          <w:rFonts w:hint="eastAsia"/>
          <w:b/>
          <w:bCs/>
        </w:rPr>
        <w:t>硬脑膜补片</w:t>
      </w:r>
      <w:r w:rsidRPr="00C725DF">
        <w:rPr>
          <w:rFonts w:hint="eastAsia"/>
          <w:b/>
        </w:rPr>
        <w:t>行业研究及十</w:t>
      </w:r>
      <w:r w:rsidR="004857F7">
        <w:rPr>
          <w:rFonts w:hint="eastAsia"/>
          <w:b/>
        </w:rPr>
        <w:t>五</w:t>
      </w:r>
      <w:r w:rsidRPr="00C725DF">
        <w:rPr>
          <w:rFonts w:hint="eastAsia"/>
          <w:b/>
        </w:rPr>
        <w:t>五规划分析报告》</w:t>
      </w:r>
    </w:p>
    <w:p w:rsidR="000B429F" w:rsidRDefault="005141CD">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0B429F" w:rsidRDefault="005141CD">
      <w:pPr>
        <w:pStyle w:val="a5"/>
        <w:widowControl/>
        <w:spacing w:before="240" w:beforeAutospacing="0" w:after="240" w:afterAutospacing="0" w:line="420" w:lineRule="atLeast"/>
        <w:jc w:val="both"/>
        <w:rPr>
          <w:b/>
          <w:szCs w:val="24"/>
        </w:rPr>
      </w:pPr>
      <w:r>
        <w:rPr>
          <w:rFonts w:hint="eastAsia"/>
          <w:b/>
          <w:szCs w:val="24"/>
        </w:rPr>
        <w:t xml:space="preserve">1 </w:t>
      </w:r>
      <w:r w:rsidR="003378B5">
        <w:rPr>
          <w:rFonts w:hint="eastAsia"/>
          <w:b/>
          <w:szCs w:val="24"/>
        </w:rPr>
        <w:t>硬脑膜补片</w:t>
      </w:r>
      <w:r>
        <w:rPr>
          <w:rFonts w:hint="eastAsia"/>
          <w:b/>
          <w:szCs w:val="24"/>
        </w:rPr>
        <w:t>市场概述</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1.1 </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行业概述及统计范围</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1.2 按照不同类型，</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主要可以分为如下几个类别</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1.2.1 不同类型</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增长趋势</w:t>
      </w:r>
      <w:r w:rsidR="00743420">
        <w:rPr>
          <w:rFonts w:ascii="Helvetica" w:eastAsia="Helvetica" w:hAnsi="Helvetica" w:cs="Helvetica"/>
          <w:color w:val="333333"/>
          <w:sz w:val="19"/>
          <w:szCs w:val="19"/>
        </w:rPr>
        <w:t>2019 VS 2023 VS 2030</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1.3 从不同</w:t>
      </w:r>
      <w:r>
        <w:rPr>
          <w:rFonts w:ascii="Helvetica" w:eastAsia="宋体" w:hAnsi="Helvetica" w:cs="Helvetica" w:hint="eastAsia"/>
          <w:color w:val="333333"/>
          <w:sz w:val="19"/>
          <w:szCs w:val="19"/>
        </w:rPr>
        <w:t>尺寸或应用</w:t>
      </w:r>
      <w:r>
        <w:rPr>
          <w:rFonts w:ascii="Helvetica" w:eastAsia="Helvetica" w:hAnsi="Helvetica" w:cs="Helvetica"/>
          <w:color w:val="333333"/>
          <w:sz w:val="19"/>
          <w:szCs w:val="19"/>
        </w:rPr>
        <w:t>，</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主要包括如下几个方面</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1.3.1 不同</w:t>
      </w:r>
      <w:r>
        <w:rPr>
          <w:rFonts w:ascii="Helvetica" w:eastAsia="宋体" w:hAnsi="Helvetica" w:cs="Helvetica" w:hint="eastAsia"/>
          <w:color w:val="333333"/>
          <w:sz w:val="19"/>
          <w:szCs w:val="19"/>
        </w:rPr>
        <w:t>尺寸或应用</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增长趋势</w:t>
      </w:r>
      <w:r w:rsidR="00743420">
        <w:rPr>
          <w:rFonts w:ascii="Helvetica" w:eastAsia="Helvetica" w:hAnsi="Helvetica" w:cs="Helvetica"/>
          <w:color w:val="333333"/>
          <w:sz w:val="19"/>
          <w:szCs w:val="19"/>
        </w:rPr>
        <w:t>2019 VS 2023 VS 2030</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1.4 行业发展现状分析</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1.4.1 </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行业发展总体概况</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1.4.2 </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行业发展主要特点</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1.4.3 </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行业发展影响因素</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1.4.4 进入行业壁垒</w:t>
      </w:r>
    </w:p>
    <w:p w:rsidR="000B429F" w:rsidRDefault="005141CD">
      <w:pPr>
        <w:pStyle w:val="a5"/>
        <w:widowControl/>
        <w:spacing w:before="240" w:beforeAutospacing="0" w:after="240" w:afterAutospacing="0" w:line="420" w:lineRule="atLeast"/>
        <w:jc w:val="both"/>
        <w:rPr>
          <w:b/>
          <w:szCs w:val="24"/>
        </w:rPr>
      </w:pPr>
      <w:r>
        <w:rPr>
          <w:b/>
          <w:szCs w:val="24"/>
        </w:rPr>
        <w:t xml:space="preserve">2 </w:t>
      </w:r>
      <w:r>
        <w:rPr>
          <w:b/>
          <w:szCs w:val="24"/>
        </w:rPr>
        <w:t>行业发展现状及</w:t>
      </w:r>
      <w:r>
        <w:rPr>
          <w:b/>
          <w:szCs w:val="24"/>
        </w:rPr>
        <w:t>“</w:t>
      </w:r>
      <w:r>
        <w:rPr>
          <w:b/>
          <w:szCs w:val="24"/>
        </w:rPr>
        <w:t>十四五</w:t>
      </w:r>
      <w:r>
        <w:rPr>
          <w:b/>
          <w:szCs w:val="24"/>
        </w:rPr>
        <w:t>”</w:t>
      </w:r>
      <w:r>
        <w:rPr>
          <w:b/>
          <w:szCs w:val="24"/>
        </w:rPr>
        <w:t>前景预测</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2.1 全球</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供需现状及预测</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2.1.1 全球</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产能、产量、产能利用率及发展趋势</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2.1.2 全球</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产量、需求量及发展趋势</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2.1.3 全球主要地区</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产量及发展趋势</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2.2 中国</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供需现状及预测</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2.2.1 中国</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产能、产量、产能利用率及发展趋势</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2.2.2 中国</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产量、市场需求量及发展趋势</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2.2.3 中国</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产能和产量占全球的比重</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2.3 全球</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销量及收入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2.3.1 全球市场</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2.3.2 全球市场</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2.3.3 全球市场</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价格趋势</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2.4 中国</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销量及收入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2.4.1 中国市场</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2.4.2 中国市场</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2.4.3 中国市场</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销量和收入占全球的比重</w:t>
      </w:r>
    </w:p>
    <w:p w:rsidR="000B429F" w:rsidRDefault="005141CD">
      <w:pPr>
        <w:pStyle w:val="a5"/>
        <w:widowControl/>
        <w:spacing w:before="240" w:beforeAutospacing="0" w:after="240" w:afterAutospacing="0" w:line="420" w:lineRule="atLeast"/>
        <w:jc w:val="both"/>
        <w:rPr>
          <w:b/>
          <w:szCs w:val="24"/>
        </w:rPr>
      </w:pPr>
      <w:r>
        <w:rPr>
          <w:b/>
          <w:szCs w:val="24"/>
        </w:rPr>
        <w:t xml:space="preserve">3 </w:t>
      </w:r>
      <w:r>
        <w:rPr>
          <w:b/>
          <w:szCs w:val="24"/>
        </w:rPr>
        <w:t>全球</w:t>
      </w:r>
      <w:r w:rsidR="003378B5">
        <w:rPr>
          <w:rFonts w:hint="eastAsia"/>
          <w:b/>
          <w:szCs w:val="24"/>
        </w:rPr>
        <w:t>硬脑膜补片</w:t>
      </w:r>
      <w:r>
        <w:rPr>
          <w:b/>
          <w:szCs w:val="24"/>
        </w:rPr>
        <w:t>主要地区分析</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3.1 全球主要地区</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市场规模分析：</w:t>
      </w:r>
      <w:r w:rsidR="00743420">
        <w:rPr>
          <w:rFonts w:ascii="Helvetica" w:eastAsia="Helvetica" w:hAnsi="Helvetica" w:cs="Helvetica"/>
          <w:color w:val="333333"/>
          <w:sz w:val="19"/>
          <w:szCs w:val="19"/>
        </w:rPr>
        <w:t>2019 VS 2023 VS 2030</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3.1.1 全球主要地区</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销售收入及市场份额</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年）</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3.1.2 全球主要地区</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销售收入预测（</w:t>
      </w:r>
      <w:r w:rsidR="00316DFB">
        <w:rPr>
          <w:rFonts w:ascii="Helvetica" w:eastAsia="Helvetica" w:hAnsi="Helvetica" w:cs="Helvetica"/>
          <w:color w:val="333333"/>
          <w:sz w:val="19"/>
          <w:szCs w:val="19"/>
        </w:rPr>
        <w:t>2024-2029</w:t>
      </w:r>
      <w:r>
        <w:rPr>
          <w:rFonts w:ascii="Helvetica" w:eastAsia="Helvetica" w:hAnsi="Helvetica" w:cs="Helvetica"/>
          <w:color w:val="333333"/>
          <w:sz w:val="19"/>
          <w:szCs w:val="19"/>
        </w:rPr>
        <w:t>年）</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3.2 全球主要地区</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销量分析：</w:t>
      </w:r>
      <w:r w:rsidR="00743420">
        <w:rPr>
          <w:rFonts w:ascii="Helvetica" w:eastAsia="Helvetica" w:hAnsi="Helvetica" w:cs="Helvetica"/>
          <w:color w:val="333333"/>
          <w:sz w:val="19"/>
          <w:szCs w:val="19"/>
        </w:rPr>
        <w:t>2019 VS 2023 VS 2030</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3.2.1 全球主要地区</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销量及市场份额</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年）</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3.2.2 全球主要地区</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销量及市场份额预测（</w:t>
      </w:r>
      <w:r w:rsidR="00316DFB">
        <w:rPr>
          <w:rFonts w:ascii="Helvetica" w:eastAsia="Helvetica" w:hAnsi="Helvetica" w:cs="Helvetica"/>
          <w:color w:val="333333"/>
          <w:sz w:val="19"/>
          <w:szCs w:val="19"/>
        </w:rPr>
        <w:t>2024-2029</w:t>
      </w:r>
      <w:r>
        <w:rPr>
          <w:rFonts w:ascii="Helvetica" w:eastAsia="Helvetica" w:hAnsi="Helvetica" w:cs="Helvetic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3.3 北美（美国和加拿大）</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3.3.1 北美（美国和加拿大）</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3.3.2 北美（美国和加拿大）</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3.4 欧洲（德国、英国、法国和意大利等国家）</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3.4.1 欧洲（德国、英国、法国和意大利等国家）</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3.4.2 欧洲（德国、英国、法国和意大利等国家）</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3.5 亚太地区（中国、日本、韩国、中国台湾、印度和东南亚等）</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3.5.1 亚太（中国、日本、韩国、中国台湾、印度和东南亚等）</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3.5.2 亚太（中国、日本、韩国、中国台湾、印度和东南亚等）</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3.6 拉美地区（墨西哥、巴西等国家）</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3.6.1 拉美地区（墨西哥、巴西等国家）</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3.6.2 拉美地区（墨西哥、巴西等国家）</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3.7 中东及非洲</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3.7.1 中东及非洲（土耳其、沙特等国家）</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3.7.2 中东及非洲（土耳其、沙特等国家）</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b/>
          <w:szCs w:val="24"/>
        </w:rPr>
      </w:pPr>
      <w:r>
        <w:rPr>
          <w:b/>
          <w:szCs w:val="24"/>
        </w:rPr>
        <w:t xml:space="preserve">4 </w:t>
      </w:r>
      <w:r>
        <w:rPr>
          <w:b/>
          <w:szCs w:val="24"/>
        </w:rPr>
        <w:t>行业竞争格局</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4.1 全球市场竞争格局分析</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4.1.1 全球市场主要厂商</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产能市场份额</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4.1.2 全球市场主要厂商</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4.1.3 全球市场主要厂商</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销售收入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4.1.4 全球市场主要厂商</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销售价格</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4.1.5 2021年全球主要生产商</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收入排名</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4.2 中国市场竞争格局</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4.2.1 中国市场主要厂商</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4.2.2 中国市场主要厂商</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销售收入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4.2.3 中国市场主要厂商</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销售价格</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4.2.4 2021年中国主要生产商</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收入排名</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4.3 全球主要厂商</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产地分布及商业化日期</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4.4 全球主要厂商</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产品类型列表</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4.5 </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行业集中度、竞争程度分析</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4.5.1 </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行业集中度分析：全球头部厂商份额（Top 5）</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4.5.2 全球</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第一梯队、第二梯队和第三梯队生产商（品牌）及市场份额</w:t>
      </w:r>
    </w:p>
    <w:p w:rsidR="000B429F" w:rsidRDefault="005141CD">
      <w:pPr>
        <w:pStyle w:val="a5"/>
        <w:widowControl/>
        <w:spacing w:before="240" w:beforeAutospacing="0" w:after="240" w:afterAutospacing="0" w:line="420" w:lineRule="atLeast"/>
        <w:jc w:val="both"/>
        <w:rPr>
          <w:b/>
          <w:szCs w:val="24"/>
        </w:rPr>
      </w:pPr>
      <w:r>
        <w:rPr>
          <w:b/>
          <w:szCs w:val="24"/>
        </w:rPr>
        <w:t xml:space="preserve">5 </w:t>
      </w:r>
      <w:r>
        <w:rPr>
          <w:b/>
          <w:szCs w:val="24"/>
        </w:rPr>
        <w:t>不同类型</w:t>
      </w:r>
      <w:r w:rsidR="003378B5">
        <w:rPr>
          <w:rFonts w:hint="eastAsia"/>
          <w:b/>
          <w:szCs w:val="24"/>
        </w:rPr>
        <w:t>硬脑膜补片</w:t>
      </w:r>
      <w:r>
        <w:rPr>
          <w:b/>
          <w:szCs w:val="24"/>
        </w:rPr>
        <w:t>分析</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5.1 全球市场不同类型</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5.1.1 全球市场不同类型</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销量及市场份额</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5.1.2 全球市场不同类型</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销量预测（</w:t>
      </w:r>
      <w:r w:rsidR="00316DFB">
        <w:rPr>
          <w:rFonts w:ascii="Helvetica" w:eastAsia="Helvetica" w:hAnsi="Helvetica" w:cs="Helvetica"/>
          <w:color w:val="333333"/>
          <w:sz w:val="19"/>
          <w:szCs w:val="19"/>
        </w:rPr>
        <w:t>2024-2029</w:t>
      </w:r>
      <w:r>
        <w:rPr>
          <w:rFonts w:ascii="Helvetica" w:eastAsia="Helvetica" w:hAnsi="Helvetica" w:cs="Helvetic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5.2 全球市场不同类型</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5.2.1 全球市场不同类型</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收入及市场份额</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5.2.2 全球市场不同类型</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收入预测（</w:t>
      </w:r>
      <w:r w:rsidR="00316DFB">
        <w:rPr>
          <w:rFonts w:ascii="Helvetica" w:eastAsia="Helvetica" w:hAnsi="Helvetica" w:cs="Helvetica"/>
          <w:color w:val="333333"/>
          <w:sz w:val="19"/>
          <w:szCs w:val="19"/>
        </w:rPr>
        <w:t>2024-2029</w:t>
      </w:r>
      <w:r>
        <w:rPr>
          <w:rFonts w:ascii="Helvetica" w:eastAsia="Helvetica" w:hAnsi="Helvetica" w:cs="Helvetic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5.3 全球市场不同类型</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价格走势</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5.4 中国市场不同类型</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5.4.1 中国市场不同类型</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销量及市场份额</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5.4.2 中国市场不同类型</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销量预测（</w:t>
      </w:r>
      <w:r w:rsidR="00316DFB">
        <w:rPr>
          <w:rFonts w:ascii="Helvetica" w:eastAsia="Helvetica" w:hAnsi="Helvetica" w:cs="Helvetica"/>
          <w:color w:val="333333"/>
          <w:sz w:val="19"/>
          <w:szCs w:val="19"/>
        </w:rPr>
        <w:t>2024-2029</w:t>
      </w:r>
      <w:r>
        <w:rPr>
          <w:rFonts w:ascii="Helvetica" w:eastAsia="Helvetica" w:hAnsi="Helvetica" w:cs="Helvetic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5.5 中国市场不同类型</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5.5.1 中国市场不同类型</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收入及市场份额</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5.5.2 中国市场不同类型</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收入预测（</w:t>
      </w:r>
      <w:r w:rsidR="00316DFB">
        <w:rPr>
          <w:rFonts w:ascii="Helvetica" w:eastAsia="Helvetica" w:hAnsi="Helvetica" w:cs="Helvetica"/>
          <w:color w:val="333333"/>
          <w:sz w:val="19"/>
          <w:szCs w:val="19"/>
        </w:rPr>
        <w:t>2024-2029</w:t>
      </w:r>
      <w:r>
        <w:rPr>
          <w:rFonts w:ascii="Helvetica" w:eastAsia="Helvetica" w:hAnsi="Helvetica" w:cs="Helvetica"/>
          <w:color w:val="333333"/>
          <w:sz w:val="19"/>
          <w:szCs w:val="19"/>
        </w:rPr>
        <w:t>）</w:t>
      </w:r>
    </w:p>
    <w:p w:rsidR="000B429F" w:rsidRDefault="005141CD">
      <w:pPr>
        <w:pStyle w:val="a5"/>
        <w:widowControl/>
        <w:spacing w:before="240" w:beforeAutospacing="0" w:after="240" w:afterAutospacing="0" w:line="420" w:lineRule="atLeast"/>
        <w:jc w:val="both"/>
        <w:rPr>
          <w:b/>
          <w:szCs w:val="24"/>
        </w:rPr>
      </w:pPr>
      <w:r>
        <w:rPr>
          <w:b/>
          <w:szCs w:val="24"/>
        </w:rPr>
        <w:t xml:space="preserve">6 </w:t>
      </w:r>
      <w:r>
        <w:rPr>
          <w:b/>
          <w:szCs w:val="24"/>
        </w:rPr>
        <w:t>不同</w:t>
      </w:r>
      <w:r>
        <w:rPr>
          <w:rFonts w:hint="eastAsia"/>
          <w:b/>
          <w:szCs w:val="24"/>
        </w:rPr>
        <w:t>应用</w:t>
      </w:r>
      <w:r w:rsidR="003378B5">
        <w:rPr>
          <w:rFonts w:hint="eastAsia"/>
          <w:b/>
          <w:szCs w:val="24"/>
        </w:rPr>
        <w:t>硬脑膜补片</w:t>
      </w:r>
      <w:r>
        <w:rPr>
          <w:b/>
          <w:szCs w:val="24"/>
        </w:rPr>
        <w:t>分析</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6.1 全球市场不同</w:t>
      </w:r>
      <w:r>
        <w:rPr>
          <w:rFonts w:ascii="Helvetica" w:eastAsia="宋体" w:hAnsi="Helvetica" w:cs="Helvetica" w:hint="eastAsia"/>
          <w:color w:val="333333"/>
          <w:sz w:val="19"/>
          <w:szCs w:val="19"/>
        </w:rPr>
        <w:t>应用</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6.1.1 全球市场不同</w:t>
      </w:r>
      <w:r>
        <w:rPr>
          <w:rFonts w:ascii="Helvetica" w:eastAsia="宋体" w:hAnsi="Helvetica" w:cs="Helvetica" w:hint="eastAsia"/>
          <w:color w:val="333333"/>
          <w:sz w:val="19"/>
          <w:szCs w:val="19"/>
        </w:rPr>
        <w:t>应用</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销量及市场份额</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6.1.2 全球市场不同</w:t>
      </w:r>
      <w:r>
        <w:rPr>
          <w:rFonts w:ascii="Helvetica" w:eastAsia="宋体" w:hAnsi="Helvetica" w:cs="Helvetica" w:hint="eastAsia"/>
          <w:color w:val="333333"/>
          <w:sz w:val="19"/>
          <w:szCs w:val="19"/>
        </w:rPr>
        <w:t>应用</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销量预测（</w:t>
      </w:r>
      <w:r w:rsidR="00316DFB">
        <w:rPr>
          <w:rFonts w:ascii="Helvetica" w:eastAsia="Helvetica" w:hAnsi="Helvetica" w:cs="Helvetica"/>
          <w:color w:val="333333"/>
          <w:sz w:val="19"/>
          <w:szCs w:val="19"/>
        </w:rPr>
        <w:t>2024-2029</w:t>
      </w:r>
      <w:r>
        <w:rPr>
          <w:rFonts w:ascii="Helvetica" w:eastAsia="Helvetica" w:hAnsi="Helvetica" w:cs="Helvetic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6.2 全球市场不同</w:t>
      </w:r>
      <w:r>
        <w:rPr>
          <w:rFonts w:ascii="Helvetica" w:eastAsia="宋体" w:hAnsi="Helvetica" w:cs="Helvetica" w:hint="eastAsia"/>
          <w:color w:val="333333"/>
          <w:sz w:val="19"/>
          <w:szCs w:val="19"/>
        </w:rPr>
        <w:t>应用</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6.2.1 全球市场不同</w:t>
      </w:r>
      <w:r>
        <w:rPr>
          <w:rFonts w:ascii="Helvetica" w:eastAsia="宋体" w:hAnsi="Helvetica" w:cs="Helvetica" w:hint="eastAsia"/>
          <w:color w:val="333333"/>
          <w:sz w:val="19"/>
          <w:szCs w:val="19"/>
        </w:rPr>
        <w:t>应用</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收入及市场份额</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6.2.2 全球市场不同</w:t>
      </w:r>
      <w:r>
        <w:rPr>
          <w:rFonts w:ascii="Helvetica" w:eastAsia="宋体" w:hAnsi="Helvetica" w:cs="Helvetica" w:hint="eastAsia"/>
          <w:color w:val="333333"/>
          <w:sz w:val="19"/>
          <w:szCs w:val="19"/>
        </w:rPr>
        <w:t>应用</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收入预测（</w:t>
      </w:r>
      <w:r w:rsidR="00316DFB">
        <w:rPr>
          <w:rFonts w:ascii="Helvetica" w:eastAsia="Helvetica" w:hAnsi="Helvetica" w:cs="Helvetica"/>
          <w:color w:val="333333"/>
          <w:sz w:val="19"/>
          <w:szCs w:val="19"/>
        </w:rPr>
        <w:t>2024-2029</w:t>
      </w:r>
      <w:r>
        <w:rPr>
          <w:rFonts w:ascii="Helvetica" w:eastAsia="Helvetica" w:hAnsi="Helvetica" w:cs="Helvetic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6.3 全球市场不同</w:t>
      </w:r>
      <w:r>
        <w:rPr>
          <w:rFonts w:ascii="Helvetica" w:eastAsia="宋体" w:hAnsi="Helvetica" w:cs="Helvetica" w:hint="eastAsia"/>
          <w:color w:val="333333"/>
          <w:sz w:val="19"/>
          <w:szCs w:val="19"/>
        </w:rPr>
        <w:t>应用</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价格走势</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6.4 中国市场不同</w:t>
      </w:r>
      <w:r>
        <w:rPr>
          <w:rFonts w:ascii="Helvetica" w:eastAsia="宋体" w:hAnsi="Helvetica" w:cs="Helvetica" w:hint="eastAsia"/>
          <w:color w:val="333333"/>
          <w:sz w:val="19"/>
          <w:szCs w:val="19"/>
        </w:rPr>
        <w:t>应用</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6.4.1 中国市场不同</w:t>
      </w:r>
      <w:r>
        <w:rPr>
          <w:rFonts w:ascii="Helvetica" w:eastAsia="宋体" w:hAnsi="Helvetica" w:cs="Helvetica" w:hint="eastAsia"/>
          <w:color w:val="333333"/>
          <w:sz w:val="19"/>
          <w:szCs w:val="19"/>
        </w:rPr>
        <w:t>应用</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销量及市场份额</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6.4.2 中国市场不同</w:t>
      </w:r>
      <w:r>
        <w:rPr>
          <w:rFonts w:ascii="Helvetica" w:eastAsia="宋体" w:hAnsi="Helvetica" w:cs="Helvetica" w:hint="eastAsia"/>
          <w:color w:val="333333"/>
          <w:sz w:val="19"/>
          <w:szCs w:val="19"/>
        </w:rPr>
        <w:t>应用</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销量预测（</w:t>
      </w:r>
      <w:r w:rsidR="00316DFB">
        <w:rPr>
          <w:rFonts w:ascii="Helvetica" w:eastAsia="Helvetica" w:hAnsi="Helvetica" w:cs="Helvetica"/>
          <w:color w:val="333333"/>
          <w:sz w:val="19"/>
          <w:szCs w:val="19"/>
        </w:rPr>
        <w:t>2024-2029</w:t>
      </w:r>
      <w:r>
        <w:rPr>
          <w:rFonts w:ascii="Helvetica" w:eastAsia="Helvetica" w:hAnsi="Helvetica" w:cs="Helvetic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6.5 中国市场不同</w:t>
      </w:r>
      <w:r>
        <w:rPr>
          <w:rFonts w:ascii="Helvetica" w:eastAsia="宋体" w:hAnsi="Helvetica" w:cs="Helvetica" w:hint="eastAsia"/>
          <w:color w:val="333333"/>
          <w:sz w:val="19"/>
          <w:szCs w:val="19"/>
        </w:rPr>
        <w:t>应用</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6.5.1 中国市场不同</w:t>
      </w:r>
      <w:r>
        <w:rPr>
          <w:rFonts w:ascii="Helvetica" w:eastAsia="宋体" w:hAnsi="Helvetica" w:cs="Helvetica" w:hint="eastAsia"/>
          <w:color w:val="333333"/>
          <w:sz w:val="19"/>
          <w:szCs w:val="19"/>
        </w:rPr>
        <w:t>应用</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收入及市场份额</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6.5.2 中国市场不同</w:t>
      </w:r>
      <w:r>
        <w:rPr>
          <w:rFonts w:ascii="Helvetica" w:eastAsia="宋体" w:hAnsi="Helvetica" w:cs="Helvetica" w:hint="eastAsia"/>
          <w:color w:val="333333"/>
          <w:sz w:val="19"/>
          <w:szCs w:val="19"/>
        </w:rPr>
        <w:t>应用</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收入预测（</w:t>
      </w:r>
      <w:r w:rsidR="00316DFB">
        <w:rPr>
          <w:rFonts w:ascii="Helvetica" w:eastAsia="Helvetica" w:hAnsi="Helvetica" w:cs="Helvetica"/>
          <w:color w:val="333333"/>
          <w:sz w:val="19"/>
          <w:szCs w:val="19"/>
        </w:rPr>
        <w:t>2024-2029</w:t>
      </w:r>
      <w:r>
        <w:rPr>
          <w:rFonts w:ascii="Helvetica" w:eastAsia="Helvetica" w:hAnsi="Helvetica" w:cs="Helvetica"/>
          <w:color w:val="333333"/>
          <w:sz w:val="19"/>
          <w:szCs w:val="19"/>
        </w:rPr>
        <w:t>）</w:t>
      </w:r>
    </w:p>
    <w:p w:rsidR="000B429F" w:rsidRDefault="005141CD">
      <w:pPr>
        <w:pStyle w:val="a5"/>
        <w:widowControl/>
        <w:spacing w:before="240" w:beforeAutospacing="0" w:after="240" w:afterAutospacing="0" w:line="420" w:lineRule="atLeast"/>
        <w:jc w:val="both"/>
        <w:rPr>
          <w:b/>
          <w:szCs w:val="24"/>
        </w:rPr>
      </w:pPr>
      <w:r>
        <w:rPr>
          <w:b/>
          <w:szCs w:val="24"/>
        </w:rPr>
        <w:t xml:space="preserve">7 </w:t>
      </w:r>
      <w:r>
        <w:rPr>
          <w:b/>
          <w:szCs w:val="24"/>
        </w:rPr>
        <w:t>行业发展环境分析</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7.1 </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行业发展趋势</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7.2 </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行业主要驱动因素</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7.3 </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中国企业SWOT分析</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7.4 中国</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行业政策环境分析</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7.4.1 行业主管部门及监管体制</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7.4.2 行业相关政策动向</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7.4.3 行业相关规划</w:t>
      </w:r>
    </w:p>
    <w:p w:rsidR="000B429F" w:rsidRDefault="005141CD">
      <w:pPr>
        <w:pStyle w:val="a5"/>
        <w:widowControl/>
        <w:spacing w:before="240" w:beforeAutospacing="0" w:after="240" w:afterAutospacing="0" w:line="420" w:lineRule="atLeast"/>
        <w:jc w:val="both"/>
        <w:rPr>
          <w:b/>
          <w:szCs w:val="24"/>
        </w:rPr>
      </w:pPr>
      <w:r>
        <w:rPr>
          <w:b/>
          <w:szCs w:val="24"/>
        </w:rPr>
        <w:t xml:space="preserve">8 </w:t>
      </w:r>
      <w:r>
        <w:rPr>
          <w:b/>
          <w:szCs w:val="24"/>
        </w:rPr>
        <w:t>行业供应链分析</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8.1 全球产业链趋势</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8.2 </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行业产业链简介</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8.2.1 </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行业供应链分析</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8.2.2 </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主要原料及供应情况</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8.2.3 </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行业主要下游客户</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8.3 </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行业采购模式</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8.4 </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行业生产模式</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8.5 </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行业销售模式及销售渠道</w:t>
      </w:r>
    </w:p>
    <w:p w:rsidR="000B429F" w:rsidRDefault="005141CD">
      <w:pPr>
        <w:pStyle w:val="a5"/>
        <w:widowControl/>
        <w:spacing w:before="240" w:beforeAutospacing="0" w:after="240" w:afterAutospacing="0" w:line="420" w:lineRule="atLeast"/>
        <w:jc w:val="both"/>
        <w:rPr>
          <w:b/>
          <w:szCs w:val="24"/>
        </w:rPr>
      </w:pPr>
      <w:r>
        <w:rPr>
          <w:b/>
          <w:szCs w:val="24"/>
        </w:rPr>
        <w:t xml:space="preserve">9 </w:t>
      </w:r>
      <w:r>
        <w:rPr>
          <w:b/>
          <w:szCs w:val="24"/>
        </w:rPr>
        <w:t>全球市场主要</w:t>
      </w:r>
      <w:r w:rsidR="003378B5">
        <w:rPr>
          <w:rFonts w:hint="eastAsia"/>
          <w:b/>
          <w:szCs w:val="24"/>
        </w:rPr>
        <w:t>硬脑膜补片</w:t>
      </w:r>
      <w:r>
        <w:rPr>
          <w:b/>
          <w:szCs w:val="24"/>
        </w:rPr>
        <w:t>厂商简介</w:t>
      </w:r>
    </w:p>
    <w:p w:rsidR="00743420" w:rsidRPr="00743420" w:rsidRDefault="00743420" w:rsidP="00743420">
      <w:pPr>
        <w:pStyle w:val="a5"/>
        <w:spacing w:beforeAutospacing="0" w:afterAutospacing="0"/>
        <w:jc w:val="both"/>
        <w:rPr>
          <w:rFonts w:ascii="Helvetica" w:hAnsi="Helvetica" w:cs="Helvetica"/>
          <w:color w:val="333333"/>
          <w:sz w:val="19"/>
          <w:szCs w:val="19"/>
        </w:rPr>
      </w:pPr>
      <w:r w:rsidRPr="00743420">
        <w:rPr>
          <w:rFonts w:ascii="Helvetica" w:hAnsi="Helvetica" w:cs="Helvetica" w:hint="eastAsia"/>
          <w:color w:val="333333"/>
          <w:sz w:val="19"/>
          <w:szCs w:val="19"/>
        </w:rPr>
        <w:t>企业一</w:t>
      </w:r>
      <w:r w:rsidRPr="00743420">
        <w:rPr>
          <w:rFonts w:ascii="Helvetica" w:hAnsi="Helvetica" w:cs="Helvetica"/>
          <w:color w:val="333333"/>
          <w:sz w:val="19"/>
          <w:szCs w:val="19"/>
        </w:rPr>
        <w:tab/>
      </w:r>
    </w:p>
    <w:p w:rsidR="00743420" w:rsidRPr="00743420" w:rsidRDefault="00743420" w:rsidP="00743420">
      <w:pPr>
        <w:pStyle w:val="a5"/>
        <w:spacing w:beforeAutospacing="0" w:afterAutospacing="0"/>
        <w:jc w:val="both"/>
        <w:rPr>
          <w:rFonts w:ascii="Helvetica" w:hAnsi="Helvetica" w:cs="Helvetica"/>
          <w:color w:val="333333"/>
          <w:sz w:val="19"/>
          <w:szCs w:val="19"/>
        </w:rPr>
      </w:pPr>
      <w:r w:rsidRPr="00743420">
        <w:rPr>
          <w:rFonts w:ascii="Helvetica" w:hAnsi="Helvetica" w:cs="Helvetica" w:hint="eastAsia"/>
          <w:color w:val="333333"/>
          <w:sz w:val="19"/>
          <w:szCs w:val="19"/>
        </w:rPr>
        <w:t>企业一公司信息、</w:t>
      </w:r>
      <w:r w:rsidR="003378B5">
        <w:rPr>
          <w:rFonts w:ascii="Helvetica" w:hAnsi="Helvetica" w:cs="Helvetica" w:hint="eastAsia"/>
          <w:color w:val="333333"/>
          <w:sz w:val="19"/>
          <w:szCs w:val="19"/>
        </w:rPr>
        <w:t>硬脑膜补片</w:t>
      </w:r>
      <w:r w:rsidRPr="00743420">
        <w:rPr>
          <w:rFonts w:ascii="Helvetica" w:hAnsi="Helvetica" w:cs="Helvetica" w:hint="eastAsia"/>
          <w:color w:val="333333"/>
          <w:sz w:val="19"/>
          <w:szCs w:val="19"/>
        </w:rPr>
        <w:t>生产基地、销售区域、竞争对手及市场地位</w:t>
      </w:r>
      <w:r w:rsidRPr="00743420">
        <w:rPr>
          <w:rFonts w:ascii="Helvetica" w:hAnsi="Helvetica" w:cs="Helvetica" w:hint="eastAsia"/>
          <w:color w:val="333333"/>
          <w:sz w:val="19"/>
          <w:szCs w:val="19"/>
        </w:rPr>
        <w:tab/>
      </w:r>
    </w:p>
    <w:p w:rsidR="00743420" w:rsidRPr="00743420" w:rsidRDefault="00743420" w:rsidP="00743420">
      <w:pPr>
        <w:pStyle w:val="a5"/>
        <w:spacing w:beforeAutospacing="0" w:afterAutospacing="0"/>
        <w:jc w:val="both"/>
        <w:rPr>
          <w:rFonts w:ascii="Helvetica" w:hAnsi="Helvetica" w:cs="Helvetica"/>
          <w:color w:val="333333"/>
          <w:sz w:val="19"/>
          <w:szCs w:val="19"/>
        </w:rPr>
      </w:pPr>
      <w:r w:rsidRPr="00743420">
        <w:rPr>
          <w:rFonts w:ascii="Helvetica" w:hAnsi="Helvetica" w:cs="Helvetica" w:hint="eastAsia"/>
          <w:color w:val="333333"/>
          <w:sz w:val="19"/>
          <w:szCs w:val="19"/>
        </w:rPr>
        <w:t>企业一</w:t>
      </w:r>
      <w:r w:rsidR="003378B5">
        <w:rPr>
          <w:rFonts w:ascii="Helvetica" w:hAnsi="Helvetica" w:cs="Helvetica" w:hint="eastAsia"/>
          <w:color w:val="333333"/>
          <w:sz w:val="19"/>
          <w:szCs w:val="19"/>
        </w:rPr>
        <w:t>硬脑膜补片</w:t>
      </w:r>
      <w:r w:rsidRPr="00743420">
        <w:rPr>
          <w:rFonts w:ascii="Helvetica" w:hAnsi="Helvetica" w:cs="Helvetica" w:hint="eastAsia"/>
          <w:color w:val="333333"/>
          <w:sz w:val="19"/>
          <w:szCs w:val="19"/>
        </w:rPr>
        <w:t>产品规格、参数及市场应用</w:t>
      </w:r>
      <w:r w:rsidRPr="00743420">
        <w:rPr>
          <w:rFonts w:ascii="Helvetica" w:hAnsi="Helvetica" w:cs="Helvetica" w:hint="eastAsia"/>
          <w:color w:val="333333"/>
          <w:sz w:val="19"/>
          <w:szCs w:val="19"/>
        </w:rPr>
        <w:tab/>
      </w:r>
    </w:p>
    <w:p w:rsidR="00743420" w:rsidRPr="00743420" w:rsidRDefault="00743420" w:rsidP="00743420">
      <w:pPr>
        <w:pStyle w:val="a5"/>
        <w:spacing w:beforeAutospacing="0" w:afterAutospacing="0"/>
        <w:jc w:val="both"/>
        <w:rPr>
          <w:rFonts w:ascii="Helvetica" w:hAnsi="Helvetica" w:cs="Helvetica"/>
          <w:color w:val="333333"/>
          <w:sz w:val="19"/>
          <w:szCs w:val="19"/>
        </w:rPr>
      </w:pPr>
      <w:r w:rsidRPr="00743420">
        <w:rPr>
          <w:rFonts w:ascii="Helvetica" w:hAnsi="Helvetica" w:cs="Helvetica" w:hint="eastAsia"/>
          <w:color w:val="333333"/>
          <w:sz w:val="19"/>
          <w:szCs w:val="19"/>
        </w:rPr>
        <w:t>企业一</w:t>
      </w:r>
      <w:r w:rsidR="003378B5">
        <w:rPr>
          <w:rFonts w:ascii="Helvetica" w:hAnsi="Helvetica" w:cs="Helvetica" w:hint="eastAsia"/>
          <w:color w:val="333333"/>
          <w:sz w:val="19"/>
          <w:szCs w:val="19"/>
        </w:rPr>
        <w:t>硬脑膜补片</w:t>
      </w:r>
      <w:r w:rsidRPr="00743420">
        <w:rPr>
          <w:rFonts w:ascii="Helvetica" w:hAnsi="Helvetica" w:cs="Helvetica" w:hint="eastAsia"/>
          <w:color w:val="333333"/>
          <w:sz w:val="19"/>
          <w:szCs w:val="19"/>
        </w:rPr>
        <w:t>销量、收入、价格及毛利率（</w:t>
      </w:r>
      <w:r w:rsidRPr="00743420">
        <w:rPr>
          <w:rFonts w:ascii="Helvetica" w:hAnsi="Helvetica" w:cs="Helvetica" w:hint="eastAsia"/>
          <w:color w:val="333333"/>
          <w:sz w:val="19"/>
          <w:szCs w:val="19"/>
        </w:rPr>
        <w:t>2019-2024</w:t>
      </w:r>
      <w:r w:rsidRPr="00743420">
        <w:rPr>
          <w:rFonts w:ascii="Helvetica" w:hAnsi="Helvetica" w:cs="Helvetica" w:hint="eastAsia"/>
          <w:color w:val="333333"/>
          <w:sz w:val="19"/>
          <w:szCs w:val="19"/>
        </w:rPr>
        <w:t>）</w:t>
      </w:r>
      <w:r w:rsidRPr="00743420">
        <w:rPr>
          <w:rFonts w:ascii="Helvetica" w:hAnsi="Helvetica" w:cs="Helvetica" w:hint="eastAsia"/>
          <w:color w:val="333333"/>
          <w:sz w:val="19"/>
          <w:szCs w:val="19"/>
        </w:rPr>
        <w:tab/>
      </w:r>
    </w:p>
    <w:p w:rsidR="00743420" w:rsidRPr="00743420" w:rsidRDefault="00743420" w:rsidP="00743420">
      <w:pPr>
        <w:pStyle w:val="a5"/>
        <w:spacing w:beforeAutospacing="0" w:afterAutospacing="0"/>
        <w:jc w:val="both"/>
        <w:rPr>
          <w:rFonts w:ascii="Helvetica" w:hAnsi="Helvetica" w:cs="Helvetica"/>
          <w:color w:val="333333"/>
          <w:sz w:val="19"/>
          <w:szCs w:val="19"/>
        </w:rPr>
      </w:pPr>
      <w:r w:rsidRPr="00743420">
        <w:rPr>
          <w:rFonts w:ascii="Helvetica" w:hAnsi="Helvetica" w:cs="Helvetica" w:hint="eastAsia"/>
          <w:color w:val="333333"/>
          <w:sz w:val="19"/>
          <w:szCs w:val="19"/>
        </w:rPr>
        <w:t>企业一公司简介及主要业务</w:t>
      </w:r>
      <w:r w:rsidRPr="00743420">
        <w:rPr>
          <w:rFonts w:ascii="Helvetica" w:hAnsi="Helvetica" w:cs="Helvetica" w:hint="eastAsia"/>
          <w:color w:val="333333"/>
          <w:sz w:val="19"/>
          <w:szCs w:val="19"/>
        </w:rPr>
        <w:tab/>
      </w:r>
    </w:p>
    <w:p w:rsidR="00743420" w:rsidRPr="00743420" w:rsidRDefault="00743420" w:rsidP="00743420">
      <w:pPr>
        <w:pStyle w:val="a5"/>
        <w:spacing w:beforeAutospacing="0" w:afterAutospacing="0"/>
        <w:jc w:val="both"/>
        <w:rPr>
          <w:rFonts w:ascii="Helvetica" w:hAnsi="Helvetica" w:cs="Helvetica"/>
          <w:color w:val="333333"/>
          <w:sz w:val="19"/>
          <w:szCs w:val="19"/>
        </w:rPr>
      </w:pPr>
      <w:r w:rsidRPr="00743420">
        <w:rPr>
          <w:rFonts w:ascii="Helvetica" w:hAnsi="Helvetica" w:cs="Helvetica" w:hint="eastAsia"/>
          <w:color w:val="333333"/>
          <w:sz w:val="19"/>
          <w:szCs w:val="19"/>
        </w:rPr>
        <w:t>企业一企业最新动态</w:t>
      </w:r>
      <w:r w:rsidRPr="00743420">
        <w:rPr>
          <w:rFonts w:ascii="Helvetica" w:hAnsi="Helvetica" w:cs="Helvetica" w:hint="eastAsia"/>
          <w:color w:val="333333"/>
          <w:sz w:val="19"/>
          <w:szCs w:val="19"/>
        </w:rPr>
        <w:tab/>
      </w:r>
    </w:p>
    <w:p w:rsidR="000B429F" w:rsidRDefault="005141CD">
      <w:pPr>
        <w:pStyle w:val="a5"/>
        <w:widowControl/>
        <w:spacing w:before="240" w:beforeAutospacing="0" w:after="240" w:afterAutospacing="0" w:line="420" w:lineRule="atLeast"/>
        <w:jc w:val="both"/>
        <w:rPr>
          <w:b/>
          <w:szCs w:val="24"/>
        </w:rPr>
      </w:pPr>
      <w:r>
        <w:rPr>
          <w:b/>
          <w:szCs w:val="24"/>
        </w:rPr>
        <w:t xml:space="preserve">10 </w:t>
      </w:r>
      <w:r>
        <w:rPr>
          <w:b/>
          <w:szCs w:val="24"/>
        </w:rPr>
        <w:t>中国市场</w:t>
      </w:r>
      <w:r w:rsidR="003378B5">
        <w:rPr>
          <w:rFonts w:hint="eastAsia"/>
          <w:b/>
          <w:szCs w:val="24"/>
        </w:rPr>
        <w:t>硬脑膜补片</w:t>
      </w:r>
      <w:r>
        <w:rPr>
          <w:b/>
          <w:szCs w:val="24"/>
        </w:rPr>
        <w:t>产量、销量、进出口分析及未来趋势</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10.1 中国市场</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产量、销量、进出口分析及未来趋势</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10.2 中国市场</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进出口贸易趋势</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10.3 中国市场</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主要进口来源</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10.4 中国市场</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主要出口目的地</w:t>
      </w:r>
    </w:p>
    <w:p w:rsidR="000B429F" w:rsidRDefault="005141CD">
      <w:pPr>
        <w:pStyle w:val="a5"/>
        <w:widowControl/>
        <w:spacing w:before="240" w:beforeAutospacing="0" w:after="240" w:afterAutospacing="0" w:line="420" w:lineRule="atLeast"/>
        <w:jc w:val="both"/>
        <w:rPr>
          <w:b/>
          <w:szCs w:val="24"/>
        </w:rPr>
      </w:pPr>
      <w:r>
        <w:rPr>
          <w:b/>
          <w:szCs w:val="24"/>
        </w:rPr>
        <w:t xml:space="preserve">11 </w:t>
      </w:r>
      <w:r>
        <w:rPr>
          <w:b/>
          <w:szCs w:val="24"/>
        </w:rPr>
        <w:t>中国市场</w:t>
      </w:r>
      <w:r w:rsidR="003378B5">
        <w:rPr>
          <w:rFonts w:hint="eastAsia"/>
          <w:b/>
          <w:szCs w:val="24"/>
        </w:rPr>
        <w:t>硬脑膜补片</w:t>
      </w:r>
      <w:r>
        <w:rPr>
          <w:b/>
          <w:szCs w:val="24"/>
        </w:rPr>
        <w:t>主要地区分布</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11.1 中国</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生产地区分布</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11.2 中国</w:t>
      </w:r>
      <w:r w:rsidR="003378B5">
        <w:rPr>
          <w:rFonts w:ascii="Helvetica" w:eastAsia="宋体" w:hAnsi="Helvetica" w:cs="Helvetica" w:hint="eastAsia"/>
          <w:color w:val="333333"/>
          <w:sz w:val="19"/>
          <w:szCs w:val="19"/>
        </w:rPr>
        <w:t>硬脑膜补片</w:t>
      </w:r>
      <w:r>
        <w:rPr>
          <w:rFonts w:ascii="Helvetica" w:eastAsia="Helvetica" w:hAnsi="Helvetica" w:cs="Helvetica"/>
          <w:color w:val="333333"/>
          <w:sz w:val="19"/>
          <w:szCs w:val="19"/>
        </w:rPr>
        <w:t>消费地区分布</w:t>
      </w:r>
    </w:p>
    <w:p w:rsidR="000B429F" w:rsidRDefault="005141CD">
      <w:pPr>
        <w:rPr>
          <w:b/>
        </w:rPr>
      </w:pPr>
      <w:r>
        <w:rPr>
          <w:rFonts w:hint="eastAsia"/>
          <w:b/>
        </w:rPr>
        <w:t>▲资料来源：更多资料请参考《全球及中国</w:t>
      </w:r>
      <w:r w:rsidR="003378B5">
        <w:rPr>
          <w:rFonts w:hint="eastAsia"/>
          <w:b/>
          <w:bCs/>
        </w:rPr>
        <w:t>硬脑膜补片</w:t>
      </w:r>
      <w:r>
        <w:rPr>
          <w:rFonts w:hint="eastAsia"/>
          <w:b/>
        </w:rPr>
        <w:t>行业研究及十</w:t>
      </w:r>
      <w:r w:rsidR="004857F7">
        <w:rPr>
          <w:rFonts w:hint="eastAsia"/>
          <w:b/>
        </w:rPr>
        <w:t>五</w:t>
      </w:r>
      <w:r>
        <w:rPr>
          <w:rFonts w:hint="eastAsia"/>
          <w:b/>
        </w:rPr>
        <w:t>五规划分析报告》</w:t>
      </w:r>
    </w:p>
    <w:p w:rsidR="000B429F" w:rsidRDefault="009A081F" w:rsidP="009A081F">
      <w:r w:rsidRPr="009A081F">
        <w:rPr>
          <w:rFonts w:hint="eastAsia"/>
        </w:rPr>
        <w:t>同时，</w:t>
      </w:r>
      <w:r w:rsidRPr="009A081F">
        <w:rPr>
          <w:rFonts w:hint="eastAsia"/>
          <w:b/>
        </w:rPr>
        <w:t>辰宇信息咨询</w:t>
      </w:r>
      <w:r w:rsidRPr="009A081F">
        <w:rPr>
          <w:rFonts w:hint="eastAsia"/>
        </w:rPr>
        <w:t>提供专业市场研究报告、定制研究、管理咨询、</w:t>
      </w:r>
      <w:r w:rsidRPr="009A081F">
        <w:rPr>
          <w:rFonts w:hint="eastAsia"/>
        </w:rPr>
        <w:t>IPO</w:t>
      </w:r>
      <w:r w:rsidRPr="009A081F">
        <w:rPr>
          <w:rFonts w:hint="eastAsia"/>
        </w:rPr>
        <w:t>咨询、产业链研究等，涵盖化工材料、机械设备、医疗设备及耗材、电子半导体、软件、包装、网络及通信、汽车交通、医疗护理、原料药品及保健品等</w:t>
      </w:r>
      <w:r w:rsidRPr="009A081F">
        <w:rPr>
          <w:rFonts w:hint="eastAsia"/>
        </w:rPr>
        <w:t>30</w:t>
      </w:r>
      <w:r w:rsidRPr="009A081F">
        <w:rPr>
          <w:rFonts w:hint="eastAsia"/>
        </w:rPr>
        <w:t>多个行业。可提供：制造业单项冠军申请和专精特新“小巨人”项目申请的市占率等服务。</w:t>
      </w:r>
    </w:p>
    <w:sectPr w:rsidR="000B429F" w:rsidSect="000B429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2123A" w:rsidRDefault="0022123A" w:rsidP="00316DFB">
      <w:r>
        <w:separator/>
      </w:r>
    </w:p>
  </w:endnote>
  <w:endnote w:type="continuationSeparator" w:id="0">
    <w:p w:rsidR="0022123A" w:rsidRDefault="0022123A" w:rsidP="00316DF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pitch w:val="variable"/>
    <w:sig w:usb0="E0002AFF" w:usb1="C0007843" w:usb2="00000009" w:usb3="00000000" w:csb0="000001FF" w:csb1="00000000"/>
  </w:font>
  <w:font w:name="Microsoft YaHei UI">
    <w:altName w:val="微软雅黑"/>
    <w:charset w:val="86"/>
    <w:family w:val="swiss"/>
    <w:pitch w:val="variable"/>
    <w:sig w:usb0="00000000" w:usb1="28CF3C50" w:usb2="00000016" w:usb3="00000000" w:csb0="0004001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2123A" w:rsidRDefault="0022123A" w:rsidP="00316DFB">
      <w:r>
        <w:separator/>
      </w:r>
    </w:p>
  </w:footnote>
  <w:footnote w:type="continuationSeparator" w:id="0">
    <w:p w:rsidR="0022123A" w:rsidRDefault="0022123A" w:rsidP="00316DF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noPunctuationKerning/>
  <w:characterSpacingControl w:val="compressPunctuation"/>
  <w:savePreviewPicture/>
  <w:hdrShapeDefaults>
    <o:shapedefaults v:ext="edit" spidmax="54274"/>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07E76"/>
    <w:rsid w:val="00013678"/>
    <w:rsid w:val="00036AFB"/>
    <w:rsid w:val="000714FC"/>
    <w:rsid w:val="00090EF7"/>
    <w:rsid w:val="000B0C16"/>
    <w:rsid w:val="000B429F"/>
    <w:rsid w:val="000B7EC1"/>
    <w:rsid w:val="000D0E8B"/>
    <w:rsid w:val="000E00F4"/>
    <w:rsid w:val="000F5347"/>
    <w:rsid w:val="001162CA"/>
    <w:rsid w:val="00160D57"/>
    <w:rsid w:val="0016528F"/>
    <w:rsid w:val="00174AFE"/>
    <w:rsid w:val="00177BC6"/>
    <w:rsid w:val="001830D9"/>
    <w:rsid w:val="00191133"/>
    <w:rsid w:val="00194515"/>
    <w:rsid w:val="001A1682"/>
    <w:rsid w:val="0022123A"/>
    <w:rsid w:val="00245F71"/>
    <w:rsid w:val="00250F03"/>
    <w:rsid w:val="002C4FB4"/>
    <w:rsid w:val="002D1BF8"/>
    <w:rsid w:val="002D3366"/>
    <w:rsid w:val="002E60F0"/>
    <w:rsid w:val="002F2AAF"/>
    <w:rsid w:val="00316DFB"/>
    <w:rsid w:val="003378B5"/>
    <w:rsid w:val="00362568"/>
    <w:rsid w:val="0037039B"/>
    <w:rsid w:val="00387ABE"/>
    <w:rsid w:val="003C713C"/>
    <w:rsid w:val="003D1808"/>
    <w:rsid w:val="003D4BE0"/>
    <w:rsid w:val="003E5578"/>
    <w:rsid w:val="003F1699"/>
    <w:rsid w:val="003F2E19"/>
    <w:rsid w:val="003F6501"/>
    <w:rsid w:val="003F6DEC"/>
    <w:rsid w:val="004225AE"/>
    <w:rsid w:val="00430D2E"/>
    <w:rsid w:val="00443D67"/>
    <w:rsid w:val="00445880"/>
    <w:rsid w:val="00480A5B"/>
    <w:rsid w:val="00483C79"/>
    <w:rsid w:val="004857F7"/>
    <w:rsid w:val="004A1559"/>
    <w:rsid w:val="004A331F"/>
    <w:rsid w:val="004B3FBE"/>
    <w:rsid w:val="004C323A"/>
    <w:rsid w:val="004C4E46"/>
    <w:rsid w:val="004E13CA"/>
    <w:rsid w:val="0051395F"/>
    <w:rsid w:val="005141CD"/>
    <w:rsid w:val="0052551C"/>
    <w:rsid w:val="00534C26"/>
    <w:rsid w:val="005355E8"/>
    <w:rsid w:val="00545B2D"/>
    <w:rsid w:val="00552B35"/>
    <w:rsid w:val="0056202C"/>
    <w:rsid w:val="00587118"/>
    <w:rsid w:val="005922F6"/>
    <w:rsid w:val="005B38CC"/>
    <w:rsid w:val="005C0C1E"/>
    <w:rsid w:val="006056B3"/>
    <w:rsid w:val="0061565F"/>
    <w:rsid w:val="0062774F"/>
    <w:rsid w:val="00630A86"/>
    <w:rsid w:val="00633577"/>
    <w:rsid w:val="00634D87"/>
    <w:rsid w:val="00651252"/>
    <w:rsid w:val="0065210B"/>
    <w:rsid w:val="006B3636"/>
    <w:rsid w:val="007344C5"/>
    <w:rsid w:val="00740748"/>
    <w:rsid w:val="00743420"/>
    <w:rsid w:val="00744ADC"/>
    <w:rsid w:val="00786892"/>
    <w:rsid w:val="007C0E2C"/>
    <w:rsid w:val="007D56AB"/>
    <w:rsid w:val="008027E1"/>
    <w:rsid w:val="00812D7C"/>
    <w:rsid w:val="00837CF8"/>
    <w:rsid w:val="00840EBE"/>
    <w:rsid w:val="008544C7"/>
    <w:rsid w:val="008B1449"/>
    <w:rsid w:val="008C0F49"/>
    <w:rsid w:val="008D0545"/>
    <w:rsid w:val="008D317A"/>
    <w:rsid w:val="008D5FAC"/>
    <w:rsid w:val="008D6564"/>
    <w:rsid w:val="00900DF9"/>
    <w:rsid w:val="0091483E"/>
    <w:rsid w:val="00923974"/>
    <w:rsid w:val="00931034"/>
    <w:rsid w:val="00963D43"/>
    <w:rsid w:val="00991769"/>
    <w:rsid w:val="009A081F"/>
    <w:rsid w:val="009E2232"/>
    <w:rsid w:val="009F136B"/>
    <w:rsid w:val="00A10920"/>
    <w:rsid w:val="00A11244"/>
    <w:rsid w:val="00A11CE2"/>
    <w:rsid w:val="00A13F17"/>
    <w:rsid w:val="00A478C6"/>
    <w:rsid w:val="00A5074D"/>
    <w:rsid w:val="00A95EBA"/>
    <w:rsid w:val="00AA0C9F"/>
    <w:rsid w:val="00AB2C53"/>
    <w:rsid w:val="00AD0261"/>
    <w:rsid w:val="00AD1F63"/>
    <w:rsid w:val="00AE0C5E"/>
    <w:rsid w:val="00AE1097"/>
    <w:rsid w:val="00AE6CB4"/>
    <w:rsid w:val="00B15258"/>
    <w:rsid w:val="00B4219C"/>
    <w:rsid w:val="00B455B6"/>
    <w:rsid w:val="00B54BBD"/>
    <w:rsid w:val="00B65DB9"/>
    <w:rsid w:val="00C00D08"/>
    <w:rsid w:val="00C22187"/>
    <w:rsid w:val="00C72CCF"/>
    <w:rsid w:val="00C90B8B"/>
    <w:rsid w:val="00C9275B"/>
    <w:rsid w:val="00CC5F77"/>
    <w:rsid w:val="00CE23FD"/>
    <w:rsid w:val="00CF0C62"/>
    <w:rsid w:val="00CF6406"/>
    <w:rsid w:val="00D01E35"/>
    <w:rsid w:val="00D10A06"/>
    <w:rsid w:val="00D47BB5"/>
    <w:rsid w:val="00D64AF2"/>
    <w:rsid w:val="00D77B2B"/>
    <w:rsid w:val="00D92B97"/>
    <w:rsid w:val="00DA4F05"/>
    <w:rsid w:val="00DD0D9D"/>
    <w:rsid w:val="00DD5376"/>
    <w:rsid w:val="00DD73E8"/>
    <w:rsid w:val="00DD77D9"/>
    <w:rsid w:val="00E208EA"/>
    <w:rsid w:val="00E47E30"/>
    <w:rsid w:val="00E775C0"/>
    <w:rsid w:val="00ED4A22"/>
    <w:rsid w:val="00EE1515"/>
    <w:rsid w:val="00F31D3E"/>
    <w:rsid w:val="00F56791"/>
    <w:rsid w:val="00F631A3"/>
    <w:rsid w:val="00F64054"/>
    <w:rsid w:val="00F82B62"/>
    <w:rsid w:val="00F87090"/>
    <w:rsid w:val="00FF1B4D"/>
    <w:rsid w:val="00FF201B"/>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42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429F"/>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0B429F"/>
    <w:pPr>
      <w:spacing w:beforeAutospacing="1" w:afterAutospacing="1"/>
      <w:jc w:val="left"/>
      <w:outlineLvl w:val="0"/>
    </w:pPr>
    <w:rPr>
      <w:rFonts w:ascii="宋体" w:eastAsia="宋体" w:hAnsi="宋体" w:cs="Times New Roman" w:hint="eastAsia"/>
      <w:b/>
      <w:bCs/>
      <w:kern w:val="44"/>
      <w:sz w:val="48"/>
      <w:szCs w:val="48"/>
    </w:rPr>
  </w:style>
  <w:style w:type="paragraph" w:styleId="2">
    <w:name w:val="heading 2"/>
    <w:basedOn w:val="a"/>
    <w:next w:val="a"/>
    <w:link w:val="2Char"/>
    <w:uiPriority w:val="9"/>
    <w:semiHidden/>
    <w:unhideWhenUsed/>
    <w:qFormat/>
    <w:rsid w:val="00316DF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0B429F"/>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0B429F"/>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semiHidden/>
    <w:unhideWhenUsed/>
    <w:qFormat/>
    <w:rsid w:val="000B429F"/>
    <w:pPr>
      <w:spacing w:beforeAutospacing="1" w:afterAutospacing="1"/>
      <w:jc w:val="left"/>
    </w:pPr>
    <w:rPr>
      <w:rFonts w:cs="Times New Roman"/>
      <w:kern w:val="0"/>
      <w:sz w:val="24"/>
    </w:rPr>
  </w:style>
  <w:style w:type="character" w:styleId="a6">
    <w:name w:val="Hyperlink"/>
    <w:basedOn w:val="a0"/>
    <w:uiPriority w:val="99"/>
    <w:unhideWhenUsed/>
    <w:qFormat/>
    <w:rsid w:val="000B429F"/>
    <w:rPr>
      <w:color w:val="0000FF" w:themeColor="hyperlink"/>
      <w:u w:val="single"/>
    </w:rPr>
  </w:style>
  <w:style w:type="character" w:customStyle="1" w:styleId="Char0">
    <w:name w:val="页眉 Char"/>
    <w:basedOn w:val="a0"/>
    <w:link w:val="a4"/>
    <w:uiPriority w:val="99"/>
    <w:semiHidden/>
    <w:qFormat/>
    <w:rsid w:val="000B429F"/>
    <w:rPr>
      <w:sz w:val="18"/>
      <w:szCs w:val="18"/>
    </w:rPr>
  </w:style>
  <w:style w:type="character" w:customStyle="1" w:styleId="Char">
    <w:name w:val="页脚 Char"/>
    <w:basedOn w:val="a0"/>
    <w:link w:val="a3"/>
    <w:uiPriority w:val="99"/>
    <w:semiHidden/>
    <w:qFormat/>
    <w:rsid w:val="000B429F"/>
    <w:rPr>
      <w:sz w:val="18"/>
      <w:szCs w:val="18"/>
    </w:rPr>
  </w:style>
  <w:style w:type="character" w:customStyle="1" w:styleId="2Char">
    <w:name w:val="标题 2 Char"/>
    <w:basedOn w:val="a0"/>
    <w:link w:val="2"/>
    <w:uiPriority w:val="9"/>
    <w:semiHidden/>
    <w:rsid w:val="00316DFB"/>
    <w:rPr>
      <w:rFonts w:asciiTheme="majorHAnsi" w:eastAsiaTheme="majorEastAsia" w:hAnsiTheme="majorHAnsi" w:cstheme="majorBidi"/>
      <w:b/>
      <w:bCs/>
      <w:kern w:val="2"/>
      <w:sz w:val="32"/>
      <w:szCs w:val="32"/>
    </w:rPr>
  </w:style>
</w:styles>
</file>

<file path=word/webSettings.xml><?xml version="1.0" encoding="utf-8"?>
<w:webSettings xmlns:r="http://schemas.openxmlformats.org/officeDocument/2006/relationships" xmlns:w="http://schemas.openxmlformats.org/wordprocessingml/2006/main">
  <w:divs>
    <w:div w:id="58217504">
      <w:bodyDiv w:val="1"/>
      <w:marLeft w:val="0"/>
      <w:marRight w:val="0"/>
      <w:marTop w:val="0"/>
      <w:marBottom w:val="0"/>
      <w:divBdr>
        <w:top w:val="none" w:sz="0" w:space="0" w:color="auto"/>
        <w:left w:val="none" w:sz="0" w:space="0" w:color="auto"/>
        <w:bottom w:val="none" w:sz="0" w:space="0" w:color="auto"/>
        <w:right w:val="none" w:sz="0" w:space="0" w:color="auto"/>
      </w:divBdr>
    </w:div>
    <w:div w:id="146945958">
      <w:bodyDiv w:val="1"/>
      <w:marLeft w:val="0"/>
      <w:marRight w:val="0"/>
      <w:marTop w:val="0"/>
      <w:marBottom w:val="0"/>
      <w:divBdr>
        <w:top w:val="none" w:sz="0" w:space="0" w:color="auto"/>
        <w:left w:val="none" w:sz="0" w:space="0" w:color="auto"/>
        <w:bottom w:val="none" w:sz="0" w:space="0" w:color="auto"/>
        <w:right w:val="none" w:sz="0" w:space="0" w:color="auto"/>
      </w:divBdr>
    </w:div>
    <w:div w:id="336466044">
      <w:bodyDiv w:val="1"/>
      <w:marLeft w:val="0"/>
      <w:marRight w:val="0"/>
      <w:marTop w:val="0"/>
      <w:marBottom w:val="0"/>
      <w:divBdr>
        <w:top w:val="none" w:sz="0" w:space="0" w:color="auto"/>
        <w:left w:val="none" w:sz="0" w:space="0" w:color="auto"/>
        <w:bottom w:val="none" w:sz="0" w:space="0" w:color="auto"/>
        <w:right w:val="none" w:sz="0" w:space="0" w:color="auto"/>
      </w:divBdr>
    </w:div>
    <w:div w:id="354573682">
      <w:bodyDiv w:val="1"/>
      <w:marLeft w:val="0"/>
      <w:marRight w:val="0"/>
      <w:marTop w:val="0"/>
      <w:marBottom w:val="0"/>
      <w:divBdr>
        <w:top w:val="none" w:sz="0" w:space="0" w:color="auto"/>
        <w:left w:val="none" w:sz="0" w:space="0" w:color="auto"/>
        <w:bottom w:val="none" w:sz="0" w:space="0" w:color="auto"/>
        <w:right w:val="none" w:sz="0" w:space="0" w:color="auto"/>
      </w:divBdr>
    </w:div>
    <w:div w:id="388458776">
      <w:bodyDiv w:val="1"/>
      <w:marLeft w:val="0"/>
      <w:marRight w:val="0"/>
      <w:marTop w:val="0"/>
      <w:marBottom w:val="0"/>
      <w:divBdr>
        <w:top w:val="none" w:sz="0" w:space="0" w:color="auto"/>
        <w:left w:val="none" w:sz="0" w:space="0" w:color="auto"/>
        <w:bottom w:val="none" w:sz="0" w:space="0" w:color="auto"/>
        <w:right w:val="none" w:sz="0" w:space="0" w:color="auto"/>
      </w:divBdr>
    </w:div>
    <w:div w:id="459422204">
      <w:bodyDiv w:val="1"/>
      <w:marLeft w:val="0"/>
      <w:marRight w:val="0"/>
      <w:marTop w:val="0"/>
      <w:marBottom w:val="0"/>
      <w:divBdr>
        <w:top w:val="none" w:sz="0" w:space="0" w:color="auto"/>
        <w:left w:val="none" w:sz="0" w:space="0" w:color="auto"/>
        <w:bottom w:val="none" w:sz="0" w:space="0" w:color="auto"/>
        <w:right w:val="none" w:sz="0" w:space="0" w:color="auto"/>
      </w:divBdr>
    </w:div>
    <w:div w:id="484902214">
      <w:bodyDiv w:val="1"/>
      <w:marLeft w:val="0"/>
      <w:marRight w:val="0"/>
      <w:marTop w:val="0"/>
      <w:marBottom w:val="0"/>
      <w:divBdr>
        <w:top w:val="none" w:sz="0" w:space="0" w:color="auto"/>
        <w:left w:val="none" w:sz="0" w:space="0" w:color="auto"/>
        <w:bottom w:val="none" w:sz="0" w:space="0" w:color="auto"/>
        <w:right w:val="none" w:sz="0" w:space="0" w:color="auto"/>
      </w:divBdr>
    </w:div>
    <w:div w:id="510951212">
      <w:bodyDiv w:val="1"/>
      <w:marLeft w:val="0"/>
      <w:marRight w:val="0"/>
      <w:marTop w:val="0"/>
      <w:marBottom w:val="0"/>
      <w:divBdr>
        <w:top w:val="none" w:sz="0" w:space="0" w:color="auto"/>
        <w:left w:val="none" w:sz="0" w:space="0" w:color="auto"/>
        <w:bottom w:val="none" w:sz="0" w:space="0" w:color="auto"/>
        <w:right w:val="none" w:sz="0" w:space="0" w:color="auto"/>
      </w:divBdr>
    </w:div>
    <w:div w:id="516042309">
      <w:bodyDiv w:val="1"/>
      <w:marLeft w:val="0"/>
      <w:marRight w:val="0"/>
      <w:marTop w:val="0"/>
      <w:marBottom w:val="0"/>
      <w:divBdr>
        <w:top w:val="none" w:sz="0" w:space="0" w:color="auto"/>
        <w:left w:val="none" w:sz="0" w:space="0" w:color="auto"/>
        <w:bottom w:val="none" w:sz="0" w:space="0" w:color="auto"/>
        <w:right w:val="none" w:sz="0" w:space="0" w:color="auto"/>
      </w:divBdr>
    </w:div>
    <w:div w:id="595787820">
      <w:bodyDiv w:val="1"/>
      <w:marLeft w:val="0"/>
      <w:marRight w:val="0"/>
      <w:marTop w:val="0"/>
      <w:marBottom w:val="0"/>
      <w:divBdr>
        <w:top w:val="none" w:sz="0" w:space="0" w:color="auto"/>
        <w:left w:val="none" w:sz="0" w:space="0" w:color="auto"/>
        <w:bottom w:val="none" w:sz="0" w:space="0" w:color="auto"/>
        <w:right w:val="none" w:sz="0" w:space="0" w:color="auto"/>
      </w:divBdr>
    </w:div>
    <w:div w:id="608855024">
      <w:bodyDiv w:val="1"/>
      <w:marLeft w:val="0"/>
      <w:marRight w:val="0"/>
      <w:marTop w:val="0"/>
      <w:marBottom w:val="0"/>
      <w:divBdr>
        <w:top w:val="none" w:sz="0" w:space="0" w:color="auto"/>
        <w:left w:val="none" w:sz="0" w:space="0" w:color="auto"/>
        <w:bottom w:val="none" w:sz="0" w:space="0" w:color="auto"/>
        <w:right w:val="none" w:sz="0" w:space="0" w:color="auto"/>
      </w:divBdr>
    </w:div>
    <w:div w:id="611979575">
      <w:bodyDiv w:val="1"/>
      <w:marLeft w:val="0"/>
      <w:marRight w:val="0"/>
      <w:marTop w:val="0"/>
      <w:marBottom w:val="0"/>
      <w:divBdr>
        <w:top w:val="none" w:sz="0" w:space="0" w:color="auto"/>
        <w:left w:val="none" w:sz="0" w:space="0" w:color="auto"/>
        <w:bottom w:val="none" w:sz="0" w:space="0" w:color="auto"/>
        <w:right w:val="none" w:sz="0" w:space="0" w:color="auto"/>
      </w:divBdr>
    </w:div>
    <w:div w:id="636450947">
      <w:bodyDiv w:val="1"/>
      <w:marLeft w:val="0"/>
      <w:marRight w:val="0"/>
      <w:marTop w:val="0"/>
      <w:marBottom w:val="0"/>
      <w:divBdr>
        <w:top w:val="none" w:sz="0" w:space="0" w:color="auto"/>
        <w:left w:val="none" w:sz="0" w:space="0" w:color="auto"/>
        <w:bottom w:val="none" w:sz="0" w:space="0" w:color="auto"/>
        <w:right w:val="none" w:sz="0" w:space="0" w:color="auto"/>
      </w:divBdr>
    </w:div>
    <w:div w:id="690374389">
      <w:bodyDiv w:val="1"/>
      <w:marLeft w:val="0"/>
      <w:marRight w:val="0"/>
      <w:marTop w:val="0"/>
      <w:marBottom w:val="0"/>
      <w:divBdr>
        <w:top w:val="none" w:sz="0" w:space="0" w:color="auto"/>
        <w:left w:val="none" w:sz="0" w:space="0" w:color="auto"/>
        <w:bottom w:val="none" w:sz="0" w:space="0" w:color="auto"/>
        <w:right w:val="none" w:sz="0" w:space="0" w:color="auto"/>
      </w:divBdr>
    </w:div>
    <w:div w:id="691541315">
      <w:bodyDiv w:val="1"/>
      <w:marLeft w:val="0"/>
      <w:marRight w:val="0"/>
      <w:marTop w:val="0"/>
      <w:marBottom w:val="0"/>
      <w:divBdr>
        <w:top w:val="none" w:sz="0" w:space="0" w:color="auto"/>
        <w:left w:val="none" w:sz="0" w:space="0" w:color="auto"/>
        <w:bottom w:val="none" w:sz="0" w:space="0" w:color="auto"/>
        <w:right w:val="none" w:sz="0" w:space="0" w:color="auto"/>
      </w:divBdr>
    </w:div>
    <w:div w:id="707493182">
      <w:bodyDiv w:val="1"/>
      <w:marLeft w:val="0"/>
      <w:marRight w:val="0"/>
      <w:marTop w:val="0"/>
      <w:marBottom w:val="0"/>
      <w:divBdr>
        <w:top w:val="none" w:sz="0" w:space="0" w:color="auto"/>
        <w:left w:val="none" w:sz="0" w:space="0" w:color="auto"/>
        <w:bottom w:val="none" w:sz="0" w:space="0" w:color="auto"/>
        <w:right w:val="none" w:sz="0" w:space="0" w:color="auto"/>
      </w:divBdr>
    </w:div>
    <w:div w:id="730268858">
      <w:bodyDiv w:val="1"/>
      <w:marLeft w:val="0"/>
      <w:marRight w:val="0"/>
      <w:marTop w:val="0"/>
      <w:marBottom w:val="0"/>
      <w:divBdr>
        <w:top w:val="none" w:sz="0" w:space="0" w:color="auto"/>
        <w:left w:val="none" w:sz="0" w:space="0" w:color="auto"/>
        <w:bottom w:val="none" w:sz="0" w:space="0" w:color="auto"/>
        <w:right w:val="none" w:sz="0" w:space="0" w:color="auto"/>
      </w:divBdr>
    </w:div>
    <w:div w:id="973221701">
      <w:bodyDiv w:val="1"/>
      <w:marLeft w:val="0"/>
      <w:marRight w:val="0"/>
      <w:marTop w:val="0"/>
      <w:marBottom w:val="0"/>
      <w:divBdr>
        <w:top w:val="none" w:sz="0" w:space="0" w:color="auto"/>
        <w:left w:val="none" w:sz="0" w:space="0" w:color="auto"/>
        <w:bottom w:val="none" w:sz="0" w:space="0" w:color="auto"/>
        <w:right w:val="none" w:sz="0" w:space="0" w:color="auto"/>
      </w:divBdr>
    </w:div>
    <w:div w:id="1002851544">
      <w:bodyDiv w:val="1"/>
      <w:marLeft w:val="0"/>
      <w:marRight w:val="0"/>
      <w:marTop w:val="0"/>
      <w:marBottom w:val="0"/>
      <w:divBdr>
        <w:top w:val="none" w:sz="0" w:space="0" w:color="auto"/>
        <w:left w:val="none" w:sz="0" w:space="0" w:color="auto"/>
        <w:bottom w:val="none" w:sz="0" w:space="0" w:color="auto"/>
        <w:right w:val="none" w:sz="0" w:space="0" w:color="auto"/>
      </w:divBdr>
    </w:div>
    <w:div w:id="1018003273">
      <w:bodyDiv w:val="1"/>
      <w:marLeft w:val="0"/>
      <w:marRight w:val="0"/>
      <w:marTop w:val="0"/>
      <w:marBottom w:val="0"/>
      <w:divBdr>
        <w:top w:val="none" w:sz="0" w:space="0" w:color="auto"/>
        <w:left w:val="none" w:sz="0" w:space="0" w:color="auto"/>
        <w:bottom w:val="none" w:sz="0" w:space="0" w:color="auto"/>
        <w:right w:val="none" w:sz="0" w:space="0" w:color="auto"/>
      </w:divBdr>
    </w:div>
    <w:div w:id="1113552411">
      <w:bodyDiv w:val="1"/>
      <w:marLeft w:val="0"/>
      <w:marRight w:val="0"/>
      <w:marTop w:val="0"/>
      <w:marBottom w:val="0"/>
      <w:divBdr>
        <w:top w:val="none" w:sz="0" w:space="0" w:color="auto"/>
        <w:left w:val="none" w:sz="0" w:space="0" w:color="auto"/>
        <w:bottom w:val="none" w:sz="0" w:space="0" w:color="auto"/>
        <w:right w:val="none" w:sz="0" w:space="0" w:color="auto"/>
      </w:divBdr>
    </w:div>
    <w:div w:id="1132139560">
      <w:bodyDiv w:val="1"/>
      <w:marLeft w:val="0"/>
      <w:marRight w:val="0"/>
      <w:marTop w:val="0"/>
      <w:marBottom w:val="0"/>
      <w:divBdr>
        <w:top w:val="none" w:sz="0" w:space="0" w:color="auto"/>
        <w:left w:val="none" w:sz="0" w:space="0" w:color="auto"/>
        <w:bottom w:val="none" w:sz="0" w:space="0" w:color="auto"/>
        <w:right w:val="none" w:sz="0" w:space="0" w:color="auto"/>
      </w:divBdr>
    </w:div>
    <w:div w:id="1154177921">
      <w:bodyDiv w:val="1"/>
      <w:marLeft w:val="0"/>
      <w:marRight w:val="0"/>
      <w:marTop w:val="0"/>
      <w:marBottom w:val="0"/>
      <w:divBdr>
        <w:top w:val="none" w:sz="0" w:space="0" w:color="auto"/>
        <w:left w:val="none" w:sz="0" w:space="0" w:color="auto"/>
        <w:bottom w:val="none" w:sz="0" w:space="0" w:color="auto"/>
        <w:right w:val="none" w:sz="0" w:space="0" w:color="auto"/>
      </w:divBdr>
    </w:div>
    <w:div w:id="1174957710">
      <w:bodyDiv w:val="1"/>
      <w:marLeft w:val="0"/>
      <w:marRight w:val="0"/>
      <w:marTop w:val="0"/>
      <w:marBottom w:val="0"/>
      <w:divBdr>
        <w:top w:val="none" w:sz="0" w:space="0" w:color="auto"/>
        <w:left w:val="none" w:sz="0" w:space="0" w:color="auto"/>
        <w:bottom w:val="none" w:sz="0" w:space="0" w:color="auto"/>
        <w:right w:val="none" w:sz="0" w:space="0" w:color="auto"/>
      </w:divBdr>
    </w:div>
    <w:div w:id="1253124398">
      <w:bodyDiv w:val="1"/>
      <w:marLeft w:val="0"/>
      <w:marRight w:val="0"/>
      <w:marTop w:val="0"/>
      <w:marBottom w:val="0"/>
      <w:divBdr>
        <w:top w:val="none" w:sz="0" w:space="0" w:color="auto"/>
        <w:left w:val="none" w:sz="0" w:space="0" w:color="auto"/>
        <w:bottom w:val="none" w:sz="0" w:space="0" w:color="auto"/>
        <w:right w:val="none" w:sz="0" w:space="0" w:color="auto"/>
      </w:divBdr>
    </w:div>
    <w:div w:id="1291744596">
      <w:bodyDiv w:val="1"/>
      <w:marLeft w:val="0"/>
      <w:marRight w:val="0"/>
      <w:marTop w:val="0"/>
      <w:marBottom w:val="0"/>
      <w:divBdr>
        <w:top w:val="none" w:sz="0" w:space="0" w:color="auto"/>
        <w:left w:val="none" w:sz="0" w:space="0" w:color="auto"/>
        <w:bottom w:val="none" w:sz="0" w:space="0" w:color="auto"/>
        <w:right w:val="none" w:sz="0" w:space="0" w:color="auto"/>
      </w:divBdr>
    </w:div>
    <w:div w:id="1458984029">
      <w:bodyDiv w:val="1"/>
      <w:marLeft w:val="0"/>
      <w:marRight w:val="0"/>
      <w:marTop w:val="0"/>
      <w:marBottom w:val="0"/>
      <w:divBdr>
        <w:top w:val="none" w:sz="0" w:space="0" w:color="auto"/>
        <w:left w:val="none" w:sz="0" w:space="0" w:color="auto"/>
        <w:bottom w:val="none" w:sz="0" w:space="0" w:color="auto"/>
        <w:right w:val="none" w:sz="0" w:space="0" w:color="auto"/>
      </w:divBdr>
    </w:div>
    <w:div w:id="1461335561">
      <w:bodyDiv w:val="1"/>
      <w:marLeft w:val="0"/>
      <w:marRight w:val="0"/>
      <w:marTop w:val="0"/>
      <w:marBottom w:val="0"/>
      <w:divBdr>
        <w:top w:val="none" w:sz="0" w:space="0" w:color="auto"/>
        <w:left w:val="none" w:sz="0" w:space="0" w:color="auto"/>
        <w:bottom w:val="none" w:sz="0" w:space="0" w:color="auto"/>
        <w:right w:val="none" w:sz="0" w:space="0" w:color="auto"/>
      </w:divBdr>
    </w:div>
    <w:div w:id="1545604767">
      <w:bodyDiv w:val="1"/>
      <w:marLeft w:val="0"/>
      <w:marRight w:val="0"/>
      <w:marTop w:val="0"/>
      <w:marBottom w:val="0"/>
      <w:divBdr>
        <w:top w:val="none" w:sz="0" w:space="0" w:color="auto"/>
        <w:left w:val="none" w:sz="0" w:space="0" w:color="auto"/>
        <w:bottom w:val="none" w:sz="0" w:space="0" w:color="auto"/>
        <w:right w:val="none" w:sz="0" w:space="0" w:color="auto"/>
      </w:divBdr>
    </w:div>
    <w:div w:id="1567227921">
      <w:bodyDiv w:val="1"/>
      <w:marLeft w:val="0"/>
      <w:marRight w:val="0"/>
      <w:marTop w:val="0"/>
      <w:marBottom w:val="0"/>
      <w:divBdr>
        <w:top w:val="none" w:sz="0" w:space="0" w:color="auto"/>
        <w:left w:val="none" w:sz="0" w:space="0" w:color="auto"/>
        <w:bottom w:val="none" w:sz="0" w:space="0" w:color="auto"/>
        <w:right w:val="none" w:sz="0" w:space="0" w:color="auto"/>
      </w:divBdr>
    </w:div>
    <w:div w:id="1597712245">
      <w:bodyDiv w:val="1"/>
      <w:marLeft w:val="0"/>
      <w:marRight w:val="0"/>
      <w:marTop w:val="0"/>
      <w:marBottom w:val="0"/>
      <w:divBdr>
        <w:top w:val="none" w:sz="0" w:space="0" w:color="auto"/>
        <w:left w:val="none" w:sz="0" w:space="0" w:color="auto"/>
        <w:bottom w:val="none" w:sz="0" w:space="0" w:color="auto"/>
        <w:right w:val="none" w:sz="0" w:space="0" w:color="auto"/>
      </w:divBdr>
    </w:div>
    <w:div w:id="1625454595">
      <w:bodyDiv w:val="1"/>
      <w:marLeft w:val="0"/>
      <w:marRight w:val="0"/>
      <w:marTop w:val="0"/>
      <w:marBottom w:val="0"/>
      <w:divBdr>
        <w:top w:val="none" w:sz="0" w:space="0" w:color="auto"/>
        <w:left w:val="none" w:sz="0" w:space="0" w:color="auto"/>
        <w:bottom w:val="none" w:sz="0" w:space="0" w:color="auto"/>
        <w:right w:val="none" w:sz="0" w:space="0" w:color="auto"/>
      </w:divBdr>
    </w:div>
    <w:div w:id="1637028352">
      <w:bodyDiv w:val="1"/>
      <w:marLeft w:val="0"/>
      <w:marRight w:val="0"/>
      <w:marTop w:val="0"/>
      <w:marBottom w:val="0"/>
      <w:divBdr>
        <w:top w:val="none" w:sz="0" w:space="0" w:color="auto"/>
        <w:left w:val="none" w:sz="0" w:space="0" w:color="auto"/>
        <w:bottom w:val="none" w:sz="0" w:space="0" w:color="auto"/>
        <w:right w:val="none" w:sz="0" w:space="0" w:color="auto"/>
      </w:divBdr>
    </w:div>
    <w:div w:id="1708530355">
      <w:bodyDiv w:val="1"/>
      <w:marLeft w:val="0"/>
      <w:marRight w:val="0"/>
      <w:marTop w:val="0"/>
      <w:marBottom w:val="0"/>
      <w:divBdr>
        <w:top w:val="none" w:sz="0" w:space="0" w:color="auto"/>
        <w:left w:val="none" w:sz="0" w:space="0" w:color="auto"/>
        <w:bottom w:val="none" w:sz="0" w:space="0" w:color="auto"/>
        <w:right w:val="none" w:sz="0" w:space="0" w:color="auto"/>
      </w:divBdr>
    </w:div>
    <w:div w:id="1781994981">
      <w:bodyDiv w:val="1"/>
      <w:marLeft w:val="0"/>
      <w:marRight w:val="0"/>
      <w:marTop w:val="0"/>
      <w:marBottom w:val="0"/>
      <w:divBdr>
        <w:top w:val="none" w:sz="0" w:space="0" w:color="auto"/>
        <w:left w:val="none" w:sz="0" w:space="0" w:color="auto"/>
        <w:bottom w:val="none" w:sz="0" w:space="0" w:color="auto"/>
        <w:right w:val="none" w:sz="0" w:space="0" w:color="auto"/>
      </w:divBdr>
    </w:div>
    <w:div w:id="1806855164">
      <w:bodyDiv w:val="1"/>
      <w:marLeft w:val="0"/>
      <w:marRight w:val="0"/>
      <w:marTop w:val="0"/>
      <w:marBottom w:val="0"/>
      <w:divBdr>
        <w:top w:val="none" w:sz="0" w:space="0" w:color="auto"/>
        <w:left w:val="none" w:sz="0" w:space="0" w:color="auto"/>
        <w:bottom w:val="none" w:sz="0" w:space="0" w:color="auto"/>
        <w:right w:val="none" w:sz="0" w:space="0" w:color="auto"/>
      </w:divBdr>
    </w:div>
    <w:div w:id="1820031125">
      <w:bodyDiv w:val="1"/>
      <w:marLeft w:val="0"/>
      <w:marRight w:val="0"/>
      <w:marTop w:val="0"/>
      <w:marBottom w:val="0"/>
      <w:divBdr>
        <w:top w:val="none" w:sz="0" w:space="0" w:color="auto"/>
        <w:left w:val="none" w:sz="0" w:space="0" w:color="auto"/>
        <w:bottom w:val="none" w:sz="0" w:space="0" w:color="auto"/>
        <w:right w:val="none" w:sz="0" w:space="0" w:color="auto"/>
      </w:divBdr>
    </w:div>
    <w:div w:id="1836921990">
      <w:bodyDiv w:val="1"/>
      <w:marLeft w:val="0"/>
      <w:marRight w:val="0"/>
      <w:marTop w:val="0"/>
      <w:marBottom w:val="0"/>
      <w:divBdr>
        <w:top w:val="none" w:sz="0" w:space="0" w:color="auto"/>
        <w:left w:val="none" w:sz="0" w:space="0" w:color="auto"/>
        <w:bottom w:val="none" w:sz="0" w:space="0" w:color="auto"/>
        <w:right w:val="none" w:sz="0" w:space="0" w:color="auto"/>
      </w:divBdr>
    </w:div>
    <w:div w:id="1894000292">
      <w:bodyDiv w:val="1"/>
      <w:marLeft w:val="0"/>
      <w:marRight w:val="0"/>
      <w:marTop w:val="0"/>
      <w:marBottom w:val="0"/>
      <w:divBdr>
        <w:top w:val="none" w:sz="0" w:space="0" w:color="auto"/>
        <w:left w:val="none" w:sz="0" w:space="0" w:color="auto"/>
        <w:bottom w:val="none" w:sz="0" w:space="0" w:color="auto"/>
        <w:right w:val="none" w:sz="0" w:space="0" w:color="auto"/>
      </w:divBdr>
    </w:div>
    <w:div w:id="2015378136">
      <w:bodyDiv w:val="1"/>
      <w:marLeft w:val="0"/>
      <w:marRight w:val="0"/>
      <w:marTop w:val="0"/>
      <w:marBottom w:val="0"/>
      <w:divBdr>
        <w:top w:val="none" w:sz="0" w:space="0" w:color="auto"/>
        <w:left w:val="none" w:sz="0" w:space="0" w:color="auto"/>
        <w:bottom w:val="none" w:sz="0" w:space="0" w:color="auto"/>
        <w:right w:val="none" w:sz="0" w:space="0" w:color="auto"/>
      </w:divBdr>
    </w:div>
    <w:div w:id="203746534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939</Words>
  <Characters>5358</Characters>
  <Application>Microsoft Office Word</Application>
  <DocSecurity>0</DocSecurity>
  <Lines>44</Lines>
  <Paragraphs>12</Paragraphs>
  <ScaleCrop>false</ScaleCrop>
  <Company>Microsoft</Company>
  <LinksUpToDate>false</LinksUpToDate>
  <CharactersWithSpaces>6285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2</cp:revision>
  <dcterms:created xsi:type="dcterms:W3CDTF">2024-05-28T06:41:00Z</dcterms:created>
  <dcterms:modified xsi:type="dcterms:W3CDTF">2024-05-28T06:41:00Z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