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olors1.xml" ContentType="application/vnd.ms-office.chartcolorstyle+xml"/>
  <Override PartName="/word/charts/colors2.xml" ContentType="application/vnd.ms-office.chartcolorstyle+xml"/>
  <Override PartName="/word/charts/colors3.xml" ContentType="application/vnd.ms-office.chartcolorstyle+xml"/>
  <Override PartName="/word/charts/style1.xml" ContentType="application/vnd.ms-office.chartstyle+xml"/>
  <Override PartName="/word/charts/style2.xml" ContentType="application/vnd.ms-office.chartstyle+xml"/>
  <Override PartName="/word/charts/style3.xml" ContentType="application/vnd.ms-office.chartstyle+xml"/>
  <Override PartName="/word/document.xml" ContentType="application/vnd.openxmlformats-officedocument.wordprocessingml.document.main+xml"/>
  <Override PartName="/word/drawings/drawing1.xml" ContentType="application/vnd.openxmlformats-officedocument.drawingml.chartshap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5D5715">
      <w:pPr>
        <w:pStyle w:val="167"/>
        <w:rPr>
          <w:lang w:eastAsia="zh-CN"/>
        </w:rPr>
      </w:pPr>
      <w:bookmarkStart w:id="13" w:name="_GoBack"/>
      <w:bookmarkEnd w:id="13"/>
      <w:bookmarkStart w:id="0" w:name="_Toc517262917"/>
      <w:bookmarkStart w:id="1" w:name="_Toc453597319"/>
      <w:bookmarkStart w:id="2" w:name="_Toc438987549"/>
      <w:bookmarkStart w:id="3" w:name="_Toc481801204"/>
      <w:bookmarkStart w:id="4" w:name="_Toc418070112"/>
      <w:bookmarkStart w:id="5" w:name="_Toc415818939"/>
      <w:bookmarkStart w:id="6" w:name="OLE_LINK15"/>
      <w:bookmarkStart w:id="7" w:name="_Toc415143481"/>
      <w:bookmarkStart w:id="8" w:name="OLE_LINK13"/>
      <w:bookmarkStart w:id="9" w:name="OLE_LINK40"/>
      <w:bookmarkStart w:id="10" w:name="OLE_LINK39"/>
      <w:bookmarkStart w:id="11" w:name="_Toc415142861"/>
      <w:bookmarkStart w:id="12" w:name="OLE_LINK24"/>
      <w:r>
        <w:rPr>
          <w:lang w:eastAsia="zh-CN"/>
        </w:rPr>
        <w:t>表面采暖产品</w:t>
      </w:r>
      <w:r>
        <w:rPr>
          <w:rFonts w:hint="eastAsia"/>
          <w:lang w:eastAsia="zh-CN"/>
        </w:rPr>
        <w:t>全球市场总体规模</w:t>
      </w:r>
    </w:p>
    <w:p w14:paraId="7CB802AC">
      <w:pPr>
        <w:pStyle w:val="145"/>
        <w:rPr>
          <w:lang w:eastAsia="zh-CN"/>
        </w:rPr>
      </w:pPr>
      <w:r>
        <w:rPr>
          <w:rFonts w:hint="eastAsia"/>
          <w:lang w:eastAsia="zh-CN"/>
        </w:rPr>
        <w:t>表面采暖产品，通常指的是通过加热表面来实现室内采暖或者表面采暖的系统。</w:t>
      </w:r>
    </w:p>
    <w:p w14:paraId="7BAEE79D">
      <w:pPr>
        <w:pStyle w:val="145"/>
        <w:jc w:val="center"/>
        <w:rPr>
          <w:lang w:eastAsia="zh-CN"/>
        </w:rPr>
      </w:pPr>
      <w:r>
        <w:rPr>
          <w:lang w:val="en-US" w:eastAsia="zh-CN"/>
        </w:rPr>
        <w:drawing>
          <wp:inline distT="0" distB="0" distL="0" distR="0">
            <wp:extent cx="3133090" cy="204724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133333" cy="20476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E8F70F">
      <w:pPr>
        <w:widowControl/>
        <w:topLinePunct w:val="0"/>
        <w:spacing w:after="0"/>
        <w:rPr>
          <w:rFonts w:ascii="Book Antiqua" w:hAnsi="Book Antiqua" w:cs="宋体"/>
          <w:kern w:val="0"/>
          <w:sz w:val="24"/>
          <w:szCs w:val="24"/>
        </w:rPr>
      </w:pPr>
      <w:r>
        <w:rPr>
          <w:rFonts w:ascii="Book Antiqua" w:hAnsi="Book Antiqua" w:cs="宋体"/>
          <w:kern w:val="0"/>
          <w:sz w:val="24"/>
          <w:szCs w:val="24"/>
        </w:rPr>
        <w:t>据调研团队最新报告“全球表面采暖产品市场报告2024-2030”显示，预计2030年全球表面采暖产品市场规模将达到98.5亿美元，未来几年年复合增长率CAGR为2.1%。</w:t>
      </w:r>
    </w:p>
    <w:p w14:paraId="4D38E3C6">
      <w:pPr>
        <w:pStyle w:val="145"/>
        <w:rPr>
          <w:lang w:val="en-US" w:eastAsia="zh-CN"/>
        </w:rPr>
      </w:pPr>
    </w:p>
    <w:p w14:paraId="3F6C2722">
      <w:pPr>
        <w:pStyle w:val="148"/>
        <w:rPr>
          <w:lang w:eastAsia="zh-CN"/>
        </w:rPr>
      </w:pPr>
      <w:r>
        <w:rPr>
          <w:lang w:eastAsia="zh-CN"/>
        </w:rPr>
        <w:t>表面采暖产品</w:t>
      </w:r>
      <w:r>
        <w:rPr>
          <w:rFonts w:hint="eastAsia"/>
          <w:lang w:eastAsia="zh-CN"/>
        </w:rPr>
        <w:t>，全球市场总体规模</w:t>
      </w:r>
    </w:p>
    <w:p w14:paraId="33261207">
      <w:pPr>
        <w:pStyle w:val="145"/>
        <w:rPr>
          <w:lang w:eastAsia="zh-CN"/>
        </w:rPr>
      </w:pPr>
      <w:r>
        <w:drawing>
          <wp:inline distT="0" distB="0" distL="0" distR="0">
            <wp:extent cx="6188710" cy="2954655"/>
            <wp:effectExtent l="0" t="0" r="2540" b="0"/>
            <wp:docPr id="2" name="图表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14:paraId="548964BA"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表面采暖产品</w:t>
      </w:r>
      <w:r>
        <w:rPr>
          <w:rFonts w:hint="eastAsia"/>
          <w:lang w:eastAsia="zh-CN"/>
        </w:rPr>
        <w:t>市场研究报告2024-2030”</w:t>
      </w:r>
      <w:r>
        <w:rPr>
          <w:lang w:eastAsia="zh-CN"/>
        </w:rPr>
        <w:t>.</w:t>
      </w:r>
    </w:p>
    <w:p w14:paraId="12FD9BEF">
      <w:pPr>
        <w:pStyle w:val="145"/>
        <w:rPr>
          <w:lang w:eastAsia="zh-CN"/>
        </w:rPr>
      </w:pPr>
    </w:p>
    <w:p w14:paraId="720E31E2">
      <w:pPr>
        <w:pStyle w:val="148"/>
        <w:rPr>
          <w:lang w:eastAsia="zh-CN"/>
        </w:rPr>
      </w:pPr>
      <w:r>
        <w:rPr>
          <w:rFonts w:hint="eastAsia"/>
          <w:lang w:eastAsia="zh-CN"/>
        </w:rPr>
        <w:t>全球</w:t>
      </w:r>
      <w:r>
        <w:rPr>
          <w:lang w:eastAsia="zh-CN"/>
        </w:rPr>
        <w:t>表面采暖产品</w:t>
      </w:r>
      <w:r>
        <w:rPr>
          <w:rFonts w:hint="eastAsia"/>
          <w:lang w:eastAsia="zh-CN"/>
        </w:rPr>
        <w:t>市场前</w:t>
      </w:r>
      <w:r>
        <w:rPr>
          <w:lang w:eastAsia="zh-CN"/>
        </w:rPr>
        <w:t>14</w:t>
      </w:r>
      <w:r>
        <w:rPr>
          <w:rFonts w:hint="eastAsia"/>
          <w:lang w:eastAsia="zh-CN"/>
        </w:rPr>
        <w:t>强生产商排名及市场占有率（基于2</w:t>
      </w:r>
      <w:r>
        <w:rPr>
          <w:lang w:eastAsia="zh-CN"/>
        </w:rPr>
        <w:t>023</w:t>
      </w:r>
      <w:r>
        <w:rPr>
          <w:rFonts w:hint="eastAsia"/>
          <w:lang w:eastAsia="zh-CN"/>
        </w:rPr>
        <w:t>年调研数据；目前最新数据以本公司最新调研数据为准）</w:t>
      </w:r>
    </w:p>
    <w:p w14:paraId="773AFA33">
      <w:pPr>
        <w:widowControl/>
        <w:topLinePunct w:val="0"/>
        <w:spacing w:after="0"/>
        <w:jc w:val="center"/>
        <w:rPr>
          <w:rFonts w:ascii="宋体" w:hAnsi="宋体" w:cs="宋体"/>
          <w:kern w:val="0"/>
          <w:sz w:val="24"/>
          <w:szCs w:val="24"/>
        </w:rPr>
      </w:pPr>
      <w:r>
        <w:drawing>
          <wp:inline distT="0" distB="0" distL="0" distR="0">
            <wp:extent cx="3771900" cy="5991225"/>
            <wp:effectExtent l="0" t="0" r="0" b="0"/>
            <wp:docPr id="3" name="图表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14:paraId="04A43543"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如上图表/数据，摘自QYResearch报告“全球</w:t>
      </w:r>
      <w:r>
        <w:rPr>
          <w:lang w:eastAsia="zh-CN"/>
        </w:rPr>
        <w:t>表面采暖产品</w:t>
      </w:r>
      <w:r>
        <w:rPr>
          <w:rFonts w:hint="eastAsia"/>
          <w:lang w:eastAsia="zh-CN"/>
        </w:rPr>
        <w:t>市场研究报告2024-2030”，排名基于2</w:t>
      </w:r>
      <w:r>
        <w:rPr>
          <w:lang w:eastAsia="zh-CN"/>
        </w:rPr>
        <w:t>023</w:t>
      </w:r>
      <w:r>
        <w:rPr>
          <w:rFonts w:hint="eastAsia"/>
          <w:lang w:eastAsia="zh-CN"/>
        </w:rPr>
        <w:t>数据。目前最新数据，以本公司最新调研数据为准。</w:t>
      </w:r>
    </w:p>
    <w:p w14:paraId="30055C70">
      <w:pPr>
        <w:widowControl/>
        <w:topLinePunct w:val="0"/>
        <w:spacing w:after="0"/>
        <w:rPr>
          <w:rFonts w:ascii="Times New Roman" w:hAnsi="Times New Roman" w:cs="Times New Roman"/>
          <w:kern w:val="0"/>
          <w:sz w:val="22"/>
          <w:szCs w:val="22"/>
        </w:rPr>
      </w:pPr>
      <w:r>
        <w:rPr>
          <w:rFonts w:ascii="Times New Roman" w:hAnsi="Times New Roman" w:cs="Times New Roman"/>
          <w:kern w:val="0"/>
          <w:sz w:val="22"/>
          <w:szCs w:val="22"/>
        </w:rPr>
        <w:t>全球范围内表面采暖产品生产商主要包括Gentherm、Nexans、Danfoss A/S、Uponor、Emerson、I.G.Bauerhin、Rehau、Purmo Group、nVent、伟星新材等。2023年，全球前五大厂商占有大约18.0%的市场份额。</w:t>
      </w:r>
    </w:p>
    <w:p w14:paraId="679A3E3B">
      <w:pPr>
        <w:pStyle w:val="145"/>
        <w:rPr>
          <w:lang w:eastAsia="zh-CN"/>
        </w:rPr>
      </w:pPr>
    </w:p>
    <w:p w14:paraId="29E7A780">
      <w:pPr>
        <w:pStyle w:val="145"/>
        <w:rPr>
          <w:lang w:eastAsia="zh-CN"/>
        </w:rPr>
      </w:pPr>
    </w:p>
    <w:p w14:paraId="3B2E5865">
      <w:pPr>
        <w:pStyle w:val="145"/>
        <w:rPr>
          <w:lang w:eastAsia="zh-CN"/>
        </w:rPr>
      </w:pPr>
    </w:p>
    <w:p w14:paraId="3E6DE9A8">
      <w:pPr>
        <w:pStyle w:val="148"/>
        <w:rPr>
          <w:lang w:eastAsia="zh-CN"/>
        </w:rPr>
      </w:pPr>
      <w:r>
        <w:rPr>
          <w:lang w:eastAsia="zh-CN"/>
        </w:rPr>
        <w:t>表面采暖产品</w:t>
      </w:r>
      <w:r>
        <w:rPr>
          <w:rFonts w:hint="eastAsia"/>
          <w:lang w:eastAsia="zh-CN"/>
        </w:rPr>
        <w:t>，全球市场规模，按产品类型细分</w:t>
      </w:r>
      <w:r>
        <w:rPr>
          <w:lang w:eastAsia="zh-CN"/>
        </w:rPr>
        <w:t xml:space="preserve"> </w:t>
      </w:r>
    </w:p>
    <w:p w14:paraId="1DAC1641">
      <w:pPr>
        <w:pStyle w:val="145"/>
        <w:rPr>
          <w:lang w:eastAsia="zh-CN"/>
        </w:rPr>
      </w:pPr>
      <w:r>
        <w:rPr>
          <w:lang w:val="en-US" w:eastAsia="zh-CN"/>
        </w:rPr>
        <w:drawing>
          <wp:inline distT="0" distB="0" distL="0" distR="0">
            <wp:extent cx="6639560" cy="3067685"/>
            <wp:effectExtent l="0" t="0" r="889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639560" cy="30676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DDE815E"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表面采暖产品</w:t>
      </w:r>
      <w:r>
        <w:rPr>
          <w:rFonts w:hint="eastAsia"/>
          <w:lang w:eastAsia="zh-CN"/>
        </w:rPr>
        <w:t>市场研究报告2024-2030”</w:t>
      </w:r>
      <w:r>
        <w:rPr>
          <w:lang w:eastAsia="zh-CN"/>
        </w:rPr>
        <w:t>.</w:t>
      </w:r>
    </w:p>
    <w:p w14:paraId="6BBA08E9">
      <w:pPr>
        <w:widowControl/>
        <w:topLinePunct w:val="0"/>
        <w:spacing w:after="0"/>
        <w:rPr>
          <w:rFonts w:ascii="Book Antiqua" w:hAnsi="Book Antiqua" w:cs="宋体"/>
          <w:kern w:val="0"/>
          <w:sz w:val="22"/>
          <w:szCs w:val="22"/>
        </w:rPr>
      </w:pPr>
      <w:r>
        <w:rPr>
          <w:rFonts w:ascii="Book Antiqua" w:hAnsi="Book Antiqua" w:cs="宋体"/>
          <w:kern w:val="0"/>
          <w:sz w:val="22"/>
          <w:szCs w:val="22"/>
        </w:rPr>
        <w:t>就产品类型而言，目前地板采暖是最主要的细分产品，占据大约56.4%的份额。</w:t>
      </w:r>
    </w:p>
    <w:p w14:paraId="41C3AE68">
      <w:pPr>
        <w:pStyle w:val="145"/>
        <w:rPr>
          <w:lang w:val="en-US" w:eastAsia="zh-CN"/>
        </w:rPr>
      </w:pPr>
    </w:p>
    <w:p w14:paraId="0B069045">
      <w:pPr>
        <w:pStyle w:val="148"/>
        <w:rPr>
          <w:lang w:eastAsia="zh-CN"/>
        </w:rPr>
      </w:pPr>
      <w:r>
        <w:rPr>
          <w:lang w:eastAsia="zh-CN"/>
        </w:rPr>
        <w:t>表面采暖产品</w:t>
      </w:r>
      <w:r>
        <w:rPr>
          <w:rFonts w:hint="eastAsia"/>
          <w:lang w:eastAsia="zh-CN"/>
        </w:rPr>
        <w:t>，全球市场规模，按应用细分</w:t>
      </w:r>
    </w:p>
    <w:p w14:paraId="1F9213C6">
      <w:pPr>
        <w:widowControl/>
        <w:topLinePunct w:val="0"/>
        <w:spacing w:after="0"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ascii="宋体" w:hAnsi="宋体" w:cs="宋体"/>
          <w:kern w:val="0"/>
          <w:sz w:val="24"/>
          <w:szCs w:val="24"/>
        </w:rPr>
        <w:drawing>
          <wp:inline distT="0" distB="0" distL="0" distR="0">
            <wp:extent cx="6639560" cy="3067685"/>
            <wp:effectExtent l="0" t="0" r="889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639560" cy="30676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8CA65EC"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表面采暖产品</w:t>
      </w:r>
      <w:r>
        <w:rPr>
          <w:rFonts w:hint="eastAsia"/>
          <w:lang w:eastAsia="zh-CN"/>
        </w:rPr>
        <w:t>市场研究报告2024-2030”</w:t>
      </w:r>
      <w:r>
        <w:rPr>
          <w:lang w:eastAsia="zh-CN"/>
        </w:rPr>
        <w:t>.</w:t>
      </w:r>
    </w:p>
    <w:p w14:paraId="54CC48DB">
      <w:pPr>
        <w:widowControl/>
        <w:topLinePunct w:val="0"/>
        <w:spacing w:after="0"/>
        <w:rPr>
          <w:rFonts w:ascii="Book Antiqua" w:hAnsi="Book Antiqua" w:cs="宋体"/>
          <w:kern w:val="0"/>
          <w:sz w:val="22"/>
          <w:szCs w:val="22"/>
        </w:rPr>
      </w:pPr>
      <w:r>
        <w:rPr>
          <w:rFonts w:ascii="Book Antiqua" w:hAnsi="Book Antiqua" w:cs="宋体"/>
          <w:kern w:val="0"/>
          <w:sz w:val="22"/>
          <w:szCs w:val="22"/>
        </w:rPr>
        <w:t>就产品应用而言，目前住宅是最主要的需求来源，占据大约74.5%的份额。</w:t>
      </w:r>
    </w:p>
    <w:p w14:paraId="4B5D90DE">
      <w:pPr>
        <w:pStyle w:val="145"/>
        <w:rPr>
          <w:lang w:val="en-US" w:eastAsia="zh-CN"/>
        </w:rPr>
      </w:pPr>
    </w:p>
    <w:p w14:paraId="5F8B78C0">
      <w:pPr>
        <w:pStyle w:val="148"/>
        <w:rPr>
          <w:lang w:eastAsia="zh-CN"/>
        </w:rPr>
      </w:pPr>
      <w:r>
        <w:rPr>
          <w:rFonts w:hint="eastAsia"/>
          <w:lang w:eastAsia="zh-CN"/>
        </w:rPr>
        <w:t>全球</w:t>
      </w:r>
      <w:r>
        <w:rPr>
          <w:lang w:eastAsia="zh-CN"/>
        </w:rPr>
        <w:t>表面采暖产品</w:t>
      </w:r>
      <w:r>
        <w:rPr>
          <w:rFonts w:hint="eastAsia"/>
          <w:lang w:eastAsia="zh-CN"/>
        </w:rPr>
        <w:t>规模，主要生产地区份额（按产值）</w:t>
      </w:r>
    </w:p>
    <w:p w14:paraId="04A4515E">
      <w:pPr>
        <w:pStyle w:val="145"/>
        <w:rPr>
          <w:lang w:val="en-US" w:eastAsia="zh-CN"/>
        </w:rPr>
      </w:pPr>
      <w:r>
        <w:drawing>
          <wp:inline distT="0" distB="0" distL="0" distR="0">
            <wp:extent cx="6188710" cy="2922270"/>
            <wp:effectExtent l="0" t="0" r="2540" b="0"/>
            <wp:docPr id="14" name="图表 1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</wp:inline>
        </w:drawing>
      </w:r>
    </w:p>
    <w:p w14:paraId="5315F7D2"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表面采暖产品</w:t>
      </w:r>
      <w:r>
        <w:rPr>
          <w:rFonts w:hint="eastAsia"/>
          <w:lang w:eastAsia="zh-CN"/>
        </w:rPr>
        <w:t>市场研究报告2024-2030”</w:t>
      </w:r>
      <w:r>
        <w:rPr>
          <w:lang w:eastAsia="zh-CN"/>
        </w:rPr>
        <w:t>.</w:t>
      </w:r>
    </w:p>
    <w:p w14:paraId="418CECD8">
      <w:pPr>
        <w:pStyle w:val="145"/>
        <w:rPr>
          <w:lang w:eastAsia="zh-CN"/>
        </w:rPr>
      </w:pPr>
      <w:r>
        <w:rPr>
          <w:rFonts w:hint="eastAsia"/>
          <w:lang w:eastAsia="zh-CN"/>
        </w:rPr>
        <w:t>主要驱动因素</w:t>
      </w:r>
      <w:r>
        <w:rPr>
          <w:lang w:eastAsia="zh-CN"/>
        </w:rPr>
        <w:t>:</w:t>
      </w:r>
    </w:p>
    <w:p w14:paraId="5666E4F2">
      <w:pPr>
        <w:pStyle w:val="145"/>
        <w:rPr>
          <w:lang w:eastAsia="zh-CN"/>
        </w:rPr>
      </w:pPr>
      <w:r>
        <w:rPr>
          <w:rFonts w:hint="eastAsia"/>
          <w:lang w:eastAsia="zh-CN"/>
        </w:rPr>
        <w:t>们对居住环境的舒适度要求越来越高，希望在寒冷季节能享受更均匀、舒适的采暖体验，这促使对高品质采暖产品的需求增长。材料技术、发热技术等不断创新和改进，使得表面采暖产品性能提升、更节能高效、使用更安全可靠，同时成本逐渐降低，扩大了市场应用。高效节能的采暖方式越来越受到重视，表面采暖相对传统采暖方式在节能方面有一定优势，符合节能政策导向。</w:t>
      </w:r>
    </w:p>
    <w:p w14:paraId="446A06E2">
      <w:pPr>
        <w:pStyle w:val="145"/>
        <w:rPr>
          <w:lang w:eastAsia="zh-CN"/>
        </w:rPr>
      </w:pPr>
      <w:r>
        <w:rPr>
          <w:rFonts w:hint="eastAsia"/>
          <w:lang w:eastAsia="zh-CN"/>
        </w:rPr>
        <w:t>主要阻碍因素</w:t>
      </w:r>
      <w:r>
        <w:rPr>
          <w:lang w:eastAsia="zh-CN"/>
        </w:rPr>
        <w:t>:</w:t>
      </w:r>
    </w:p>
    <w:p w14:paraId="3296E651">
      <w:pPr>
        <w:pStyle w:val="145"/>
        <w:rPr>
          <w:lang w:eastAsia="zh-CN"/>
        </w:rPr>
      </w:pPr>
      <w:r>
        <w:rPr>
          <w:rFonts w:hint="eastAsia"/>
          <w:lang w:eastAsia="zh-CN"/>
        </w:rPr>
        <w:t>某些表面采暖产品可能需要在房屋装修前期就进行规划和安装，这对一些已建成房屋或改造项目有一定限制。一些消费者可能对这类产品缺乏了解，或受传统观念影响，对其效果和可靠性存在疑虑，阻碍了市场推广。一些低质量产品充斥市场，影响整个行业形象和消费者信心。</w:t>
      </w:r>
    </w:p>
    <w:p w14:paraId="620E7F93">
      <w:pPr>
        <w:pStyle w:val="145"/>
        <w:rPr>
          <w:lang w:eastAsia="zh-CN"/>
        </w:rPr>
      </w:pPr>
      <w:r>
        <w:rPr>
          <w:rFonts w:hint="eastAsia"/>
          <w:lang w:eastAsia="zh-CN"/>
        </w:rPr>
        <w:t>行业发展机遇</w:t>
      </w:r>
      <w:r>
        <w:rPr>
          <w:lang w:eastAsia="zh-CN"/>
        </w:rPr>
        <w:t>:</w:t>
      </w:r>
    </w:p>
    <w:p w14:paraId="6875CE01">
      <w:pPr>
        <w:pStyle w:val="145"/>
        <w:rPr>
          <w:lang w:eastAsia="zh-CN"/>
        </w:rPr>
      </w:pPr>
      <w:r>
        <w:rPr>
          <w:rFonts w:hint="eastAsia"/>
          <w:lang w:eastAsia="zh-CN"/>
        </w:rPr>
        <w:t>随着绿色建筑理念的深入，高效、环保的表面采暖产品契合其发展需求，有望在新建绿色建筑中得到更多应用。大量老旧小区的采暖系统需要升级改造，为表面采暖产品提供了进入市场的契机。与智能家居系统的融合，实现智能化控制和管理，提升用户体验，顺应时代潮流。</w:t>
      </w: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p w14:paraId="07A95001">
      <w:pPr>
        <w:pStyle w:val="145"/>
        <w:rPr>
          <w:lang w:eastAsia="zh-CN"/>
        </w:rPr>
      </w:pPr>
    </w:p>
    <w:sectPr>
      <w:headerReference r:id="rId6" w:type="first"/>
      <w:headerReference r:id="rId4" w:type="default"/>
      <w:footerReference r:id="rId7" w:type="default"/>
      <w:headerReference r:id="rId5" w:type="even"/>
      <w:pgSz w:w="11906" w:h="16838"/>
      <w:pgMar w:top="1440" w:right="1080" w:bottom="1440" w:left="1080" w:header="709" w:footer="56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Book Antiqua">
    <w:panose1 w:val="02040602050305030304"/>
    <w:charset w:val="00"/>
    <w:family w:val="roman"/>
    <w:pitch w:val="default"/>
    <w:sig w:usb0="00000287" w:usb1="00000000" w:usb2="00000000" w:usb3="00000000" w:csb0="2000009F" w:csb1="DFD70000"/>
  </w:font>
  <w:font w:name="Frutiger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entury Gothic">
    <w:panose1 w:val="020B0502020202020204"/>
    <w:charset w:val="00"/>
    <w:family w:val="swiss"/>
    <w:pitch w:val="default"/>
    <w:sig w:usb0="00000287" w:usb1="00000000" w:usb2="00000000" w:usb3="00000000" w:csb0="2000009F" w:csb1="DFD70000"/>
  </w:font>
  <w:font w:name="Book Antiqua">
    <w:panose1 w:val="02040602050305030304"/>
    <w:charset w:val="01"/>
    <w:family w:val="auto"/>
    <w:pitch w:val="default"/>
    <w:sig w:usb0="00000287" w:usb1="00000000" w:usb2="00000000" w:usb3="00000000" w:csb0="2000009F" w:csb1="DFD70000"/>
  </w:font>
  <w:font w:name="Franklin Gothic Demi">
    <w:panose1 w:val="020B0703020102020204"/>
    <w:charset w:val="00"/>
    <w:family w:val="swiss"/>
    <w:pitch w:val="default"/>
    <w:sig w:usb0="00000287" w:usb1="00000000" w:usb2="00000000" w:usb3="00000000" w:csb0="2000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06E0980">
    <w:pPr>
      <w:pStyle w:val="21"/>
      <w:jc w:val="center"/>
    </w:pPr>
    <w:r>
      <w:t>Copyright © QYResearch | market@qyresearch.com | www.qyresearch.com.cn</w:t>
    </w:r>
    <w:r>
      <w:rPr>
        <w:rFonts w:hint="eastAsia"/>
        <w:lang w:val="en-US" w:eastAsia="zh-CN"/>
      </w:rPr>
      <w:t xml:space="preserve"> |  13044295150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4EBBC53">
    <w:pPr>
      <w:pStyle w:val="22"/>
      <w:pBdr>
        <w:bottom w:val="none" w:color="auto" w:sz="0" w:space="0"/>
      </w:pBdr>
      <w:jc w:val="both"/>
    </w:pPr>
    <w:r>
      <w:rPr>
        <w:rFonts w:ascii="Franklin Gothic Demi" w:hAnsi="Franklin Gothic Demi"/>
        <w:color w:val="FFFFFF" w:themeColor="background1"/>
        <w:sz w:val="28"/>
        <w14:textFill>
          <w14:solidFill>
            <w14:schemeClr w14:val="bg1"/>
          </w14:solidFill>
        </w14:textFill>
      </w:rPr>
      <w:drawing>
        <wp:anchor distT="0" distB="0" distL="114300" distR="114300" simplePos="0" relativeHeight="251661312" behindDoc="1" locked="0" layoutInCell="1" allowOverlap="1">
          <wp:simplePos x="0" y="0"/>
          <wp:positionH relativeFrom="page">
            <wp:posOffset>-70485</wp:posOffset>
          </wp:positionH>
          <wp:positionV relativeFrom="page">
            <wp:posOffset>0</wp:posOffset>
          </wp:positionV>
          <wp:extent cx="7655560" cy="1105535"/>
          <wp:effectExtent l="0" t="0" r="3175" b="0"/>
          <wp:wrapNone/>
          <wp:docPr id="1550190406" name="图片 155019040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50190406" name="图片 1550190406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55312" cy="110553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Franklin Gothic Demi" w:hAnsi="Franklin Gothic Demi"/>
        <w:color w:val="FFFFFF" w:themeColor="background1"/>
        <w:sz w:val="28"/>
        <w14:textFill>
          <w14:solidFill>
            <w14:schemeClr w14:val="bg1"/>
          </w14:solidFill>
        </w14:textFill>
      </w:rPr>
      <mc:AlternateContent>
        <mc:Choice Requires="wps">
          <w:drawing>
            <wp:anchor distT="45720" distB="45720" distL="114300" distR="114300" simplePos="0" relativeHeight="251662336" behindDoc="0" locked="0" layoutInCell="1" allowOverlap="1">
              <wp:simplePos x="0" y="0"/>
              <wp:positionH relativeFrom="margin">
                <wp:posOffset>-233680</wp:posOffset>
              </wp:positionH>
              <wp:positionV relativeFrom="paragraph">
                <wp:posOffset>-331470</wp:posOffset>
              </wp:positionV>
              <wp:extent cx="5201920" cy="783590"/>
              <wp:effectExtent l="0" t="0" r="0" b="0"/>
              <wp:wrapSquare wrapText="bothSides"/>
              <wp:docPr id="1907098769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201920" cy="78359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</a:ln>
                      <a:effectLst/>
                    </wps:spPr>
                    <wps:txbx>
                      <w:txbxContent>
                        <w:p w14:paraId="65371B16">
                          <w:pPr>
                            <w:jc w:val="left"/>
                            <w:rPr>
                              <w:rFonts w:cs="Calibri"/>
                              <w:b/>
                              <w:color w:val="FFFFFF" w:themeColor="background1"/>
                              <w:sz w:val="28"/>
                              <w:szCs w:val="28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</w:pPr>
                          <w:r>
                            <w:rPr>
                              <w:rFonts w:hint="eastAsia" w:cs="Calibri"/>
                              <w:b/>
                              <w:color w:val="FFFFFF" w:themeColor="background1"/>
                              <w:sz w:val="28"/>
                              <w:szCs w:val="28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  <w:t>全球市场研究报告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 Box 2" o:spid="_x0000_s1026" o:spt="202" type="#_x0000_t202" style="position:absolute;left:0pt;margin-left:-18.4pt;margin-top:-26.1pt;height:61.7pt;width:409.6pt;mso-position-horizontal-relative:margin;mso-wrap-distance-bottom:3.6pt;mso-wrap-distance-left:9pt;mso-wrap-distance-right:9pt;mso-wrap-distance-top:3.6pt;z-index:251662336;v-text-anchor:middle;mso-width-relative:page;mso-height-relative:page;" filled="f" stroked="f" coordsize="21600,21600" o:gfxdata="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Ecpl&#10;ZtkAAAAKAQAADwAAAAAAAAABACAAAAAiAAAAZHJzL2Rvd25yZXYueG1sUEsBAhQAFAAAAAgAh07i&#10;QGUIQ3whAgAAQQQAAA4AAAAAAAAAAQAgAAAAKAEAAGRycy9lMm9Eb2MueG1sUEsFBgAAAAAGAAYA&#10;WQEAALsFAAAAAA==&#10;">
              <v:fill on="f" focussize="0,0"/>
              <v:stroke on="f" miterlimit="8" joinstyle="miter"/>
              <v:imagedata o:title=""/>
              <o:lock v:ext="edit" aspectratio="f"/>
              <v:textbox>
                <w:txbxContent>
                  <w:p w14:paraId="65371B16">
                    <w:pPr>
                      <w:jc w:val="left"/>
                      <w:rPr>
                        <w:rFonts w:cs="Calibri"/>
                        <w:b/>
                        <w:color w:val="FFFFFF" w:themeColor="background1"/>
                        <w:sz w:val="28"/>
                        <w:szCs w:val="28"/>
                        <w14:textFill>
                          <w14:solidFill>
                            <w14:schemeClr w14:val="bg1"/>
                          </w14:solidFill>
                        </w14:textFill>
                      </w:rPr>
                    </w:pPr>
                    <w:r>
                      <w:rPr>
                        <w:rFonts w:hint="eastAsia" w:cs="Calibri"/>
                        <w:b/>
                        <w:color w:val="FFFFFF" w:themeColor="background1"/>
                        <w:sz w:val="28"/>
                        <w:szCs w:val="28"/>
                        <w14:textFill>
                          <w14:solidFill>
                            <w14:schemeClr w14:val="bg1"/>
                          </w14:solidFill>
                        </w14:textFill>
                      </w:rPr>
                      <w:t>全球市场研究报告</w:t>
                    </w:r>
                  </w:p>
                </w:txbxContent>
              </v:textbox>
              <w10:wrap type="square"/>
            </v:shape>
          </w:pict>
        </mc:Fallback>
      </mc:AlternateContent>
    </w:r>
  </w:p>
  <w:p w14:paraId="02A48211">
    <w:pPr>
      <w:pStyle w:val="22"/>
      <w:pBdr>
        <w:bottom w:val="none" w:color="auto" w:sz="0" w:space="0"/>
      </w:pBdr>
      <w:jc w:val="both"/>
    </w:pPr>
  </w:p>
  <w:p w14:paraId="7C1E6558">
    <w:pPr>
      <w:pStyle w:val="22"/>
      <w:pBdr>
        <w:bottom w:val="none" w:color="auto" w:sz="0" w:space="0"/>
      </w:pBdr>
      <w:jc w:val="both"/>
    </w:pPr>
  </w:p>
  <w:p w14:paraId="3522D064">
    <w:pPr>
      <w:pStyle w:val="22"/>
      <w:pBdr>
        <w:bottom w:val="none" w:color="auto" w:sz="0" w:space="0"/>
      </w:pBdr>
      <w:jc w:val="both"/>
    </w:pPr>
  </w:p>
  <w:p w14:paraId="0E6B6DFD">
    <w:pPr>
      <w:pStyle w:val="22"/>
      <w:pBdr>
        <w:bottom w:val="none" w:color="auto" w:sz="0" w:space="0"/>
      </w:pBdr>
      <w:jc w:val="both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6839A2F">
    <w:r>
      <w:rPr>
        <w:lang w:eastAsia="en-IN"/>
      </w:rPr>
      <w:pict>
        <v:shape id="WordPictureWatermark17776532" o:spid="_x0000_s2056" o:spt="75" type="#_x0000_t75" style="position:absolute;left:0pt;height:238.85pt;width:481.85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186DDD5">
    <w:r>
      <w:rPr>
        <w:lang w:eastAsia="en-IN"/>
      </w:rPr>
      <w:pict>
        <v:shape id="WordPictureWatermark17776531" o:spid="_x0000_s2055" o:spt="75" type="#_x0000_t75" style="position:absolute;left:0pt;height:238.85pt;width:481.85pt;mso-position-horizontal:center;mso-position-horizontal-relative:margin;mso-position-vertical:center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none"/>
      <w:pStyle w:val="148"/>
      <w:suff w:val="nothing"/>
      <w:lvlText w:val="图%1.   "/>
      <w:lvlJc w:val="left"/>
      <w:pPr>
        <w:ind w:left="357" w:hanging="357"/>
      </w:pPr>
      <w:rPr>
        <w:rFonts w:hint="default" w:ascii="Tahoma" w:hAnsi="Tahoma" w:eastAsia="宋体"/>
        <w:sz w:val="21"/>
        <w:lang w:val="en-I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51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 w14:prst="orthographicFront"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 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 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 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  <w:docVar w:name="commondata" w:val="eyJoZGlkIjoiNjdhMTMwNDYzZWIwOTU0NDRlYjIzNmI5NWQ1MzBlYjAifQ=="/>
  </w:docVars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CBB"/>
    <w:rsid w:val="0000148D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B0F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8A7"/>
    <w:rsid w:val="00016D28"/>
    <w:rsid w:val="00016EE0"/>
    <w:rsid w:val="000173DA"/>
    <w:rsid w:val="00017AF5"/>
    <w:rsid w:val="00017B00"/>
    <w:rsid w:val="00017B67"/>
    <w:rsid w:val="00020010"/>
    <w:rsid w:val="0002003A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462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9F4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398"/>
    <w:rsid w:val="0006458C"/>
    <w:rsid w:val="0006479F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3B1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7B8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136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664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146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CA5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805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B81"/>
    <w:rsid w:val="000C7D72"/>
    <w:rsid w:val="000C7F08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C0E"/>
    <w:rsid w:val="000E2D99"/>
    <w:rsid w:val="000E2F79"/>
    <w:rsid w:val="000E307E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FB"/>
    <w:rsid w:val="000E7E33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2F0"/>
    <w:rsid w:val="001054D1"/>
    <w:rsid w:val="001056AE"/>
    <w:rsid w:val="001059EC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C6C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53F"/>
    <w:rsid w:val="001617F2"/>
    <w:rsid w:val="00161985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14C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30F"/>
    <w:rsid w:val="00174813"/>
    <w:rsid w:val="00174928"/>
    <w:rsid w:val="00174B47"/>
    <w:rsid w:val="00175134"/>
    <w:rsid w:val="00175245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1D6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6E10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880"/>
    <w:rsid w:val="001F0A32"/>
    <w:rsid w:val="001F0BE5"/>
    <w:rsid w:val="001F0D3F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BC1"/>
    <w:rsid w:val="00271D3B"/>
    <w:rsid w:val="00272374"/>
    <w:rsid w:val="002724AA"/>
    <w:rsid w:val="002724AD"/>
    <w:rsid w:val="002729D2"/>
    <w:rsid w:val="00272A57"/>
    <w:rsid w:val="00273006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A4D"/>
    <w:rsid w:val="002A1122"/>
    <w:rsid w:val="002A11A6"/>
    <w:rsid w:val="002A12C5"/>
    <w:rsid w:val="002A1330"/>
    <w:rsid w:val="002A13DC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9EE"/>
    <w:rsid w:val="002B1A3C"/>
    <w:rsid w:val="002B1CB6"/>
    <w:rsid w:val="002B1CDF"/>
    <w:rsid w:val="002B23E5"/>
    <w:rsid w:val="002B248B"/>
    <w:rsid w:val="002B24B5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0AF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86A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505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05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0E4"/>
    <w:rsid w:val="003915D3"/>
    <w:rsid w:val="00391663"/>
    <w:rsid w:val="0039166F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BE5"/>
    <w:rsid w:val="0039500B"/>
    <w:rsid w:val="003951FF"/>
    <w:rsid w:val="0039526A"/>
    <w:rsid w:val="00395A25"/>
    <w:rsid w:val="00395A67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530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A5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81C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AEB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3CA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7FE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A42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82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BC1"/>
    <w:rsid w:val="00490260"/>
    <w:rsid w:val="0049027E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D5C"/>
    <w:rsid w:val="004A019C"/>
    <w:rsid w:val="004A01EF"/>
    <w:rsid w:val="004A0312"/>
    <w:rsid w:val="004A031D"/>
    <w:rsid w:val="004A0486"/>
    <w:rsid w:val="004A0693"/>
    <w:rsid w:val="004A07F5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933"/>
    <w:rsid w:val="004E1C72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9DE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922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038"/>
    <w:rsid w:val="00574608"/>
    <w:rsid w:val="00574769"/>
    <w:rsid w:val="0057477D"/>
    <w:rsid w:val="005747B8"/>
    <w:rsid w:val="00574B8E"/>
    <w:rsid w:val="00574CBE"/>
    <w:rsid w:val="00574D00"/>
    <w:rsid w:val="00575048"/>
    <w:rsid w:val="005752F6"/>
    <w:rsid w:val="0057548A"/>
    <w:rsid w:val="00575A51"/>
    <w:rsid w:val="00575ABA"/>
    <w:rsid w:val="00575BBB"/>
    <w:rsid w:val="00575C35"/>
    <w:rsid w:val="00575C56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E5D"/>
    <w:rsid w:val="00593F68"/>
    <w:rsid w:val="00593FB5"/>
    <w:rsid w:val="00594158"/>
    <w:rsid w:val="005946FB"/>
    <w:rsid w:val="0059473F"/>
    <w:rsid w:val="00594BD4"/>
    <w:rsid w:val="00594E8D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1AC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01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5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7B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6C"/>
    <w:rsid w:val="00630BE1"/>
    <w:rsid w:val="00630F3B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167"/>
    <w:rsid w:val="00634389"/>
    <w:rsid w:val="00634487"/>
    <w:rsid w:val="006344EE"/>
    <w:rsid w:val="00634580"/>
    <w:rsid w:val="006346F1"/>
    <w:rsid w:val="006350C7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75"/>
    <w:rsid w:val="0065409F"/>
    <w:rsid w:val="006542CE"/>
    <w:rsid w:val="00654545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BD4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370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3BE"/>
    <w:rsid w:val="006B2419"/>
    <w:rsid w:val="006B2590"/>
    <w:rsid w:val="006B27ED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92A"/>
    <w:rsid w:val="006E494B"/>
    <w:rsid w:val="006E495B"/>
    <w:rsid w:val="006E5A0D"/>
    <w:rsid w:val="006E5E8C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223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26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4290"/>
    <w:rsid w:val="0072438D"/>
    <w:rsid w:val="007244CA"/>
    <w:rsid w:val="007246A4"/>
    <w:rsid w:val="0072478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5DA8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EDC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254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6ED"/>
    <w:rsid w:val="008049AE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E94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118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410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59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765"/>
    <w:rsid w:val="008D579E"/>
    <w:rsid w:val="008D58DE"/>
    <w:rsid w:val="008D5C61"/>
    <w:rsid w:val="008D5D83"/>
    <w:rsid w:val="008D5E2A"/>
    <w:rsid w:val="008D5EA9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6F2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375"/>
    <w:rsid w:val="009574DE"/>
    <w:rsid w:val="00957C7B"/>
    <w:rsid w:val="00960260"/>
    <w:rsid w:val="0096063A"/>
    <w:rsid w:val="009607F0"/>
    <w:rsid w:val="0096082B"/>
    <w:rsid w:val="00960D75"/>
    <w:rsid w:val="00960ED5"/>
    <w:rsid w:val="0096105F"/>
    <w:rsid w:val="00961218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29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C2E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DA2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4ED"/>
    <w:rsid w:val="009939DE"/>
    <w:rsid w:val="00993B09"/>
    <w:rsid w:val="00993B2B"/>
    <w:rsid w:val="00993B71"/>
    <w:rsid w:val="00993F7B"/>
    <w:rsid w:val="009940CC"/>
    <w:rsid w:val="00994210"/>
    <w:rsid w:val="009943D4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44D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473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93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19A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3BF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561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7F4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38E"/>
    <w:rsid w:val="00A823D4"/>
    <w:rsid w:val="00A8250D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86"/>
    <w:rsid w:val="00AD1608"/>
    <w:rsid w:val="00AD16CC"/>
    <w:rsid w:val="00AD1842"/>
    <w:rsid w:val="00AD1876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729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04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BA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3D4F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418"/>
    <w:rsid w:val="00BF45E6"/>
    <w:rsid w:val="00BF4930"/>
    <w:rsid w:val="00BF49B6"/>
    <w:rsid w:val="00BF4B1C"/>
    <w:rsid w:val="00BF4BBE"/>
    <w:rsid w:val="00BF4DD4"/>
    <w:rsid w:val="00BF517E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2E7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27E95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70E"/>
    <w:rsid w:val="00C65A91"/>
    <w:rsid w:val="00C66228"/>
    <w:rsid w:val="00C6632B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BEE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6016"/>
    <w:rsid w:val="00CA6097"/>
    <w:rsid w:val="00CA624B"/>
    <w:rsid w:val="00CA698E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0B3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151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4E5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DE2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8C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503"/>
    <w:rsid w:val="00E13565"/>
    <w:rsid w:val="00E13A5C"/>
    <w:rsid w:val="00E13BFB"/>
    <w:rsid w:val="00E13F32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3F86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A85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77A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374"/>
    <w:rsid w:val="00E7263F"/>
    <w:rsid w:val="00E7268A"/>
    <w:rsid w:val="00E726CD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9E9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283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1FFF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24C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6E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3A84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3F9F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8D6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9F5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1A2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8B7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2DF1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3C4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2C5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  <w:rsid w:val="6F1323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qFormat="1" w:unhideWhenUsed="0" w:uiPriority="0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qFormat="1" w:unhideWhenUsed="0" w:uiPriority="0" w:semiHidden="0" w:name="Table Colorful 2"/>
    <w:lsdException w:uiPriority="99" w:name="Table Colorful 3"/>
    <w:lsdException w:uiPriority="99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uiPriority="99" w:name="Table Columns 4"/>
    <w:lsdException w:qFormat="1" w:unhideWhenUsed="0" w:uiPriority="0" w:semiHidden="0" w:name="Table Columns 5"/>
    <w:lsdException w:uiPriority="99" w:name="Table Grid 1"/>
    <w:lsdException w:uiPriority="99" w:name="Table Grid 2"/>
    <w:lsdException w:qFormat="1" w:unhideWhenUsed="0" w:uiPriority="0" w:semiHidden="0" w:name="Table Grid 3"/>
    <w:lsdException w:qFormat="1"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qFormat="1"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qFormat="1" w:unhideWhenUsed="0" w:uiPriority="61" w:semiHidden="0" w:name="Light List"/>
    <w:lsdException w:unhideWhenUsed="0" w:uiPriority="62" w:semiHidden="0" w:name="Light Grid"/>
    <w:lsdException w:qFormat="1"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qFormat="1"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qFormat="1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iPriority="61" w:semiHidden="0" w:name="Light List Accent 2"/>
    <w:lsdException w:unhideWhenUsed="0" w:uiPriority="62" w:semiHidden="0" w:name="Light Grid Accent 2"/>
    <w:lsdException w:qFormat="1" w:uiPriority="63" w:semiHidden="0" w:name="Medium Shading 1 Accent 2"/>
    <w:lsdException w:qFormat="1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qFormat="1" w:uiPriority="61" w:semiHidden="0" w:name="Light List Accent 3"/>
    <w:lsdException w:unhideWhenUsed="0" w:uiPriority="62" w:semiHidden="0" w:name="Light Grid Accent 3"/>
    <w:lsdException w:qFormat="1" w:uiPriority="63" w:semiHidden="0" w:name="Medium Shading 1 Accent 3"/>
    <w:lsdException w:qFormat="1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qFormat="1" w:uiPriority="67" w:semiHidden="0" w:name="Medium Grid 1 Accent 3"/>
    <w:lsdException w:unhideWhenUsed="0" w:uiPriority="68" w:semiHidden="0" w:name="Medium Grid 2 Accent 3"/>
    <w:lsdException w:qFormat="1" w:uiPriority="69" w:semiHidden="0" w:name="Medium Grid 3 Accent 3"/>
    <w:lsdException w:qFormat="1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qFormat="1" w:uiPriority="73" w:semiHidden="0" w:name="Colorful Grid Accent 3"/>
    <w:lsdException w:unhideWhenUsed="0" w:uiPriority="60" w:semiHidden="0" w:name="Light Shading Accent 4"/>
    <w:lsdException w:qFormat="1" w:uiPriority="61" w:semiHidden="0" w:name="Light List Accent 4"/>
    <w:lsdException w:unhideWhenUsed="0" w:uiPriority="62" w:semiHidden="0" w:name="Light Grid Accent 4"/>
    <w:lsdException w:qFormat="1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qFormat="1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qFormat="1" w:uiPriority="61" w:semiHidden="0" w:name="Light List Accent 5"/>
    <w:lsdException w:unhideWhenUsed="0" w:uiPriority="62" w:semiHidden="0" w:name="Light Grid Accent 5"/>
    <w:lsdException w:qFormat="1" w:uiPriority="63" w:semiHidden="0" w:name="Medium Shading 1 Accent 5"/>
    <w:lsdException w:qFormat="1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qFormat="1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qFormat="1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topLinePunct/>
      <w:spacing w:after="40"/>
      <w:jc w:val="both"/>
    </w:pPr>
    <w:rPr>
      <w:rFonts w:ascii="Tahoma" w:hAnsi="Tahoma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81"/>
    <w:autoRedefine/>
    <w:qFormat/>
    <w:uiPriority w:val="9"/>
    <w:pPr>
      <w:keepNext/>
      <w:keepLines/>
      <w:pageBreakBefore/>
      <w:widowControl/>
      <w:numPr>
        <w:ilvl w:val="0"/>
        <w:numId w:val="1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3">
    <w:name w:val="heading 2"/>
    <w:basedOn w:val="1"/>
    <w:next w:val="1"/>
    <w:link w:val="82"/>
    <w:autoRedefine/>
    <w:qFormat/>
    <w:uiPriority w:val="9"/>
    <w:pPr>
      <w:keepNext/>
      <w:keepLines/>
      <w:numPr>
        <w:ilvl w:val="1"/>
        <w:numId w:val="1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83"/>
    <w:autoRedefine/>
    <w:qFormat/>
    <w:uiPriority w:val="9"/>
    <w:pPr>
      <w:keepNext/>
      <w:keepLines/>
      <w:numPr>
        <w:ilvl w:val="2"/>
        <w:numId w:val="1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84"/>
    <w:qFormat/>
    <w:uiPriority w:val="9"/>
    <w:pPr>
      <w:keepNext/>
      <w:keepLines/>
      <w:numPr>
        <w:ilvl w:val="3"/>
        <w:numId w:val="1"/>
      </w:numPr>
      <w:spacing w:before="80" w:after="80"/>
      <w:ind w:left="567" w:hanging="567"/>
      <w:outlineLvl w:val="3"/>
    </w:pPr>
    <w:rPr>
      <w:b/>
      <w:bCs/>
      <w:sz w:val="26"/>
      <w:szCs w:val="26"/>
      <w:lang w:val="zh-CN" w:eastAsia="zh-CN"/>
    </w:rPr>
  </w:style>
  <w:style w:type="paragraph" w:styleId="6">
    <w:name w:val="heading 5"/>
    <w:basedOn w:val="1"/>
    <w:next w:val="1"/>
    <w:link w:val="85"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86"/>
    <w:autoRedefine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paragraph" w:styleId="8">
    <w:name w:val="heading 7"/>
    <w:basedOn w:val="1"/>
    <w:next w:val="1"/>
    <w:link w:val="192"/>
    <w:unhideWhenUsed/>
    <w:qFormat/>
    <w:uiPriority w:val="9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9">
    <w:name w:val="heading 8"/>
    <w:basedOn w:val="1"/>
    <w:next w:val="1"/>
    <w:link w:val="193"/>
    <w:semiHidden/>
    <w:unhideWhenUsed/>
    <w:qFormat/>
    <w:uiPriority w:val="9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character" w:default="1" w:styleId="67">
    <w:name w:val="Default Paragraph Font"/>
    <w:semiHidden/>
    <w:unhideWhenUsed/>
    <w:qFormat/>
    <w:uiPriority w:val="1"/>
  </w:style>
  <w:style w:type="table" w:default="1" w:styleId="3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oc 7"/>
    <w:basedOn w:val="1"/>
    <w:next w:val="1"/>
    <w:autoRedefine/>
    <w:unhideWhenUsed/>
    <w:qFormat/>
    <w:uiPriority w:val="39"/>
    <w:pPr>
      <w:ind w:left="2520" w:leftChars="1200"/>
    </w:pPr>
  </w:style>
  <w:style w:type="paragraph" w:styleId="11">
    <w:name w:val="Document Map"/>
    <w:basedOn w:val="1"/>
    <w:link w:val="91"/>
    <w:qFormat/>
    <w:uiPriority w:val="0"/>
    <w:pPr>
      <w:shd w:val="clear" w:color="auto" w:fill="000080"/>
    </w:pPr>
    <w:rPr>
      <w:rFonts w:asciiTheme="minorHAnsi" w:hAnsiTheme="minorHAnsi"/>
    </w:rPr>
  </w:style>
  <w:style w:type="paragraph" w:styleId="12">
    <w:name w:val="annotation text"/>
    <w:basedOn w:val="1"/>
    <w:link w:val="116"/>
    <w:unhideWhenUsed/>
    <w:qFormat/>
    <w:uiPriority w:val="0"/>
    <w:pPr>
      <w:jc w:val="left"/>
    </w:pPr>
  </w:style>
  <w:style w:type="paragraph" w:styleId="13">
    <w:name w:val="Body Text"/>
    <w:basedOn w:val="1"/>
    <w:link w:val="112"/>
    <w:qFormat/>
    <w:uiPriority w:val="1"/>
    <w:pPr>
      <w:jc w:val="left"/>
    </w:pPr>
    <w:rPr>
      <w:rFonts w:eastAsia="Arial" w:cs="Arial"/>
      <w:kern w:val="0"/>
      <w:sz w:val="53"/>
      <w:szCs w:val="53"/>
      <w:lang w:eastAsia="en-US"/>
    </w:rPr>
  </w:style>
  <w:style w:type="paragraph" w:styleId="14">
    <w:name w:val="toc 5"/>
    <w:basedOn w:val="1"/>
    <w:next w:val="1"/>
    <w:autoRedefine/>
    <w:unhideWhenUsed/>
    <w:qFormat/>
    <w:uiPriority w:val="39"/>
    <w:pPr>
      <w:ind w:left="1680" w:leftChars="800"/>
    </w:pPr>
  </w:style>
  <w:style w:type="paragraph" w:styleId="15">
    <w:name w:val="toc 3"/>
    <w:basedOn w:val="1"/>
    <w:next w:val="1"/>
    <w:autoRedefine/>
    <w:qFormat/>
    <w:uiPriority w:val="39"/>
    <w:pPr>
      <w:tabs>
        <w:tab w:val="right" w:pos="9746"/>
      </w:tabs>
      <w:ind w:left="1009" w:hanging="578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6">
    <w:name w:val="Plain Text"/>
    <w:basedOn w:val="1"/>
    <w:link w:val="108"/>
    <w:qFormat/>
    <w:uiPriority w:val="0"/>
    <w:rPr>
      <w:rFonts w:ascii="宋体" w:hAnsi="Courier New" w:cs="Courier New"/>
    </w:rPr>
  </w:style>
  <w:style w:type="paragraph" w:styleId="17">
    <w:name w:val="toc 8"/>
    <w:basedOn w:val="1"/>
    <w:next w:val="1"/>
    <w:autoRedefine/>
    <w:unhideWhenUsed/>
    <w:qFormat/>
    <w:uiPriority w:val="39"/>
    <w:pPr>
      <w:ind w:left="2940" w:leftChars="1400"/>
    </w:pPr>
  </w:style>
  <w:style w:type="paragraph" w:styleId="18">
    <w:name w:val="Date"/>
    <w:basedOn w:val="1"/>
    <w:next w:val="1"/>
    <w:link w:val="120"/>
    <w:qFormat/>
    <w:uiPriority w:val="0"/>
    <w:pPr>
      <w:ind w:left="100" w:leftChars="2500"/>
    </w:pPr>
  </w:style>
  <w:style w:type="paragraph" w:styleId="19">
    <w:name w:val="endnote text"/>
    <w:basedOn w:val="1"/>
    <w:link w:val="140"/>
    <w:semiHidden/>
    <w:unhideWhenUsed/>
    <w:qFormat/>
    <w:uiPriority w:val="99"/>
    <w:pPr>
      <w:snapToGrid w:val="0"/>
      <w:jc w:val="left"/>
    </w:pPr>
  </w:style>
  <w:style w:type="paragraph" w:styleId="20">
    <w:name w:val="Balloon Text"/>
    <w:basedOn w:val="1"/>
    <w:link w:val="104"/>
    <w:unhideWhenUsed/>
    <w:qFormat/>
    <w:uiPriority w:val="99"/>
    <w:rPr>
      <w:rFonts w:cs="Arial"/>
      <w:kern w:val="0"/>
      <w:sz w:val="18"/>
      <w:szCs w:val="18"/>
      <w:lang w:eastAsia="en-US"/>
    </w:rPr>
  </w:style>
  <w:style w:type="paragraph" w:styleId="21">
    <w:name w:val="footer"/>
    <w:basedOn w:val="1"/>
    <w:link w:val="7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2">
    <w:name w:val="header"/>
    <w:basedOn w:val="1"/>
    <w:link w:val="7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3">
    <w:name w:val="toc 1"/>
    <w:basedOn w:val="24"/>
    <w:next w:val="24"/>
    <w:autoRedefine/>
    <w:qFormat/>
    <w:uiPriority w:val="3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color w:val="002060"/>
      <w:spacing w:val="0"/>
      <w:szCs w:val="24"/>
      <w:lang w:val="en-IN"/>
    </w:rPr>
  </w:style>
  <w:style w:type="paragraph" w:customStyle="1" w:styleId="24">
    <w:name w:val="Bold text_1"/>
    <w:basedOn w:val="1"/>
    <w:link w:val="138"/>
    <w:autoRedefine/>
    <w:qFormat/>
    <w:uiPriority w:val="0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styleId="25">
    <w:name w:val="toc 4"/>
    <w:basedOn w:val="1"/>
    <w:next w:val="1"/>
    <w:autoRedefine/>
    <w:qFormat/>
    <w:uiPriority w:val="39"/>
    <w:pPr>
      <w:ind w:left="867" w:leftChars="300" w:hanging="567"/>
    </w:pPr>
    <w:rPr>
      <w:color w:val="203864" w:themeColor="accent5" w:themeShade="80"/>
      <w:sz w:val="20"/>
    </w:rPr>
  </w:style>
  <w:style w:type="paragraph" w:styleId="26">
    <w:name w:val="Subtitle"/>
    <w:basedOn w:val="1"/>
    <w:next w:val="1"/>
    <w:link w:val="101"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7">
    <w:name w:val="toc 6"/>
    <w:basedOn w:val="1"/>
    <w:next w:val="1"/>
    <w:autoRedefine/>
    <w:unhideWhenUsed/>
    <w:qFormat/>
    <w:uiPriority w:val="39"/>
  </w:style>
  <w:style w:type="paragraph" w:styleId="28">
    <w:name w:val="table of figures"/>
    <w:autoRedefine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hAnsi="Frutiger" w:eastAsia="宋体" w:cstheme="minorBidi"/>
      <w:kern w:val="2"/>
      <w:sz w:val="20"/>
      <w:szCs w:val="20"/>
      <w:lang w:val="en-US" w:eastAsia="zh-CN" w:bidi="ar-SA"/>
    </w:rPr>
  </w:style>
  <w:style w:type="paragraph" w:styleId="29">
    <w:name w:val="toc 2"/>
    <w:basedOn w:val="24"/>
    <w:next w:val="24"/>
    <w:link w:val="157"/>
    <w:autoRedefine/>
    <w:qFormat/>
    <w:uiPriority w:val="3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  <w14:textFill>
        <w14:solidFill>
          <w14:schemeClr w14:val="tx1"/>
        </w14:solidFill>
      </w14:textFill>
    </w:rPr>
  </w:style>
  <w:style w:type="paragraph" w:styleId="30">
    <w:name w:val="toc 9"/>
    <w:basedOn w:val="1"/>
    <w:next w:val="1"/>
    <w:autoRedefine/>
    <w:unhideWhenUsed/>
    <w:qFormat/>
    <w:uiPriority w:val="39"/>
    <w:pPr>
      <w:ind w:left="3360" w:leftChars="1600"/>
    </w:pPr>
  </w:style>
  <w:style w:type="paragraph" w:styleId="31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32">
    <w:name w:val="Title"/>
    <w:basedOn w:val="1"/>
    <w:next w:val="1"/>
    <w:link w:val="98"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3">
    <w:name w:val="annotation subject"/>
    <w:basedOn w:val="1"/>
    <w:next w:val="1"/>
    <w:link w:val="118"/>
    <w:qFormat/>
    <w:uiPriority w:val="0"/>
    <w:pPr>
      <w:jc w:val="left"/>
    </w:pPr>
    <w:rPr>
      <w:b/>
      <w:bCs/>
    </w:rPr>
  </w:style>
  <w:style w:type="table" w:styleId="35">
    <w:name w:val="Table Grid"/>
    <w:basedOn w:val="34"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6">
    <w:name w:val="Table Colorful 2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7">
    <w:name w:val="Table Classic 1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8">
    <w:name w:val="Table Columns 2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9">
    <w:name w:val="Table Columns 3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40">
    <w:name w:val="Table Columns 5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41">
    <w:name w:val="Table Grid 3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42">
    <w:name w:val="Table Grid 4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3">
    <w:name w:val="Table Grid 8"/>
    <w:basedOn w:val="34"/>
    <w:qFormat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  <w:tblPr/>
    </w:tblStylePr>
    <w:tblStylePr w:type="nwCell">
      <w:pPr>
        <w:jc w:val="both"/>
      </w:pPr>
    </w:tblStylePr>
  </w:style>
  <w:style w:type="table" w:styleId="44">
    <w:name w:val="Light List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5">
    <w:name w:val="Light List Accent 2"/>
    <w:basedOn w:val="34"/>
    <w:unhideWhenUsed/>
    <w:qFormat/>
    <w:uiPriority w:val="61"/>
    <w:tblPr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D7D31" w:themeColor="accent2" w:sz="6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band1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</w:style>
  <w:style w:type="table" w:styleId="46">
    <w:name w:val="Light List Accent 3"/>
    <w:basedOn w:val="34"/>
    <w:unhideWhenUsed/>
    <w:qFormat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7">
    <w:name w:val="Light List Accent 4"/>
    <w:basedOn w:val="34"/>
    <w:unhideWhenUsed/>
    <w:qFormat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8">
    <w:name w:val="Light List Accent 5"/>
    <w:basedOn w:val="34"/>
    <w:unhideWhenUsed/>
    <w:qFormat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9">
    <w:name w:val="Medium Shading 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1"/>
    <w:basedOn w:val="34"/>
    <w:unhideWhenUsed/>
    <w:qFormat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2"/>
    <w:basedOn w:val="34"/>
    <w:unhideWhenUsed/>
    <w:qFormat/>
    <w:uiPriority w:val="63"/>
    <w:tblPr>
      <w:tblBorders>
        <w:top w:val="single" w:color="F19D64" w:themeColor="accent2" w:themeTint="BF" w:sz="8" w:space="0"/>
        <w:left w:val="single" w:color="F19D64" w:themeColor="accent2" w:themeTint="BF" w:sz="8" w:space="0"/>
        <w:bottom w:val="single" w:color="F19D64" w:themeColor="accent2" w:themeTint="BF" w:sz="8" w:space="0"/>
        <w:right w:val="single" w:color="F19D64" w:themeColor="accent2" w:themeTint="BF" w:sz="8" w:space="0"/>
        <w:insideH w:val="single" w:color="F19D6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19D64" w:themeColor="accent2" w:themeTint="BF" w:sz="8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19D64" w:themeColor="accent2" w:themeTint="BF" w:sz="6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1 Accent 3"/>
    <w:basedOn w:val="34"/>
    <w:unhideWhenUsed/>
    <w:qFormat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3">
    <w:name w:val="Medium Shading 1 Accent 4"/>
    <w:basedOn w:val="34"/>
    <w:unhideWhenUsed/>
    <w:qFormat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4">
    <w:name w:val="Medium Shading 1 Accent 5"/>
    <w:basedOn w:val="34"/>
    <w:unhideWhenUsed/>
    <w:qFormat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5">
    <w:name w:val="Medium Shading 2 Accent 2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6">
    <w:name w:val="Medium Shading 2 Accent 3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7">
    <w:name w:val="Medium Shading 2 Accent 5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8">
    <w:name w:val="Medium Grid 1 Accent 3"/>
    <w:basedOn w:val="34"/>
    <w:unhideWhenUsed/>
    <w:qFormat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9">
    <w:name w:val="Medium Grid 3 Accent 1"/>
    <w:basedOn w:val="34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60">
    <w:name w:val="Medium Grid 3 Accent 3"/>
    <w:basedOn w:val="34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61">
    <w:name w:val="Dark List Accent 3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62">
    <w:name w:val="Dark List Accent 4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3">
    <w:name w:val="Dark List Accent 5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4">
    <w:name w:val="Colorful Grid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5">
    <w:name w:val="Colorful Grid Accent 3"/>
    <w:basedOn w:val="34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6">
    <w:name w:val="Colorful Grid Accent 5"/>
    <w:basedOn w:val="34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8">
    <w:name w:val="Strong"/>
    <w:qFormat/>
    <w:uiPriority w:val="22"/>
    <w:rPr>
      <w:b/>
      <w:bCs/>
    </w:rPr>
  </w:style>
  <w:style w:type="character" w:styleId="69">
    <w:name w:val="endnote reference"/>
    <w:basedOn w:val="67"/>
    <w:semiHidden/>
    <w:unhideWhenUsed/>
    <w:qFormat/>
    <w:uiPriority w:val="99"/>
    <w:rPr>
      <w:vertAlign w:val="superscript"/>
    </w:rPr>
  </w:style>
  <w:style w:type="character" w:styleId="70">
    <w:name w:val="Emphasis"/>
    <w:qFormat/>
    <w:uiPriority w:val="0"/>
    <w:rPr>
      <w:i/>
      <w:iCs/>
    </w:rPr>
  </w:style>
  <w:style w:type="character" w:styleId="71">
    <w:name w:val="Hyperlink"/>
    <w:unhideWhenUsed/>
    <w:qFormat/>
    <w:uiPriority w:val="99"/>
    <w:rPr>
      <w:color w:val="0000FF"/>
      <w:u w:val="single"/>
    </w:rPr>
  </w:style>
  <w:style w:type="character" w:styleId="72">
    <w:name w:val="annotation reference"/>
    <w:qFormat/>
    <w:uiPriority w:val="0"/>
    <w:rPr>
      <w:sz w:val="21"/>
      <w:szCs w:val="21"/>
    </w:rPr>
  </w:style>
  <w:style w:type="character" w:customStyle="1" w:styleId="73">
    <w:name w:val="页眉 字符"/>
    <w:basedOn w:val="67"/>
    <w:link w:val="22"/>
    <w:qFormat/>
    <w:uiPriority w:val="99"/>
    <w:rPr>
      <w:sz w:val="18"/>
      <w:szCs w:val="18"/>
    </w:rPr>
  </w:style>
  <w:style w:type="character" w:customStyle="1" w:styleId="74">
    <w:name w:val="页脚 字符"/>
    <w:basedOn w:val="67"/>
    <w:link w:val="21"/>
    <w:qFormat/>
    <w:uiPriority w:val="99"/>
    <w:rPr>
      <w:sz w:val="18"/>
      <w:szCs w:val="18"/>
    </w:rPr>
  </w:style>
  <w:style w:type="character" w:customStyle="1" w:styleId="75">
    <w:name w:val="标题 1 字符"/>
    <w:basedOn w:val="67"/>
    <w:qFormat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6">
    <w:name w:val="标题 2 字符"/>
    <w:basedOn w:val="67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7">
    <w:name w:val="标题 3 字符"/>
    <w:basedOn w:val="67"/>
    <w:qFormat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78">
    <w:name w:val="标题 4 字符"/>
    <w:basedOn w:val="67"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79">
    <w:name w:val="标题 5 字符"/>
    <w:basedOn w:val="67"/>
    <w:qFormat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0">
    <w:name w:val="标题 6 字符"/>
    <w:basedOn w:val="67"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81">
    <w:name w:val="标题 1 字符1"/>
    <w:link w:val="2"/>
    <w:qFormat/>
    <w:uiPriority w:val="9"/>
    <w:rPr>
      <w:rFonts w:ascii="Frutiger" w:hAnsi="Frutiger" w:eastAsia="宋体" w:cs="Calibri"/>
      <w:b/>
      <w:color w:val="FF8200"/>
      <w:kern w:val="0"/>
      <w:sz w:val="44"/>
      <w:szCs w:val="32"/>
      <w:lang w:val="en-IN" w:eastAsia="en-US"/>
    </w:rPr>
  </w:style>
  <w:style w:type="character" w:customStyle="1" w:styleId="82">
    <w:name w:val="标题 2 字符1"/>
    <w:link w:val="3"/>
    <w:qFormat/>
    <w:uiPriority w:val="9"/>
    <w:rPr>
      <w:rFonts w:ascii="Frutiger" w:hAnsi="Frutiger" w:eastAsia="宋体"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3">
    <w:name w:val="标题 3 字符1"/>
    <w:link w:val="4"/>
    <w:qFormat/>
    <w:uiPriority w:val="9"/>
    <w:rPr>
      <w:rFonts w:ascii="Frutiger" w:hAnsi="Frutiger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4">
    <w:name w:val="标题 4 字符1"/>
    <w:link w:val="5"/>
    <w:qFormat/>
    <w:uiPriority w:val="9"/>
    <w:rPr>
      <w:rFonts w:ascii="Frutiger" w:hAnsi="Frutiger" w:eastAsia="宋体"/>
      <w:b/>
      <w:bCs/>
      <w:sz w:val="26"/>
      <w:szCs w:val="26"/>
      <w:lang w:val="zh-CN" w:eastAsia="zh-CN"/>
    </w:rPr>
  </w:style>
  <w:style w:type="character" w:customStyle="1" w:styleId="85">
    <w:name w:val="标题 5 字符1"/>
    <w:link w:val="6"/>
    <w:qFormat/>
    <w:uiPriority w:val="9"/>
    <w:rPr>
      <w:rFonts w:ascii="Frutiger" w:hAnsi="Frutiger" w:eastAsia="宋体"/>
      <w:b/>
      <w:bCs/>
      <w:sz w:val="28"/>
      <w:szCs w:val="28"/>
    </w:rPr>
  </w:style>
  <w:style w:type="character" w:customStyle="1" w:styleId="86">
    <w:name w:val="标题 6 字符1"/>
    <w:link w:val="7"/>
    <w:qFormat/>
    <w:uiPriority w:val="9"/>
    <w:rPr>
      <w:rFonts w:ascii="Calibri" w:hAnsi="Calibri" w:eastAsiaTheme="majorEastAsia"/>
      <w:b/>
      <w:bCs/>
      <w:color w:val="44546A" w:themeColor="text2"/>
      <w:sz w:val="24"/>
      <w14:textFill>
        <w14:solidFill>
          <w14:schemeClr w14:val="tx2"/>
        </w14:solidFill>
      </w14:textFill>
    </w:rPr>
  </w:style>
  <w:style w:type="table" w:customStyle="1" w:styleId="87">
    <w:name w:val="Table Normal"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8">
    <w:name w:val="样式 加粗 白色 左侧:  0 厘米 悬挂缩进: 4.2 字符"/>
    <w:basedOn w:val="1"/>
    <w:next w:val="16"/>
    <w:qFormat/>
    <w:uiPriority w:val="0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89">
    <w:name w:val="页眉 Char"/>
    <w:qFormat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90">
    <w:name w:val="页脚 Char"/>
    <w:qFormat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91">
    <w:name w:val="文档结构图 字符1"/>
    <w:link w:val="11"/>
    <w:qFormat/>
    <w:uiPriority w:val="0"/>
    <w:rPr>
      <w:rFonts w:eastAsia="Times New Roman"/>
      <w:szCs w:val="21"/>
      <w:shd w:val="clear" w:color="auto" w:fill="000080"/>
    </w:rPr>
  </w:style>
  <w:style w:type="character" w:customStyle="1" w:styleId="92">
    <w:name w:val="文档结构图 字符"/>
    <w:basedOn w:val="67"/>
    <w:qFormat/>
    <w:uiPriority w:val="99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93">
    <w:name w:val="文档结构图 Char1"/>
    <w:qFormat/>
    <w:uiPriority w:val="99"/>
    <w:rPr>
      <w:rFonts w:ascii="宋体" w:hAnsi="Arial Unicode MS"/>
      <w:kern w:val="2"/>
      <w:sz w:val="18"/>
      <w:szCs w:val="18"/>
    </w:rPr>
  </w:style>
  <w:style w:type="character" w:customStyle="1" w:styleId="94">
    <w:name w:val="纯文本 字符"/>
    <w:basedOn w:val="67"/>
    <w:qFormat/>
    <w:uiPriority w:val="99"/>
    <w:rPr>
      <w:rFonts w:hAnsi="Courier New" w:cs="Courier New" w:asciiTheme="minorEastAsia"/>
      <w:szCs w:val="21"/>
    </w:rPr>
  </w:style>
  <w:style w:type="paragraph" w:customStyle="1" w:styleId="95">
    <w:name w:val="_Style 48"/>
    <w:qFormat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6">
    <w:name w:val="TOC Heading"/>
    <w:basedOn w:val="2"/>
    <w:next w:val="1"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7">
    <w:name w:val="标题 字符"/>
    <w:basedOn w:val="67"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98">
    <w:name w:val="标题 字符1"/>
    <w:link w:val="32"/>
    <w:qFormat/>
    <w:uiPriority w:val="10"/>
    <w:rPr>
      <w:rFonts w:ascii="Cambria" w:hAnsi="Cambria" w:eastAsia="宋体" w:cs="Times New Roman"/>
      <w:b/>
      <w:bCs/>
      <w:sz w:val="32"/>
      <w:szCs w:val="32"/>
    </w:rPr>
  </w:style>
  <w:style w:type="paragraph" w:customStyle="1" w:styleId="99">
    <w:name w:val="Revision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00">
    <w:name w:val="副标题 字符"/>
    <w:basedOn w:val="67"/>
    <w:qFormat/>
    <w:uiPriority w:val="11"/>
    <w:rPr>
      <w:b/>
      <w:bCs/>
      <w:kern w:val="28"/>
      <w:sz w:val="32"/>
      <w:szCs w:val="32"/>
    </w:rPr>
  </w:style>
  <w:style w:type="character" w:customStyle="1" w:styleId="101">
    <w:name w:val="副标题 字符1"/>
    <w:link w:val="26"/>
    <w:qFormat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102">
    <w:name w:val="@他1"/>
    <w:semiHidden/>
    <w:unhideWhenUsed/>
    <w:qFormat/>
    <w:uiPriority w:val="99"/>
    <w:rPr>
      <w:color w:val="2B579A"/>
      <w:shd w:val="clear" w:color="auto" w:fill="E6E6E6"/>
    </w:rPr>
  </w:style>
  <w:style w:type="character" w:customStyle="1" w:styleId="103">
    <w:name w:val="批注框文本 字符"/>
    <w:basedOn w:val="67"/>
    <w:qFormat/>
    <w:uiPriority w:val="99"/>
    <w:rPr>
      <w:rFonts w:ascii="Times New Roman" w:hAnsi="Times New Roman" w:eastAsia="Times New Roman" w:cs="Times New Roman"/>
      <w:sz w:val="18"/>
      <w:szCs w:val="18"/>
    </w:rPr>
  </w:style>
  <w:style w:type="character" w:customStyle="1" w:styleId="104">
    <w:name w:val="批注框文本 字符1"/>
    <w:link w:val="20"/>
    <w:qFormat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table" w:customStyle="1" w:styleId="105">
    <w:name w:val="网格表 4 - 着色 11"/>
    <w:basedOn w:val="34"/>
    <w:qFormat/>
    <w:uiPriority w:val="49"/>
    <w:pPr>
      <w:widowControl w:val="0"/>
      <w:jc w:val="both"/>
    </w:pPr>
    <w:rPr>
      <w:rFonts w:ascii="Times New Roman" w:hAnsi="Times New Roman" w:eastAsia="宋体" w:cs="Times New Roman"/>
      <w:sz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paragraph" w:customStyle="1" w:styleId="106">
    <w:name w:val="样式 标题 1 + 左侧:  2 字符"/>
    <w:basedOn w:val="2"/>
    <w:next w:val="2"/>
    <w:qFormat/>
    <w:uiPriority w:val="0"/>
    <w:rPr>
      <w:rFonts w:cs="宋体"/>
      <w:szCs w:val="20"/>
    </w:rPr>
  </w:style>
  <w:style w:type="paragraph" w:customStyle="1" w:styleId="107">
    <w:name w:val="样式 标题 5 + (中文) 宋体"/>
    <w:basedOn w:val="6"/>
    <w:qFormat/>
    <w:uiPriority w:val="0"/>
  </w:style>
  <w:style w:type="character" w:customStyle="1" w:styleId="108">
    <w:name w:val="纯文本 字符1"/>
    <w:link w:val="16"/>
    <w:qFormat/>
    <w:uiPriority w:val="0"/>
    <w:rPr>
      <w:rFonts w:ascii="宋体" w:hAnsi="Courier New" w:eastAsia="Times New Roman" w:cs="Courier New"/>
      <w:szCs w:val="21"/>
    </w:rPr>
  </w:style>
  <w:style w:type="table" w:customStyle="1" w:styleId="109">
    <w:name w:val="网格表 4 - 着色 12"/>
    <w:basedOn w:val="34"/>
    <w:qFormat/>
    <w:uiPriority w:val="49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10">
    <w:name w:val="网格表 5 深色 - 着色 11"/>
    <w:basedOn w:val="34"/>
    <w:qFormat/>
    <w:uiPriority w:val="50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11">
    <w:name w:val="正文文本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2">
    <w:name w:val="正文文本 字符1"/>
    <w:link w:val="13"/>
    <w:qFormat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paragraph" w:styleId="113">
    <w:name w:val="List Paragraph"/>
    <w:basedOn w:val="1"/>
    <w:link w:val="147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114">
    <w:name w:val="Table Paragraph"/>
    <w:basedOn w:val="1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character" w:customStyle="1" w:styleId="115">
    <w:name w:val="批注文字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6">
    <w:name w:val="批注文字 字符1"/>
    <w:link w:val="12"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7">
    <w:name w:val="批注主题 字符"/>
    <w:basedOn w:val="115"/>
    <w:qFormat/>
    <w:uiPriority w:val="99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8">
    <w:name w:val="批注主题 字符1"/>
    <w:link w:val="33"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9">
    <w:name w:val="日期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20">
    <w:name w:val="日期 字符1"/>
    <w:link w:val="18"/>
    <w:qFormat/>
    <w:uiPriority w:val="0"/>
    <w:rPr>
      <w:rFonts w:ascii="Times New Roman" w:hAnsi="Times New Roman" w:eastAsia="Times New Roman" w:cs="Times New Roman"/>
      <w:szCs w:val="21"/>
    </w:rPr>
  </w:style>
  <w:style w:type="paragraph" w:customStyle="1" w:styleId="121">
    <w:name w:val="样式 标题 6 + 左侧:  0 厘米 首行缩进:  0 厘米"/>
    <w:basedOn w:val="7"/>
    <w:qFormat/>
    <w:uiPriority w:val="0"/>
    <w:pPr>
      <w:ind w:left="420" w:hanging="420"/>
    </w:pPr>
    <w:rPr>
      <w:rFonts w:cs="宋体"/>
      <w:szCs w:val="20"/>
    </w:rPr>
  </w:style>
  <w:style w:type="paragraph" w:customStyle="1" w:styleId="122">
    <w:name w:val="样式 标题 6 + 首行缩进:  1 字符"/>
    <w:basedOn w:val="7"/>
    <w:qFormat/>
    <w:uiPriority w:val="0"/>
    <w:rPr>
      <w:rFonts w:cs="宋体"/>
      <w:szCs w:val="20"/>
    </w:rPr>
  </w:style>
  <w:style w:type="paragraph" w:customStyle="1" w:styleId="123">
    <w:name w:val="样式 图表目录 + 左侧:  2 字符 悬挂缩进: 2 字符"/>
    <w:basedOn w:val="28"/>
    <w:autoRedefine/>
    <w:qFormat/>
    <w:uiPriority w:val="0"/>
    <w:pPr>
      <w:ind w:left="842" w:hanging="422"/>
    </w:pPr>
    <w:rPr>
      <w:rFonts w:cs="宋体"/>
    </w:rPr>
  </w:style>
  <w:style w:type="paragraph" w:customStyle="1" w:styleId="124">
    <w:name w:val="样式 图表目录 + 左侧:  2 字符 悬挂缩进: 2 字符1"/>
    <w:basedOn w:val="28"/>
    <w:autoRedefine/>
    <w:qFormat/>
    <w:uiPriority w:val="0"/>
    <w:rPr>
      <w:rFonts w:cs="宋体"/>
    </w:rPr>
  </w:style>
  <w:style w:type="paragraph" w:customStyle="1" w:styleId="125">
    <w:name w:val="样式 11 磅 右"/>
    <w:basedOn w:val="1"/>
    <w:next w:val="1"/>
    <w:qFormat/>
    <w:uiPriority w:val="0"/>
    <w:pPr>
      <w:jc w:val="right"/>
    </w:pPr>
    <w:rPr>
      <w:rFonts w:cs="宋体"/>
      <w:kern w:val="0"/>
      <w:szCs w:val="20"/>
    </w:rPr>
  </w:style>
  <w:style w:type="paragraph" w:customStyle="1" w:styleId="126">
    <w:name w:val="样式 10 磅 左"/>
    <w:basedOn w:val="1"/>
    <w:next w:val="1"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7">
    <w:name w:val="样式 10 磅 左1"/>
    <w:basedOn w:val="1"/>
    <w:next w:val="1"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8">
    <w:name w:val="样式 10 磅 左2"/>
    <w:basedOn w:val="1"/>
    <w:next w:val="1"/>
    <w:qFormat/>
    <w:uiPriority w:val="0"/>
    <w:pPr>
      <w:jc w:val="left"/>
    </w:pPr>
    <w:rPr>
      <w:rFonts w:cs="宋体"/>
      <w:kern w:val="0"/>
      <w:szCs w:val="20"/>
    </w:rPr>
  </w:style>
  <w:style w:type="paragraph" w:customStyle="1" w:styleId="129">
    <w:name w:val="样式 加粗 倾斜 左"/>
    <w:basedOn w:val="1"/>
    <w:next w:val="1"/>
    <w:qFormat/>
    <w:uiPriority w:val="0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130">
    <w:name w:val="apple-converted-space"/>
    <w:qFormat/>
    <w:uiPriority w:val="0"/>
  </w:style>
  <w:style w:type="paragraph" w:styleId="131">
    <w:name w:val="No Spacing"/>
    <w:link w:val="132"/>
    <w:qFormat/>
    <w:uiPriority w:val="1"/>
    <w:rPr>
      <w:rFonts w:ascii="Calibri" w:hAnsi="Calibri" w:eastAsia="宋体" w:cs="Times New Roman"/>
      <w:kern w:val="0"/>
      <w:sz w:val="22"/>
      <w:szCs w:val="21"/>
      <w:lang w:val="en-US" w:eastAsia="zh-CN" w:bidi="ar-SA"/>
    </w:rPr>
  </w:style>
  <w:style w:type="character" w:customStyle="1" w:styleId="132">
    <w:name w:val="无间隔 字符"/>
    <w:link w:val="131"/>
    <w:qFormat/>
    <w:uiPriority w:val="1"/>
    <w:rPr>
      <w:rFonts w:ascii="Calibri" w:hAnsi="Calibri" w:eastAsia="宋体" w:cs="Times New Roman"/>
      <w:kern w:val="0"/>
      <w:sz w:val="22"/>
    </w:rPr>
  </w:style>
  <w:style w:type="paragraph" w:customStyle="1" w:styleId="133">
    <w:name w:val="概述标题"/>
    <w:basedOn w:val="1"/>
    <w:qFormat/>
    <w:uiPriority w:val="0"/>
    <w:rPr>
      <w:b/>
    </w:rPr>
  </w:style>
  <w:style w:type="table" w:customStyle="1" w:styleId="134">
    <w:name w:val="网格表 4 - 着色 13"/>
    <w:basedOn w:val="34"/>
    <w:qFormat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35">
    <w:name w:val="网格表 4 - 着色 51"/>
    <w:basedOn w:val="34"/>
    <w:qFormat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36">
    <w:name w:val="无格式表格 51"/>
    <w:basedOn w:val="34"/>
    <w:qFormat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37">
    <w:name w:val="未处理的提及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8">
    <w:name w:val="Bold text_1 Char"/>
    <w:link w:val="24"/>
    <w:qFormat/>
    <w:uiPriority w:val="0"/>
    <w:rPr>
      <w:rFonts w:ascii="Calibri" w:hAnsi="Calibri"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139">
    <w:name w:val="Style1"/>
    <w:link w:val="168"/>
    <w:autoRedefine/>
    <w:qFormat/>
    <w:uiPriority w:val="0"/>
    <w:pPr>
      <w:pBdr>
        <w:bottom w:val="single" w:color="auto" w:sz="4" w:space="6"/>
      </w:pBdr>
      <w:spacing w:after="160"/>
    </w:pPr>
    <w:rPr>
      <w:rFonts w:ascii="Calibri" w:hAnsi="Calibri" w:cs="Calibri" w:eastAsiaTheme="minorEastAsia"/>
      <w:b/>
      <w:caps/>
      <w:color w:val="2E75B6" w:themeColor="accent1" w:themeShade="BF"/>
      <w:spacing w:val="-3"/>
      <w:kern w:val="0"/>
      <w:sz w:val="40"/>
      <w:szCs w:val="40"/>
      <w:lang w:val="en-US" w:eastAsia="en-IN" w:bidi="ar-SA"/>
    </w:rPr>
  </w:style>
  <w:style w:type="character" w:customStyle="1" w:styleId="140">
    <w:name w:val="尾注文本 字符"/>
    <w:basedOn w:val="67"/>
    <w:link w:val="19"/>
    <w:semiHidden/>
    <w:uiPriority w:val="99"/>
    <w:rPr>
      <w:rFonts w:ascii="Times New Roman" w:hAnsi="Times New Roman"/>
    </w:rPr>
  </w:style>
  <w:style w:type="character" w:customStyle="1" w:styleId="141">
    <w:name w:val="未处理的提及1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42">
    <w:name w:val="未处理的提及2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43">
    <w:name w:val="Source"/>
    <w:basedOn w:val="1"/>
    <w:link w:val="144"/>
    <w:autoRedefine/>
    <w:qFormat/>
    <w:uiPriority w:val="0"/>
    <w:pPr>
      <w:widowControl/>
      <w:topLinePunct w:val="0"/>
      <w:spacing w:before="40" w:after="80"/>
      <w:jc w:val="left"/>
    </w:pPr>
    <w:rPr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4">
    <w:name w:val="Source 字符"/>
    <w:basedOn w:val="67"/>
    <w:link w:val="143"/>
    <w:qFormat/>
    <w:uiPriority w:val="0"/>
    <w:rPr>
      <w:rFonts w:ascii="Times New Roman" w:hAnsi="Times New Roman" w:eastAsia="宋体"/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45">
    <w:name w:val="正文-段落"/>
    <w:basedOn w:val="1"/>
    <w:link w:val="146"/>
    <w:qFormat/>
    <w:uiPriority w:val="0"/>
    <w:pPr>
      <w:widowControl/>
      <w:topLinePunct w:val="0"/>
      <w:spacing w:before="320" w:after="8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6">
    <w:name w:val="正文-段落 字符"/>
    <w:basedOn w:val="67"/>
    <w:link w:val="145"/>
    <w:qFormat/>
    <w:uiPriority w:val="0"/>
    <w:rPr>
      <w:rFonts w:ascii="Tahoma" w:hAnsi="Tahoma" w:eastAsia="宋体"/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7">
    <w:name w:val="列出段落 字符"/>
    <w:basedOn w:val="67"/>
    <w:link w:val="113"/>
    <w:qFormat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48">
    <w:name w:val="Figure Style"/>
    <w:basedOn w:val="113"/>
    <w:link w:val="150"/>
    <w:qFormat/>
    <w:uiPriority w:val="0"/>
    <w:pPr>
      <w:keepNext/>
      <w:keepLines/>
      <w:numPr>
        <w:ilvl w:val="0"/>
        <w:numId w:val="2"/>
      </w:numPr>
      <w:pBdr>
        <w:bottom w:val="single" w:color="auto" w:sz="4" w:space="1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149">
    <w:name w:val="Figure Style Char"/>
    <w:basedOn w:val="147"/>
    <w:qFormat/>
    <w:uiPriority w:val="0"/>
    <w:rPr>
      <w:rFonts w:ascii="Calibri" w:hAnsi="Calibri" w:eastAsia="Arial" w:cs="Arial"/>
      <w:b/>
      <w:color w:val="44546A" w:themeColor="text2"/>
      <w:kern w:val="0"/>
      <w:sz w:val="24"/>
      <w:szCs w:val="22"/>
      <w:lang w:val="en-US" w:eastAsia="en-US"/>
      <w14:textFill>
        <w14:solidFill>
          <w14:schemeClr w14:val="tx2"/>
        </w14:solidFill>
      </w14:textFill>
    </w:rPr>
  </w:style>
  <w:style w:type="character" w:customStyle="1" w:styleId="150">
    <w:name w:val="Figure Style 字符"/>
    <w:basedOn w:val="147"/>
    <w:link w:val="148"/>
    <w:qFormat/>
    <w:uiPriority w:val="0"/>
    <w:rPr>
      <w:rFonts w:ascii="Tahoma" w:hAnsi="Tahoma" w:eastAsia="宋体" w:cs="Arial"/>
      <w:b/>
      <w:color w:val="FF8200"/>
      <w:kern w:val="0"/>
      <w:sz w:val="22"/>
      <w:szCs w:val="22"/>
      <w:lang w:eastAsia="en-US"/>
    </w:rPr>
  </w:style>
  <w:style w:type="paragraph" w:customStyle="1" w:styleId="151">
    <w:name w:val="Table Style"/>
    <w:basedOn w:val="113"/>
    <w:link w:val="152"/>
    <w:qFormat/>
    <w:uiPriority w:val="0"/>
    <w:pPr>
      <w:keepNext/>
      <w:keepLines/>
      <w:widowControl/>
      <w:numPr>
        <w:ilvl w:val="0"/>
        <w:numId w:val="3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152">
    <w:name w:val="Table Style Char"/>
    <w:basedOn w:val="67"/>
    <w:link w:val="151"/>
    <w:qFormat/>
    <w:uiPriority w:val="0"/>
    <w:rPr>
      <w:rFonts w:ascii="Frutiger" w:hAnsi="Frutiger" w:eastAsia="宋体"/>
      <w:b/>
      <w:color w:val="FF8200"/>
      <w:kern w:val="0"/>
      <w:szCs w:val="22"/>
      <w:lang w:val="en-IN" w:eastAsia="en-US"/>
    </w:rPr>
  </w:style>
  <w:style w:type="paragraph" w:customStyle="1" w:styleId="153">
    <w:name w:val="Table of Contents"/>
    <w:basedOn w:val="139"/>
    <w:link w:val="154"/>
    <w:qFormat/>
    <w:uiPriority w:val="0"/>
    <w:pPr>
      <w:pageBreakBefore/>
      <w:jc w:val="both"/>
    </w:pPr>
    <w:rPr>
      <w:szCs w:val="20"/>
    </w:rPr>
  </w:style>
  <w:style w:type="character" w:customStyle="1" w:styleId="154">
    <w:name w:val="Table of Contents Char"/>
    <w:basedOn w:val="67"/>
    <w:link w:val="153"/>
    <w:qFormat/>
    <w:uiPriority w:val="0"/>
    <w:rPr>
      <w:rFonts w:ascii="Century Gothic" w:hAnsi="Century Gothic" w:cs="Calibri"/>
      <w:b/>
      <w:caps/>
      <w:color w:val="2E75B6" w:themeColor="accent1" w:themeShade="BF"/>
      <w:spacing w:val="-3"/>
      <w:kern w:val="0"/>
      <w:sz w:val="40"/>
      <w:szCs w:val="20"/>
      <w:lang w:eastAsia="en-IN"/>
    </w:rPr>
  </w:style>
  <w:style w:type="character" w:customStyle="1" w:styleId="155">
    <w:name w:val="Source Char"/>
    <w:basedOn w:val="67"/>
    <w:qFormat/>
    <w:uiPriority w:val="0"/>
    <w:rPr>
      <w:rFonts w:ascii="Calibri" w:hAnsi="Calibri"/>
      <w:i/>
      <w:color w:val="0D0D0D" w:themeColor="text1" w:themeTint="F2"/>
      <w:sz w:val="16"/>
      <w:lang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56">
    <w:name w:val="目录2"/>
    <w:basedOn w:val="29"/>
    <w:next w:val="29"/>
    <w:link w:val="158"/>
    <w:qFormat/>
    <w:uiPriority w:val="0"/>
    <w:pPr>
      <w:tabs>
        <w:tab w:val="right" w:pos="9736"/>
      </w:tabs>
    </w:pPr>
  </w:style>
  <w:style w:type="character" w:customStyle="1" w:styleId="157">
    <w:name w:val="目录 2 字符"/>
    <w:basedOn w:val="67"/>
    <w:link w:val="29"/>
    <w:qFormat/>
    <w:uiPriority w:val="39"/>
    <w:rPr>
      <w:rFonts w:ascii="Times New Roman" w:hAnsi="Times New Roman" w:eastAsia="宋体"/>
      <w:b/>
      <w:color w:val="000000" w:themeColor="text1"/>
      <w:spacing w:val="-6"/>
      <w:kern w:val="0"/>
      <w:sz w:val="22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8">
    <w:name w:val="目录2 字符"/>
    <w:basedOn w:val="157"/>
    <w:link w:val="156"/>
    <w:qFormat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9">
    <w:name w:val="未处理的提及3"/>
    <w:basedOn w:val="67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60">
    <w:name w:val="List Table 2 Accent 4"/>
    <w:basedOn w:val="34"/>
    <w:qFormat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61">
    <w:name w:val="表格-lpi"/>
    <w:basedOn w:val="34"/>
    <w:qFormat/>
    <w:uiPriority w:val="99"/>
    <w:rPr>
      <w:rFonts w:eastAsia="Times New Roman"/>
      <w:color w:val="00B050"/>
      <w:kern w:val="0"/>
      <w:sz w:val="20"/>
      <w:szCs w:val="20"/>
    </w:rPr>
  </w:style>
  <w:style w:type="character" w:customStyle="1" w:styleId="162">
    <w:name w:val="未处理的提及31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3">
    <w:name w:val="Paragraph"/>
    <w:basedOn w:val="1"/>
    <w:link w:val="164"/>
    <w:qFormat/>
    <w:uiPriority w:val="0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64">
    <w:name w:val="Paragraph Char"/>
    <w:basedOn w:val="67"/>
    <w:link w:val="163"/>
    <w:qFormat/>
    <w:uiPriority w:val="0"/>
    <w:rPr>
      <w:rFonts w:ascii="Calibri" w:hAnsi="Calibri"/>
      <w:color w:val="0D0D0D" w:themeColor="text1" w:themeTint="F2"/>
      <w:kern w:val="0"/>
      <w:sz w:val="24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table" w:customStyle="1" w:styleId="165">
    <w:name w:val="List Table 1 Light Accent 1"/>
    <w:basedOn w:val="34"/>
    <w:qFormat/>
    <w:uiPriority w:val="46"/>
    <w:pPr>
      <w:jc w:val="right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166">
    <w:name w:val="未处理的提及4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7">
    <w:name w:val="概述"/>
    <w:basedOn w:val="139"/>
    <w:link w:val="169"/>
    <w:qFormat/>
    <w:uiPriority w:val="0"/>
    <w:pPr>
      <w:keepNext/>
      <w:spacing w:after="120"/>
    </w:pPr>
    <w:rPr>
      <w:rFonts w:ascii="Tahoma" w:hAnsi="Tahoma" w:eastAsia="宋体"/>
      <w:caps w:val="0"/>
      <w:color w:val="FF8200"/>
      <w:sz w:val="24"/>
    </w:rPr>
  </w:style>
  <w:style w:type="character" w:customStyle="1" w:styleId="168">
    <w:name w:val="Style1 字符"/>
    <w:basedOn w:val="67"/>
    <w:link w:val="139"/>
    <w:qFormat/>
    <w:uiPriority w:val="0"/>
    <w:rPr>
      <w:rFonts w:ascii="Calibri" w:hAnsi="Calibri" w:cs="Calibri"/>
      <w:b/>
      <w:caps/>
      <w:color w:val="2E75B6" w:themeColor="accent1" w:themeShade="BF"/>
      <w:spacing w:val="-3"/>
      <w:kern w:val="0"/>
      <w:sz w:val="40"/>
      <w:szCs w:val="40"/>
      <w:lang w:eastAsia="en-IN"/>
    </w:rPr>
  </w:style>
  <w:style w:type="character" w:customStyle="1" w:styleId="169">
    <w:name w:val="概述 字符"/>
    <w:basedOn w:val="168"/>
    <w:link w:val="167"/>
    <w:qFormat/>
    <w:uiPriority w:val="0"/>
    <w:rPr>
      <w:rFonts w:ascii="Tahoma" w:hAnsi="Tahoma" w:eastAsia="宋体" w:cs="Calibri"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170">
    <w:name w:val="彩色网格 - 强调文字颜色 51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DAEEF3"/>
    </w:tcPr>
    <w:tblStylePr w:type="firstRow">
      <w:rPr>
        <w:b/>
        <w:bCs/>
      </w:rPr>
      <w:tcPr>
        <w:shd w:val="clear" w:color="auto" w:fill="B6DDE8"/>
      </w:tcPr>
    </w:tblStylePr>
    <w:tblStylePr w:type="lastRow">
      <w:rPr>
        <w:b/>
        <w:bCs/>
        <w:color w:val="000000"/>
      </w:rPr>
      <w:tcPr>
        <w:shd w:val="clear" w:color="auto" w:fill="B6DDE8"/>
      </w:tcPr>
    </w:tblStylePr>
    <w:tblStylePr w:type="firstCol">
      <w:rPr>
        <w:color w:val="FFFFFF"/>
      </w:rPr>
      <w:tcPr>
        <w:shd w:val="clear" w:color="auto" w:fill="31849B"/>
      </w:tcPr>
    </w:tblStylePr>
    <w:tblStylePr w:type="lastCol">
      <w:rPr>
        <w:color w:val="FFFFFF"/>
      </w:rPr>
      <w:tcPr>
        <w:shd w:val="clear" w:color="auto" w:fill="31849B"/>
      </w:tcPr>
    </w:tblStylePr>
    <w:tblStylePr w:type="band1Vert">
      <w:tcPr>
        <w:shd w:val="clear" w:color="auto" w:fill="A5D5E2"/>
      </w:tcPr>
    </w:tblStylePr>
    <w:tblStylePr w:type="band1Horz">
      <w:tcPr>
        <w:shd w:val="clear" w:color="auto" w:fill="A5D5E2"/>
      </w:tcPr>
    </w:tblStylePr>
  </w:style>
  <w:style w:type="table" w:customStyle="1" w:styleId="171">
    <w:name w:val="彩色网格 - 强调文字颜色 31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EAF1DD"/>
    </w:tcPr>
    <w:tblStylePr w:type="firstRow">
      <w:rPr>
        <w:b/>
        <w:bCs/>
      </w:rPr>
      <w:tcPr>
        <w:shd w:val="clear" w:color="auto" w:fill="D6E3BC"/>
      </w:tcPr>
    </w:tblStylePr>
    <w:tblStylePr w:type="lastRow">
      <w:rPr>
        <w:b/>
        <w:bCs/>
        <w:color w:val="000000"/>
      </w:rPr>
      <w:tcPr>
        <w:shd w:val="clear" w:color="auto" w:fill="D6E3BC"/>
      </w:tcPr>
    </w:tblStylePr>
    <w:tblStylePr w:type="firstCol">
      <w:rPr>
        <w:color w:val="FFFFFF"/>
      </w:rPr>
      <w:tcPr>
        <w:shd w:val="clear" w:color="auto" w:fill="76923C"/>
      </w:tcPr>
    </w:tblStylePr>
    <w:tblStylePr w:type="lastCol">
      <w:rPr>
        <w:color w:val="FFFFFF"/>
      </w:rPr>
      <w:tcPr>
        <w:shd w:val="clear" w:color="auto" w:fill="76923C"/>
      </w:tc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72">
    <w:name w:val="深色列表 - 强调文字颜色 3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9BBB59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76923C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173">
    <w:name w:val="深色列表 - 强调文字颜色 4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8064A2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5F497A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174">
    <w:name w:val="深色列表 - 强调文字颜色 5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4BACC6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1849B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75">
    <w:name w:val="中等深浅底纹 1 - 强调文字颜色 4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9F8AB9" w:sz="8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F8AB9" w:sz="6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FD8E8"/>
      </w:tcPr>
    </w:tblStylePr>
    <w:tblStylePr w:type="band1Horz">
      <w:tcPr>
        <w:tcBorders>
          <w:insideH w:val="nil"/>
          <w:insideV w:val="nil"/>
        </w:tcBorders>
        <w:shd w:val="clear" w:color="auto" w:fill="DFD8E8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76">
    <w:name w:val="浅色列表 - 强调文字颜色 3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Horz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</w:style>
  <w:style w:type="table" w:customStyle="1" w:styleId="177">
    <w:name w:val="浅色列表 - 强调文字颜色 2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Horz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</w:style>
  <w:style w:type="table" w:customStyle="1" w:styleId="178">
    <w:name w:val="浅色列表 - 强调文字颜色 4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Horz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</w:style>
  <w:style w:type="table" w:customStyle="1" w:styleId="179">
    <w:name w:val="中等深浅底纹 2 - 强调文字颜色 21"/>
    <w:basedOn w:val="34"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0">
    <w:name w:val="中等深浅底纹 1 - 强调文字颜色 2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CF7B79" w:sz="8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F7B79" w:sz="6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FD3D2"/>
      </w:tcPr>
    </w:tblStylePr>
    <w:tblStylePr w:type="band1Horz">
      <w:tcPr>
        <w:tcBorders>
          <w:insideH w:val="nil"/>
          <w:insideV w:val="nil"/>
        </w:tcBorders>
        <w:shd w:val="clear" w:color="auto" w:fill="EFD3D2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1">
    <w:name w:val="中等深浅网格 3 - 强调文字颜色 11"/>
    <w:basedOn w:val="34"/>
    <w:qFormat/>
    <w:uiPriority w:val="69"/>
    <w:rPr>
      <w:rFonts w:ascii="Calibri" w:hAnsi="Calibri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7BFDE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customStyle="1" w:styleId="182">
    <w:name w:val="中等深浅底纹 2 - 强调文字颜色 31"/>
    <w:basedOn w:val="34"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3">
    <w:name w:val="浅色列表 - 强调文字颜色 5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Horz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</w:style>
  <w:style w:type="table" w:customStyle="1" w:styleId="184">
    <w:name w:val="中等深浅网格 3 - 强调文字颜色 31"/>
    <w:basedOn w:val="34"/>
    <w:qFormat/>
    <w:uiPriority w:val="6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CDDDAC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customStyle="1" w:styleId="185">
    <w:name w:val="中等深浅网格 1 - 强调文字颜色 31"/>
    <w:basedOn w:val="34"/>
    <w:qFormat/>
    <w:uiPriority w:val="67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  <w:insideV w:val="single" w:color="B3CC82" w:sz="8" w:space="0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B3CC82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86">
    <w:name w:val="中等深浅底纹 1 - 强调文字颜色 31"/>
    <w:basedOn w:val="34"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B3CC82" w:sz="8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B3CC82" w:sz="6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6EED5"/>
      </w:tcPr>
    </w:tblStylePr>
    <w:tblStylePr w:type="band1Horz">
      <w:tcPr>
        <w:tcBorders>
          <w:insideH w:val="nil"/>
          <w:insideV w:val="nil"/>
        </w:tcBorders>
        <w:shd w:val="clear" w:color="auto" w:fill="E6EED5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7">
    <w:name w:val="中等深浅底纹 2 - 强调文字颜色 51"/>
    <w:basedOn w:val="34"/>
    <w:qFormat/>
    <w:uiPriority w:val="64"/>
    <w:rPr>
      <w:rFonts w:ascii="Calibri" w:hAnsi="Calibri" w:eastAsia="宋体" w:cs="Times New Roman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8">
    <w:name w:val="中等深浅底纹 1 - 强调文字颜色 51"/>
    <w:basedOn w:val="34"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2EAF1"/>
      </w:tcPr>
    </w:tblStylePr>
    <w:tblStylePr w:type="band1Horz">
      <w:tcPr>
        <w:tcBorders>
          <w:insideH w:val="nil"/>
          <w:insideV w:val="nil"/>
        </w:tcBorders>
        <w:shd w:val="clear" w:color="auto" w:fill="D2EAF1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9">
    <w:name w:val="中等深浅底纹 1 - 强调文字颜色 11"/>
    <w:basedOn w:val="34"/>
    <w:qFormat/>
    <w:uiPriority w:val="63"/>
    <w:rPr>
      <w:rFonts w:ascii="Calibri" w:hAnsi="Calibri" w:eastAsia="宋体" w:cs="Times New Roman"/>
      <w:szCs w:val="22"/>
    </w:rPr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BA0CD" w:sz="8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BA0CD" w:sz="6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DFEE"/>
      </w:tcPr>
    </w:tblStylePr>
    <w:tblStylePr w:type="band1Horz">
      <w:tcPr>
        <w:tcBorders>
          <w:insideH w:val="nil"/>
          <w:insideV w:val="nil"/>
        </w:tcBorders>
        <w:shd w:val="clear" w:color="auto" w:fill="D3DFEE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90">
    <w:name w:val="网格表 4 - 着色 52"/>
    <w:basedOn w:val="34"/>
    <w:qFormat/>
    <w:uiPriority w:val="49"/>
    <w:rPr>
      <w:rFonts w:ascii="Calibri" w:hAnsi="Calibri" w:eastAsia="宋体" w:cs="Times New Roman"/>
      <w:szCs w:val="22"/>
    </w:rPr>
    <w:tblPr>
      <w:tblBorders>
        <w:top w:val="single" w:color="8EAADB" w:sz="4" w:space="0"/>
        <w:left w:val="single" w:color="8EAADB" w:sz="4" w:space="0"/>
        <w:bottom w:val="single" w:color="8EAADB" w:sz="4" w:space="0"/>
        <w:right w:val="single" w:color="8EAADB" w:sz="4" w:space="0"/>
        <w:insideH w:val="single" w:color="8EAADB" w:sz="4" w:space="0"/>
        <w:insideV w:val="single" w:color="8EAADB" w:sz="4" w:space="0"/>
      </w:tblBorders>
    </w:tblPr>
    <w:tblStylePr w:type="firstRow">
      <w:rPr>
        <w:b/>
        <w:bCs/>
        <w:color w:val="FFFFFF"/>
      </w:rPr>
      <w:tcPr>
        <w:tcBorders>
          <w:top w:val="single" w:color="4472C4" w:sz="4" w:space="0"/>
          <w:left w:val="single" w:color="4472C4" w:sz="4" w:space="0"/>
          <w:bottom w:val="single" w:color="4472C4" w:sz="4" w:space="0"/>
          <w:right w:val="single" w:color="4472C4" w:sz="4" w:space="0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cPr>
        <w:tcBorders>
          <w:top w:val="double" w:color="4472C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/>
      </w:tcPr>
    </w:tblStylePr>
    <w:tblStylePr w:type="band1Horz">
      <w:tcPr>
        <w:shd w:val="clear" w:color="auto" w:fill="D9E2F3"/>
      </w:tcPr>
    </w:tblStylePr>
  </w:style>
  <w:style w:type="character" w:customStyle="1" w:styleId="191">
    <w:name w:val="未处理的提及4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92">
    <w:name w:val="标题 7 字符"/>
    <w:basedOn w:val="67"/>
    <w:link w:val="8"/>
    <w:qFormat/>
    <w:uiPriority w:val="9"/>
    <w:rPr>
      <w:rFonts w:ascii="Book Antiqua" w:hAnsi="Book Antiqua" w:eastAsia="宋体"/>
      <w:b/>
      <w:bCs/>
      <w:color w:val="1A1A1A" w:themeColor="background1" w:themeShade="1A"/>
      <w:szCs w:val="24"/>
    </w:rPr>
  </w:style>
  <w:style w:type="character" w:customStyle="1" w:styleId="193">
    <w:name w:val="标题 8 字符"/>
    <w:basedOn w:val="67"/>
    <w:link w:val="9"/>
    <w:semiHidden/>
    <w:qFormat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194">
    <w:name w:val="未处理的提及5"/>
    <w:basedOn w:val="67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95">
    <w:name w:val="List Table 2 Accent 2"/>
    <w:basedOn w:val="34"/>
    <w:qFormat/>
    <w:uiPriority w:val="47"/>
    <w:rPr>
      <w:kern w:val="0"/>
      <w:sz w:val="22"/>
      <w:szCs w:val="22"/>
      <w:lang w:val="en-IN" w:eastAsia="en-US"/>
    </w:rPr>
    <w:tblPr>
      <w:tblBorders>
        <w:top w:val="single" w:color="F4B083" w:themeColor="accent2" w:themeTint="99" w:sz="4" w:space="0"/>
        <w:bottom w:val="single" w:color="F4B083" w:themeColor="accent2" w:themeTint="99" w:sz="4" w:space="0"/>
        <w:insideH w:val="single" w:color="F4B083" w:themeColor="accent2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196">
    <w:name w:val="lpi 专用"/>
    <w:basedOn w:val="197"/>
    <w:qFormat/>
    <w:uiPriority w:val="99"/>
    <w:pPr>
      <w:jc w:val="both"/>
    </w:pPr>
    <w:rPr>
      <w:rFonts w:ascii="Calibri" w:hAnsi="Calibri" w:eastAsia="Calibri"/>
      <w:color w:val="000000" w:themeColor="text1"/>
      <w:kern w:val="0"/>
      <w:sz w:val="22"/>
      <w:szCs w:val="20"/>
      <w14:textFill>
        <w14:solidFill>
          <w14:schemeClr w14:val="tx1"/>
        </w14:solidFill>
      </w14:textFill>
    </w:rPr>
    <w:tblPr>
      <w:tblBorders>
        <w:top w:val="single" w:color="008E88" w:sz="2" w:space="0"/>
        <w:bottom w:val="single" w:color="008E88" w:sz="2" w:space="0"/>
        <w:insideH w:val="single" w:color="008E88" w:sz="2" w:space="0"/>
        <w:insideV w:val="single" w:color="008E88" w:sz="2" w:space="0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7">
    <w:name w:val="Grid Table 2"/>
    <w:basedOn w:val="34"/>
    <w:qFormat/>
    <w:uiPriority w:val="47"/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8">
    <w:name w:val="Grid Table 2 Accent 4"/>
    <w:basedOn w:val="34"/>
    <w:qFormat/>
    <w:uiPriority w:val="47"/>
    <w:tblPr>
      <w:tblBorders>
        <w:top w:val="single" w:color="FFD965" w:themeColor="accent4" w:themeTint="99" w:sz="2" w:space="0"/>
        <w:bottom w:val="single" w:color="FFD965" w:themeColor="accent4" w:themeTint="99" w:sz="2" w:space="0"/>
        <w:insideH w:val="single" w:color="FFD965" w:themeColor="accent4" w:themeTint="99" w:sz="2" w:space="0"/>
        <w:insideV w:val="single" w:color="FFD965" w:themeColor="accent4" w:themeTint="99" w:sz="2" w:space="0"/>
      </w:tblBorders>
    </w:tblPr>
    <w:tblStylePr w:type="firstRow">
      <w:pPr>
        <w:jc w:val="center"/>
      </w:pPr>
      <w:rPr>
        <w:b/>
        <w:bCs/>
      </w:rPr>
      <w:tcPr>
        <w:tcBorders>
          <w:top w:val="nil"/>
          <w:bottom w:val="single" w:color="FFD965" w:themeColor="accent4" w:themeTint="99" w:sz="12" w:space="0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cPr>
        <w:tcBorders>
          <w:top w:val="double" w:color="FFD965" w:themeColor="accent4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cPr>
        <w:vAlign w:val="center"/>
      </w:tc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99">
    <w:name w:val="Grid Table 2 Accent 5"/>
    <w:basedOn w:val="34"/>
    <w:qFormat/>
    <w:uiPriority w:val="47"/>
    <w:tblPr>
      <w:tblBorders>
        <w:top w:val="single" w:color="8EAADB" w:themeColor="accent5" w:themeTint="99" w:sz="2" w:space="0"/>
        <w:bottom w:val="single" w:color="8EAADB" w:themeColor="accent5" w:themeTint="99" w:sz="2" w:space="0"/>
      </w:tblBorders>
    </w:tblPr>
    <w:tblStylePr w:type="firstRow">
      <w:rPr>
        <w:b/>
        <w:bCs/>
        <w:color w:val="FF0000"/>
      </w:rPr>
      <w:tcPr>
        <w:tcBorders>
          <w:top w:val="nil"/>
          <w:bottom w:val="single" w:color="auto" w:sz="4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2E75B5" w:themeColor="accent1" w:themeShade="BF" w:sz="12" w:space="0"/>
          <w:bottom w:val="single" w:color="2E75B5" w:themeColor="accent1" w:themeShade="BF" w:sz="12" w:space="0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7E7E7E" w:themeFill="text1" w:themeFillTint="80"/>
      </w:tcPr>
    </w:tblStylePr>
  </w:style>
  <w:style w:type="table" w:customStyle="1" w:styleId="200">
    <w:name w:val="季度-样式"/>
    <w:basedOn w:val="34"/>
    <w:qFormat/>
    <w:uiPriority w:val="99"/>
  </w:style>
  <w:style w:type="table" w:customStyle="1" w:styleId="201">
    <w:name w:val="List Table 2 Accent 5"/>
    <w:basedOn w:val="34"/>
    <w:qFormat/>
    <w:uiPriority w:val="47"/>
    <w:tblPr>
      <w:tblBorders>
        <w:top w:val="single" w:color="8EAADB" w:themeColor="accent5" w:themeTint="99" w:sz="4" w:space="0"/>
        <w:bottom w:val="single" w:color="8EAADB" w:themeColor="accent5" w:themeTint="99" w:sz="4" w:space="0"/>
        <w:insideH w:val="single" w:color="8EAADB" w:themeColor="accent5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202">
    <w:name w:val="List Table 1 Light Accent 5"/>
    <w:basedOn w:val="34"/>
    <w:qFormat/>
    <w:uiPriority w:val="46"/>
    <w:tblStylePr w:type="firstRow">
      <w:rPr>
        <w:b/>
        <w:bCs/>
      </w:rPr>
      <w:tcPr>
        <w:tcBorders>
          <w:bottom w:val="single" w:color="8EAADB" w:themeColor="accent5" w:themeTint="99" w:sz="4" w:space="0"/>
        </w:tcBorders>
      </w:tcPr>
    </w:tblStylePr>
    <w:tblStylePr w:type="lastRow">
      <w:rPr>
        <w:b/>
        <w:bCs/>
      </w:rPr>
      <w:tcPr>
        <w:tcBorders>
          <w:top w:val="single" w:color="8EAADB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paragraph" w:customStyle="1" w:styleId="203">
    <w:name w:val="数据-表格"/>
    <w:qFormat/>
    <w:uiPriority w:val="0"/>
    <w:pPr>
      <w:spacing w:before="80" w:after="80"/>
    </w:pPr>
    <w:rPr>
      <w:rFonts w:ascii="Tahoma" w:hAnsi="Tahoma" w:eastAsia="宋体" w:cstheme="minorBidi"/>
      <w:kern w:val="0"/>
      <w:sz w:val="21"/>
      <w:szCs w:val="22"/>
      <w:lang w:val="en-IN" w:eastAsia="en-US" w:bidi="ar-SA"/>
    </w:rPr>
  </w:style>
  <w:style w:type="character" w:customStyle="1" w:styleId="204">
    <w:name w:val="Unresolved Mention"/>
    <w:basedOn w:val="67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theme" Target="theme/theme1.xml"/><Relationship Id="rId7" Type="http://schemas.openxmlformats.org/officeDocument/2006/relationships/footer" Target="footer1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customXml" Target="../customXml/item2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chart" Target="charts/chart3.xml"/><Relationship Id="rId13" Type="http://schemas.openxmlformats.org/officeDocument/2006/relationships/image" Target="media/image5.png"/><Relationship Id="rId12" Type="http://schemas.openxmlformats.org/officeDocument/2006/relationships/image" Target="media/image4.png"/><Relationship Id="rId11" Type="http://schemas.openxmlformats.org/officeDocument/2006/relationships/chart" Target="charts/chart2.xml"/><Relationship Id="rId10" Type="http://schemas.openxmlformats.org/officeDocument/2006/relationships/chart" Target="charts/chart1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charts/_rels/chart1.xml.rels><?xml version="1.0" encoding="UTF-8" standalone="yes"?>
<Relationships xmlns="http://schemas.openxmlformats.org/package/2006/relationships"><Relationship Id="rId4" Type="http://schemas.microsoft.com/office/2011/relationships/chartColorStyle" Target="colors3.xml"/><Relationship Id="rId3" Type="http://schemas.microsoft.com/office/2011/relationships/chartStyle" Target="style3.xml"/><Relationship Id="rId2" Type="http://schemas.openxmlformats.org/officeDocument/2006/relationships/chartUserShapes" Target="../drawings/drawing1.xml"/><Relationship Id="rId1" Type="http://schemas.openxmlformats.org/officeDocument/2006/relationships/oleObject" Target="file:///F:\M&#30446;&#24405;\2018&#24180;1&#26376;&#26368;&#26032;excel&#30446;&#24405;&#27169;&#26495;\2020&#30446;&#24405;\&#26032;&#38395;&#31295;\&#35266;&#28857;&#25968;&#25454;&#22270;&#34920;&#27169;&#26495;-&#27169;&#26495;%2020240426%20&#20026;&#20934;%20-%20&#21103;&#26412;.xlsx" TargetMode="External"/></Relationships>
</file>

<file path=word/charts/_rels/chart2.xml.rels><?xml version="1.0" encoding="UTF-8" standalone="yes"?>
<Relationships xmlns="http://schemas.openxmlformats.org/package/2006/relationships"><Relationship Id="rId3" Type="http://schemas.microsoft.com/office/2011/relationships/chartColorStyle" Target="colors2.xml"/><Relationship Id="rId2" Type="http://schemas.microsoft.com/office/2011/relationships/chartStyle" Target="style2.xml"/><Relationship Id="rId1" Type="http://schemas.openxmlformats.org/officeDocument/2006/relationships/oleObject" Target="file:///F:\M&#30446;&#24405;\2018&#24180;1&#26376;&#26368;&#26032;excel&#30446;&#24405;&#27169;&#26495;\2020&#30446;&#24405;\&#26032;&#38395;&#31295;\&#35266;&#28857;&#25968;&#25454;&#22270;&#34920;&#27169;&#26495;-&#27169;&#26495;%2020240426%20&#20026;&#20934;%20-%20&#21103;&#26412;.xlsx" TargetMode="External"/></Relationships>
</file>

<file path=word/charts/_rels/chart3.xml.rels><?xml version="1.0" encoding="UTF-8" standalone="yes"?>
<Relationships xmlns="http://schemas.openxmlformats.org/package/2006/relationships"><Relationship Id="rId3" Type="http://schemas.microsoft.com/office/2011/relationships/chartColorStyle" Target="colors1.xml"/><Relationship Id="rId2" Type="http://schemas.microsoft.com/office/2011/relationships/chartStyle" Target="style1.xml"/><Relationship Id="rId1" Type="http://schemas.openxmlformats.org/officeDocument/2006/relationships/oleObject" Target="file:///F:\M&#30446;&#24405;\2018&#24180;1&#26376;&#26368;&#26032;excel&#30446;&#24405;&#27169;&#26495;\2020&#30446;&#24405;\&#26032;&#38395;&#31295;\&#35266;&#28857;&#25968;&#25454;&#22270;&#34920;&#27169;&#26495;-&#27169;&#26495;%2020240426%20&#20026;&#20934;%20-%20&#21103;&#26412;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charset="0"/>
                <a:ea typeface="+mn-ea"/>
                <a:cs typeface="Times New Roman" panose="02020603050405020304" charset="0"/>
              </a:defRPr>
            </a:pPr>
            <a:r>
              <a:rPr lang="zh-CN" altLang="en-US"/>
              <a:t>全球市场总体规模（百万美元</a:t>
            </a:r>
            <a:r>
              <a:rPr lang="en-US"/>
              <a:t>), 2024 VS 2030</a:t>
            </a:r>
            <a:endParaRPr lang="en-US"/>
          </a:p>
        </c:rich>
      </c:tx>
      <c:layout/>
      <c:overlay val="0"/>
      <c:spPr>
        <a:noFill/>
        <a:ln>
          <a:noFill/>
        </a:ln>
        <a:effectLst/>
      </c:spPr>
    </c:title>
    <c:autoTitleDeleted val="0"/>
    <c:plotArea>
      <c:layout>
        <c:manualLayout>
          <c:layoutTarget val="inner"/>
          <c:xMode val="edge"/>
          <c:yMode val="edge"/>
          <c:x val="0.0254783950617284"/>
          <c:y val="0.139741503267974"/>
          <c:w val="0.956882716049383"/>
          <c:h val="0.763978104575163"/>
        </c:manualLayout>
      </c:layout>
      <c:barChart>
        <c:barDir val="col"/>
        <c:grouping val="stacked"/>
        <c:varyColors val="0"/>
        <c:ser>
          <c:idx val="0"/>
          <c:order val="0"/>
          <c:tx>
            <c:strRef>
              <c:f>全球总体!$R$7</c:f>
              <c:strCache>
                <c:ptCount val="1"/>
                <c:pt idx="0">
                  <c:v>Global Market Size ($ Mn)</c:v>
                </c:pt>
              </c:strCache>
            </c:strRef>
          </c:tx>
          <c:spPr>
            <a:solidFill>
              <a:srgbClr val="002060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全球总体!$T$6:$U$6</c:f>
              <c:numCache>
                <c:formatCode>General</c:formatCode>
                <c:ptCount val="2"/>
                <c:pt idx="0">
                  <c:v>2024</c:v>
                </c:pt>
                <c:pt idx="1">
                  <c:v>2030</c:v>
                </c:pt>
              </c:numCache>
            </c:numRef>
          </c:cat>
          <c:val>
            <c:numRef>
              <c:f>全球总体!$T$7:$U$7</c:f>
              <c:numCache>
                <c:formatCode>#,##0_ </c:formatCode>
                <c:ptCount val="2"/>
                <c:pt idx="0">
                  <c:v>8703.5</c:v>
                </c:pt>
                <c:pt idx="1">
                  <c:v>9847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100"/>
        <c:serLines>
          <c:spPr>
            <a:ln w="15875" cap="flat" cmpd="sng" algn="ctr">
              <a:solidFill>
                <a:srgbClr val="002060"/>
              </a:solidFill>
              <a:round/>
              <a:headEnd type="triangle"/>
            </a:ln>
            <a:effectLst/>
          </c:spPr>
        </c:serLines>
        <c:axId val="719571343"/>
        <c:axId val="481370671"/>
      </c:barChart>
      <c:catAx>
        <c:axId val="71957134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charset="0"/>
                <a:ea typeface="+mn-ea"/>
                <a:cs typeface="Times New Roman" panose="02020603050405020304" charset="0"/>
              </a:defRPr>
            </a:pPr>
          </a:p>
        </c:txPr>
        <c:crossAx val="481370671"/>
        <c:crosses val="autoZero"/>
        <c:auto val="1"/>
        <c:lblAlgn val="ctr"/>
        <c:lblOffset val="100"/>
        <c:noMultiLvlLbl val="0"/>
      </c:catAx>
      <c:valAx>
        <c:axId val="481370671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#,##0_ 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charset="0"/>
                <a:ea typeface="+mn-ea"/>
                <a:cs typeface="Times New Roman" panose="02020603050405020304" charset="0"/>
              </a:defRPr>
            </a:pPr>
          </a:p>
        </c:txPr>
        <c:crossAx val="71957134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>
          <a:latin typeface="Times New Roman" panose="02020603050405020304" charset="0"/>
          <a:cs typeface="Times New Roman" panose="02020603050405020304" charset="0"/>
        </a:defRPr>
      </a:pPr>
    </a:p>
  </c:tx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charset="0"/>
                <a:ea typeface="宋体" panose="02010600030101010101" charset="-122"/>
                <a:cs typeface="+mn-cs"/>
              </a:defRPr>
            </a:pPr>
            <a:r>
              <a:rPr lang="zh-CN" sz="1100"/>
              <a:t>全球市场主要企业排名</a:t>
            </a:r>
            <a:endParaRPr lang="en-US" sz="1100"/>
          </a:p>
        </c:rich>
      </c:tx>
      <c:layout>
        <c:manualLayout>
          <c:xMode val="edge"/>
          <c:yMode val="edge"/>
          <c:x val="0.332020778652668"/>
          <c:y val="0.0346320818516983"/>
        </c:manualLayout>
      </c:layout>
      <c:overlay val="0"/>
      <c:spPr>
        <a:noFill/>
        <a:ln>
          <a:noFill/>
        </a:ln>
        <a:effectLst/>
      </c:spPr>
    </c:title>
    <c:autoTitleDeleted val="0"/>
    <c:plotArea>
      <c:layout/>
      <c:barChart>
        <c:barDir val="bar"/>
        <c:grouping val="clustered"/>
        <c:varyColors val="1"/>
        <c:ser>
          <c:idx val="0"/>
          <c:order val="0"/>
          <c:tx>
            <c:strRef>
              <c:f>企业收入!$I$1</c:f>
              <c:strCache>
                <c:ptCount val="1"/>
                <c:pt idx="0">
                  <c:v>2023</c:v>
                </c:pt>
              </c:strCache>
            </c:strRef>
          </c:tx>
          <c:spPr>
            <a:solidFill>
              <a:srgbClr val="002060"/>
            </a:solidFill>
          </c:spPr>
          <c:invertIfNegative val="0"/>
          <c:dPt>
            <c:idx val="0"/>
            <c:invertIfNegative val="0"/>
            <c:bubble3D val="0"/>
            <c:spPr>
              <a:solidFill>
                <a:srgbClr val="002060"/>
              </a:solidFill>
              <a:ln>
                <a:noFill/>
              </a:ln>
              <a:effectLst/>
            </c:spPr>
          </c:dPt>
          <c:dPt>
            <c:idx val="1"/>
            <c:invertIfNegative val="0"/>
            <c:bubble3D val="0"/>
            <c:spPr>
              <a:solidFill>
                <a:srgbClr val="002060"/>
              </a:solidFill>
              <a:ln>
                <a:noFill/>
              </a:ln>
              <a:effectLst/>
            </c:spPr>
          </c:dPt>
          <c:dPt>
            <c:idx val="2"/>
            <c:invertIfNegative val="0"/>
            <c:bubble3D val="0"/>
            <c:spPr>
              <a:solidFill>
                <a:srgbClr val="002060"/>
              </a:solidFill>
              <a:ln>
                <a:noFill/>
              </a:ln>
              <a:effectLst/>
            </c:spPr>
          </c:dPt>
          <c:dPt>
            <c:idx val="3"/>
            <c:invertIfNegative val="0"/>
            <c:bubble3D val="0"/>
            <c:spPr>
              <a:solidFill>
                <a:srgbClr val="002060"/>
              </a:solidFill>
              <a:ln>
                <a:noFill/>
              </a:ln>
              <a:effectLst/>
            </c:spPr>
          </c:dPt>
          <c:dPt>
            <c:idx val="4"/>
            <c:invertIfNegative val="0"/>
            <c:bubble3D val="0"/>
            <c:spPr>
              <a:solidFill>
                <a:srgbClr val="002060"/>
              </a:solidFill>
              <a:ln>
                <a:noFill/>
              </a:ln>
              <a:effectLst/>
            </c:spPr>
          </c:dPt>
          <c:dPt>
            <c:idx val="5"/>
            <c:invertIfNegative val="0"/>
            <c:bubble3D val="0"/>
            <c:spPr>
              <a:solidFill>
                <a:srgbClr val="002060"/>
              </a:solidFill>
              <a:ln>
                <a:noFill/>
              </a:ln>
              <a:effectLst/>
            </c:spPr>
          </c:dPt>
          <c:dPt>
            <c:idx val="6"/>
            <c:invertIfNegative val="0"/>
            <c:bubble3D val="0"/>
            <c:spPr>
              <a:solidFill>
                <a:srgbClr val="002060"/>
              </a:solidFill>
              <a:ln>
                <a:noFill/>
              </a:ln>
              <a:effectLst/>
            </c:spPr>
          </c:dPt>
          <c:dPt>
            <c:idx val="7"/>
            <c:invertIfNegative val="0"/>
            <c:bubble3D val="0"/>
            <c:spPr>
              <a:solidFill>
                <a:srgbClr val="002060"/>
              </a:solidFill>
              <a:ln>
                <a:noFill/>
              </a:ln>
              <a:effectLst/>
            </c:spPr>
          </c:dPt>
          <c:dPt>
            <c:idx val="8"/>
            <c:invertIfNegative val="0"/>
            <c:bubble3D val="0"/>
            <c:spPr>
              <a:solidFill>
                <a:srgbClr val="002060"/>
              </a:solidFill>
              <a:ln>
                <a:noFill/>
              </a:ln>
              <a:effectLst/>
            </c:spPr>
          </c:dPt>
          <c:dPt>
            <c:idx val="9"/>
            <c:invertIfNegative val="0"/>
            <c:bubble3D val="0"/>
            <c:spPr>
              <a:solidFill>
                <a:srgbClr val="002060"/>
              </a:solidFill>
              <a:ln>
                <a:noFill/>
              </a:ln>
              <a:effectLst/>
            </c:spPr>
          </c:dPt>
          <c:dPt>
            <c:idx val="10"/>
            <c:invertIfNegative val="0"/>
            <c:bubble3D val="0"/>
            <c:spPr>
              <a:solidFill>
                <a:srgbClr val="002060"/>
              </a:solidFill>
              <a:ln>
                <a:noFill/>
              </a:ln>
              <a:effectLst/>
            </c:spPr>
          </c:dPt>
          <c:dPt>
            <c:idx val="11"/>
            <c:invertIfNegative val="0"/>
            <c:bubble3D val="0"/>
            <c:spPr>
              <a:solidFill>
                <a:srgbClr val="002060"/>
              </a:solidFill>
              <a:ln>
                <a:noFill/>
              </a:ln>
              <a:effectLst/>
            </c:spPr>
          </c:dPt>
          <c:dPt>
            <c:idx val="12"/>
            <c:invertIfNegative val="0"/>
            <c:bubble3D val="0"/>
            <c:spPr>
              <a:solidFill>
                <a:srgbClr val="002060"/>
              </a:solidFill>
              <a:ln>
                <a:noFill/>
              </a:ln>
              <a:effectLst/>
            </c:spPr>
          </c:dPt>
          <c:dPt>
            <c:idx val="13"/>
            <c:invertIfNegative val="0"/>
            <c:bubble3D val="0"/>
            <c:spPr>
              <a:solidFill>
                <a:srgbClr val="002060"/>
              </a:solidFill>
              <a:ln>
                <a:noFill/>
              </a:ln>
              <a:effectLst/>
            </c:spPr>
          </c:dPt>
          <c:dLbls>
            <c:delete val="1"/>
          </c:dLbls>
          <c:cat>
            <c:strRef>
              <c:f>企业收入!$H$2:$H$15</c:f>
              <c:strCache>
                <c:ptCount val="14"/>
                <c:pt idx="0">
                  <c:v>Gentherm</c:v>
                </c:pt>
                <c:pt idx="1">
                  <c:v>Nexans</c:v>
                </c:pt>
                <c:pt idx="2">
                  <c:v>Danfoss A/S</c:v>
                </c:pt>
                <c:pt idx="3">
                  <c:v>Uponor</c:v>
                </c:pt>
                <c:pt idx="4">
                  <c:v>Emerson</c:v>
                </c:pt>
                <c:pt idx="5">
                  <c:v>I.G.Bauerhin</c:v>
                </c:pt>
                <c:pt idx="6">
                  <c:v>Rehau</c:v>
                </c:pt>
                <c:pt idx="7">
                  <c:v>Purmo Group</c:v>
                </c:pt>
                <c:pt idx="8">
                  <c:v>nVent</c:v>
                </c:pt>
                <c:pt idx="9">
                  <c:v>伟星新材</c:v>
                </c:pt>
                <c:pt idx="10">
                  <c:v>SunTouch</c:v>
                </c:pt>
                <c:pt idx="11">
                  <c:v>中国联塑</c:v>
                </c:pt>
                <c:pt idx="12">
                  <c:v>日丰</c:v>
                </c:pt>
                <c:pt idx="13">
                  <c:v>暖丰电热</c:v>
                </c:pt>
              </c:strCache>
            </c:strRef>
          </c:cat>
          <c:val>
            <c:numRef>
              <c:f>企业收入!$I$2:$I$15</c:f>
              <c:numCache>
                <c:formatCode>0.0%</c:formatCode>
                <c:ptCount val="14"/>
                <c:pt idx="0">
                  <c:v>0.0512927439532944</c:v>
                </c:pt>
                <c:pt idx="1">
                  <c:v>0.0455210902702607</c:v>
                </c:pt>
                <c:pt idx="2">
                  <c:v>0.0316653505580892</c:v>
                </c:pt>
                <c:pt idx="3">
                  <c:v>0.0297910049154437</c:v>
                </c:pt>
                <c:pt idx="4">
                  <c:v>0.0219176441360708</c:v>
                </c:pt>
                <c:pt idx="5">
                  <c:v>0.0187501109080262</c:v>
                </c:pt>
                <c:pt idx="6">
                  <c:v>0.0172839068017674</c:v>
                </c:pt>
                <c:pt idx="7">
                  <c:v>0.0120357390023601</c:v>
                </c:pt>
                <c:pt idx="8">
                  <c:v>0.0109898763153692</c:v>
                </c:pt>
                <c:pt idx="9">
                  <c:v>0.00605225098929959</c:v>
                </c:pt>
                <c:pt idx="10">
                  <c:v>0.00558200095824535</c:v>
                </c:pt>
                <c:pt idx="11">
                  <c:v>0.00447292069632495</c:v>
                </c:pt>
                <c:pt idx="12">
                  <c:v>0.00390728976274555</c:v>
                </c:pt>
                <c:pt idx="13">
                  <c:v>0.00272722836406225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45"/>
        <c:axId val="1272139183"/>
        <c:axId val="1326546959"/>
      </c:barChart>
      <c:catAx>
        <c:axId val="1272139183"/>
        <c:scaling>
          <c:orientation val="maxMin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charset="0"/>
                <a:ea typeface="宋体" panose="02010600030101010101" charset="-122"/>
                <a:cs typeface="+mn-cs"/>
              </a:defRPr>
            </a:pPr>
          </a:p>
        </c:txPr>
        <c:crossAx val="1326546959"/>
        <c:crosses val="autoZero"/>
        <c:auto val="1"/>
        <c:lblAlgn val="ctr"/>
        <c:lblOffset val="100"/>
        <c:noMultiLvlLbl val="0"/>
      </c:catAx>
      <c:valAx>
        <c:axId val="1326546959"/>
        <c:scaling>
          <c:orientation val="minMax"/>
        </c:scaling>
        <c:delete val="0"/>
        <c:axPos val="t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0.0%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charset="0"/>
                <a:ea typeface="宋体" panose="02010600030101010101" charset="-122"/>
                <a:cs typeface="+mn-cs"/>
              </a:defRPr>
            </a:pPr>
          </a:p>
        </c:txPr>
        <c:crossAx val="127213918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 baseline="0">
          <a:latin typeface="Times New Roman" panose="02020603050405020304" charset="0"/>
          <a:ea typeface="宋体" panose="02010600030101010101" charset="-122"/>
        </a:defRPr>
      </a:pPr>
    </a:p>
  </c:txPr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  <a:r>
              <a:rPr lang="zh-CN" altLang="en-US" sz="1200">
                <a:latin typeface="Book Antiqua" panose="02040602050305030304" pitchFamily="1" charset="0"/>
              </a:rPr>
              <a:t>全球主要市场规模</a:t>
            </a:r>
            <a:r>
              <a:rPr lang="en-US" altLang="zh-CN" sz="1200">
                <a:latin typeface="Book Antiqua" panose="02040602050305030304" pitchFamily="1" charset="0"/>
              </a:rPr>
              <a:t>,</a:t>
            </a:r>
            <a:r>
              <a:rPr lang="en-US" altLang="zh-CN" sz="1200" baseline="0">
                <a:latin typeface="Book Antiqua" panose="02040602050305030304" pitchFamily="1" charset="0"/>
              </a:rPr>
              <a:t> </a:t>
            </a:r>
            <a:r>
              <a:rPr lang="en-US" altLang="zh-CN" sz="1200">
                <a:latin typeface="Book Antiqua" panose="02040602050305030304" pitchFamily="1" charset="0"/>
              </a:rPr>
              <a:t>2023 VS 2030</a:t>
            </a:r>
            <a:endParaRPr lang="zh-CN" altLang="en-US" sz="1200">
              <a:latin typeface="Book Antiqua" panose="02040602050305030304" pitchFamily="1" charset="0"/>
            </a:endParaRPr>
          </a:p>
        </c:rich>
      </c:tx>
      <c:layout/>
      <c:overlay val="0"/>
      <c:spPr>
        <a:noFill/>
        <a:ln>
          <a:noFill/>
        </a:ln>
        <a:effectLst/>
      </c:sp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'地区-生产'!$AF$1</c:f>
              <c:strCache>
                <c:ptCount val="1"/>
                <c:pt idx="0">
                  <c:v>2023</c:v>
                </c:pt>
              </c:strCache>
            </c:strRef>
          </c:tx>
          <c:spPr>
            <a:solidFill>
              <a:srgbClr val="FFC000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strRef>
              <c:f>'地区-生产'!$AD$2:$AD$10</c:f>
              <c:strCache>
                <c:ptCount val="5"/>
                <c:pt idx="0">
                  <c:v>北美</c:v>
                </c:pt>
                <c:pt idx="1">
                  <c:v>欧洲</c:v>
                </c:pt>
                <c:pt idx="2">
                  <c:v>中国</c:v>
                </c:pt>
                <c:pt idx="3">
                  <c:v>日本</c:v>
                </c:pt>
                <c:pt idx="4">
                  <c:v>其他</c:v>
                </c:pt>
              </c:strCache>
            </c:strRef>
          </c:cat>
          <c:val>
            <c:numRef>
              <c:f>'地区-生产'!$AF$2:$AF$10</c:f>
              <c:numCache>
                <c:formatCode>#,##0_);[Red]\(#,##0\)</c:formatCode>
                <c:ptCount val="5"/>
                <c:pt idx="0">
                  <c:v>2100.26</c:v>
                </c:pt>
                <c:pt idx="1">
                  <c:v>2924.45</c:v>
                </c:pt>
                <c:pt idx="2">
                  <c:v>2684.28</c:v>
                </c:pt>
                <c:pt idx="3">
                  <c:v>491.79</c:v>
                </c:pt>
                <c:pt idx="4">
                  <c:v>815.699999999999</c:v>
                </c:pt>
              </c:numCache>
            </c:numRef>
          </c:val>
        </c:ser>
        <c:ser>
          <c:idx val="1"/>
          <c:order val="1"/>
          <c:tx>
            <c:strRef>
              <c:f>'地区-生产'!$AG$1</c:f>
              <c:strCache>
                <c:ptCount val="1"/>
                <c:pt idx="0">
                  <c:v>2030</c:v>
                </c:pt>
              </c:strCache>
            </c:strRef>
          </c:tx>
          <c:spPr>
            <a:solidFill>
              <a:schemeClr val="bg1">
                <a:lumMod val="50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strRef>
              <c:f>'地区-生产'!$AD$2:$AD$10</c:f>
              <c:strCache>
                <c:ptCount val="5"/>
                <c:pt idx="0">
                  <c:v>北美</c:v>
                </c:pt>
                <c:pt idx="1">
                  <c:v>欧洲</c:v>
                </c:pt>
                <c:pt idx="2">
                  <c:v>中国</c:v>
                </c:pt>
                <c:pt idx="3">
                  <c:v>日本</c:v>
                </c:pt>
                <c:pt idx="4">
                  <c:v>其他</c:v>
                </c:pt>
              </c:strCache>
            </c:strRef>
          </c:cat>
          <c:val>
            <c:numRef>
              <c:f>'地区-生产'!$AG$2:$AG$10</c:f>
              <c:numCache>
                <c:formatCode>#,##0_);[Red]\(#,##0\)</c:formatCode>
                <c:ptCount val="5"/>
                <c:pt idx="0">
                  <c:v>2553.55</c:v>
                </c:pt>
                <c:pt idx="1">
                  <c:v>3343.21</c:v>
                </c:pt>
                <c:pt idx="2">
                  <c:v>2443.03</c:v>
                </c:pt>
                <c:pt idx="3">
                  <c:v>566.18</c:v>
                </c:pt>
                <c:pt idx="4">
                  <c:v>941.030000000001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75"/>
        <c:axId val="25844928"/>
        <c:axId val="1875643855"/>
      </c:barChart>
      <c:catAx>
        <c:axId val="25844928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</a:p>
        </c:txPr>
        <c:crossAx val="1875643855"/>
        <c:crosses val="autoZero"/>
        <c:auto val="1"/>
        <c:lblAlgn val="ctr"/>
        <c:lblOffset val="100"/>
        <c:noMultiLvlLbl val="0"/>
      </c:catAx>
      <c:valAx>
        <c:axId val="1875643855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#,##0_);[Red]\(#,##0\)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</a:p>
        </c:txPr>
        <c:crossAx val="25844928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lang="zh-CN"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Book Antiqua" panose="02040602050305030304" pitchFamily="1" charset="0"/>
              <a:ea typeface="+mn-ea"/>
              <a:cs typeface="+mn-cs"/>
            </a:defRPr>
          </a:pPr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0.43661</cdr:x>
      <cdr:y>0.29825</cdr:y>
    </cdr:from>
    <cdr:to>
      <cdr:x>0.56834</cdr:x>
      <cdr:y>0.41076</cdr:y>
    </cdr:to>
    <cdr:sp>
      <cdr:nvSpPr>
        <cdr:cNvPr id="2" name="椭圆 1"/>
        <cdr:cNvSpPr/>
      </cdr:nvSpPr>
      <cdr:spPr xmlns:a="http://schemas.openxmlformats.org/drawingml/2006/main">
        <a:xfrm xmlns:a="http://schemas.openxmlformats.org/drawingml/2006/main" rot="20847704">
          <a:off x="2797794" y="912652"/>
          <a:ext cx="844098" cy="344275"/>
        </a:xfrm>
        <a:prstGeom xmlns:a="http://schemas.openxmlformats.org/drawingml/2006/main" prst="ellipse">
          <a:avLst/>
        </a:prstGeom>
        <a:solidFill>
          <a:srgbClr val="FFC000"/>
        </a:solidFill>
        <a:ln w="12700">
          <a:noFill/>
        </a:ln>
      </cdr:spPr>
      <cdr:style>
        <a:lnRef xmlns:a="http://schemas.openxmlformats.org/drawingml/2006/main" idx="2">
          <a:schemeClr val="accent1">
            <a:shade val="15000"/>
          </a:schemeClr>
        </a:lnRef>
        <a:fillRef xmlns:a="http://schemas.openxmlformats.org/drawingml/2006/main" idx="1">
          <a:schemeClr val="accent1"/>
        </a:fillRef>
        <a:effectRef xmlns:a="http://schemas.openxmlformats.org/drawingml/2006/main" idx="0">
          <a:schemeClr val="accent1"/>
        </a:effectRef>
        <a:fontRef xmlns:a="http://schemas.openxmlformats.org/drawingml/2006/main" idx="minor">
          <a:schemeClr val="lt1"/>
        </a:fontRef>
      </cdr:style>
      <cdr:txBody xmlns:a="http://schemas.openxmlformats.org/drawingml/2006/main">
        <a:bodyPr vertOverflow="clip" vert="horz" wrap="none" lIns="45720" tIns="45720" rIns="45720" bIns="45720" anchor="ctr" anchorCtr="0">
          <a:normAutofit/>
        </a:bodyPr>
        <a:lstStyle/>
        <a:p>
          <a:pPr algn="ctr"/>
          <a:endParaRPr lang="zh-CN" sz="1000" baseline="0">
            <a:latin typeface="Times New Roman" panose="02020603050405020304" charset="0"/>
            <a:ea typeface="宋体" panose="02010600030101010101" charset="-122"/>
            <a:cs typeface="Times New Roman" panose="02020603050405020304" charset="0"/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  <customShpInfo spid="_x0000_s2056"/>
    <customShpInfo spid="_x0000_s2055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F02F84A-277B-4F74-B6D8-CEE6DB0B73C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1578</Words>
  <Characters>1863</Characters>
  <Lines>13</Lines>
  <Paragraphs>3</Paragraphs>
  <TotalTime>0</TotalTime>
  <ScaleCrop>false</ScaleCrop>
  <LinksUpToDate>false</LinksUpToDate>
  <CharactersWithSpaces>1866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2021-11-11T07:47:00Z</dcterms:created>
  <dc:creator>yangj</dc:creator>
  <cp:lastModifiedBy>qyr</cp:lastModifiedBy>
  <dcterms:modified xsi:type="dcterms:W3CDTF">2024-12-23T08:25:38Z</dcterms:modified>
  <cp:revision>881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017299BC65CA4052A2165BEFC85AE7A3_13</vt:lpwstr>
  </property>
</Properties>
</file>