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7C1103">
      <w:pPr>
        <w:pStyle w:val="145"/>
        <w:rPr>
          <w:lang w:eastAsia="zh-CN"/>
        </w:rPr>
      </w:pPr>
      <w:bookmarkStart w:id="0" w:name="OLE_LINK40"/>
      <w:bookmarkStart w:id="1" w:name="_Toc517262917"/>
      <w:bookmarkStart w:id="2" w:name="_Toc481801204"/>
      <w:bookmarkStart w:id="3" w:name="_Toc453597319"/>
      <w:bookmarkStart w:id="4" w:name="OLE_LINK15"/>
      <w:bookmarkStart w:id="5" w:name="OLE_LINK13"/>
      <w:bookmarkStart w:id="6" w:name="_Toc415818939"/>
      <w:bookmarkStart w:id="7" w:name="_Toc418070112"/>
      <w:bookmarkStart w:id="8" w:name="_Toc415143481"/>
      <w:bookmarkStart w:id="9" w:name="_Toc415142861"/>
      <w:bookmarkStart w:id="10" w:name="_Toc438987549"/>
      <w:bookmarkStart w:id="11" w:name="OLE_LINK24"/>
      <w:bookmarkStart w:id="12" w:name="OLE_LINK39"/>
      <w:r>
        <w:rPr>
          <w:rFonts w:hint="eastAsia"/>
          <w:lang w:eastAsia="zh-CN"/>
        </w:rPr>
        <w:t>工业级手持PDA终端ODM代工是指品牌方委托专业制造商（ODM厂商）为其提供工业级手持数据终端的“一站式”研发、设计和生产服务，具体表现为ODM厂商根据品牌方的市场定位和行业应用需求（如物流仓储、零售盘点、智能制造），完成从产品ID设计、硬件研发、软件系统定制到整机生产、测试和品质控制的全部环节，最终品牌方直接获得贴有其自身标识的成熟产品，无需自建工厂和研发团队即可快速推出符合行业标准且具备差异化的定制化终端，从而降低开发成本、缩短产品上市周期并专注市场渠道建设。</w:t>
      </w:r>
    </w:p>
    <w:p w14:paraId="20CB29BC">
      <w:pPr>
        <w:pStyle w:val="145"/>
        <w:rPr>
          <w:rFonts w:hint="eastAsia"/>
          <w:lang w:eastAsia="zh-CN"/>
        </w:rPr>
      </w:pPr>
      <w:r>
        <w:drawing>
          <wp:inline distT="0" distB="0" distL="0" distR="0">
            <wp:extent cx="2143125" cy="2143125"/>
            <wp:effectExtent l="0" t="0" r="9525" b="9525"/>
            <wp:docPr id="1152213841" name="图片 2" descr="手持终端,手持机,工业PDA,工业平板电脑,超高频RFID读写器,食堂消费机，捷宝科技官网-捷宝科技官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2213841" name="图片 2" descr="手持终端,手持机,工业PDA,工业平板电脑,超高频RFID读写器,食堂消费机，捷宝科技官网-捷宝科技官网"/>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2143125" cy="2143125"/>
                    </a:xfrm>
                    <a:prstGeom prst="rect">
                      <a:avLst/>
                    </a:prstGeom>
                    <a:noFill/>
                    <a:ln>
                      <a:noFill/>
                    </a:ln>
                  </pic:spPr>
                </pic:pic>
              </a:graphicData>
            </a:graphic>
          </wp:inline>
        </w:drawing>
      </w:r>
    </w:p>
    <w:p w14:paraId="498B8E01">
      <w:pPr>
        <w:pStyle w:val="145"/>
        <w:rPr>
          <w:rFonts w:hint="eastAsia"/>
          <w:lang w:eastAsia="zh-CN"/>
        </w:rPr>
      </w:pPr>
      <w:r>
        <w:rPr>
          <w:rFonts w:hint="eastAsia"/>
          <w:lang w:eastAsia="zh-CN"/>
        </w:rPr>
        <w:t>据QYResearch调研团队最新报告“全球工业级PDA终端ODM市场报告2024-2030”显示，预计2030年全球工业级PDA终端ODM市场规模将达到2.2亿美元，未来几年年复合增长率CAGR为7.5%。</w:t>
      </w:r>
    </w:p>
    <w:p w14:paraId="0E3FB7F7">
      <w:pPr>
        <w:pStyle w:val="148"/>
        <w:rPr>
          <w:rFonts w:hint="eastAsia"/>
          <w:lang w:eastAsia="zh-CN"/>
        </w:rPr>
      </w:pPr>
      <w:r>
        <w:rPr>
          <w:lang w:eastAsia="zh-CN"/>
        </w:rPr>
        <w:t>工业级PDA终端ODM</w:t>
      </w:r>
      <w:r>
        <w:rPr>
          <w:rFonts w:hint="eastAsia"/>
          <w:lang w:eastAsia="zh-CN"/>
        </w:rPr>
        <w:t>，全球市场总体规模</w:t>
      </w:r>
    </w:p>
    <w:p w14:paraId="20DD2803">
      <w:pPr>
        <w:pStyle w:val="143"/>
        <w:rPr>
          <w:rFonts w:hint="eastAsia"/>
          <w:lang w:eastAsia="zh-CN"/>
        </w:rPr>
      </w:pPr>
      <w:r>
        <w:drawing>
          <wp:inline distT="0" distB="0" distL="114300" distR="114300">
            <wp:extent cx="6182360" cy="3376930"/>
            <wp:effectExtent l="0" t="0" r="8890" b="139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stretch>
                      <a:fillRect/>
                    </a:stretch>
                  </pic:blipFill>
                  <pic:spPr>
                    <a:xfrm>
                      <a:off x="0" y="0"/>
                      <a:ext cx="6182360" cy="3376930"/>
                    </a:xfrm>
                    <a:prstGeom prst="rect">
                      <a:avLst/>
                    </a:prstGeom>
                    <a:noFill/>
                    <a:ln>
                      <a:noFill/>
                    </a:ln>
                  </pic:spPr>
                </pic:pic>
              </a:graphicData>
            </a:graphic>
          </wp:inline>
        </w:drawing>
      </w:r>
      <w:bookmarkStart w:id="13" w:name="_GoBack"/>
      <w:bookmarkEnd w:id="13"/>
    </w:p>
    <w:p w14:paraId="12FD9BEF">
      <w:pPr>
        <w:pStyle w:val="143"/>
        <w:rPr>
          <w:lang w:eastAsia="zh-CN"/>
        </w:rPr>
      </w:pPr>
      <w:r>
        <w:rPr>
          <w:rFonts w:hint="eastAsia"/>
          <w:lang w:eastAsia="zh-CN"/>
        </w:rPr>
        <w:t>来源：QYResearch 机械研究中心</w:t>
      </w:r>
    </w:p>
    <w:p w14:paraId="720E31E2">
      <w:pPr>
        <w:pStyle w:val="148"/>
        <w:rPr>
          <w:lang w:eastAsia="zh-CN"/>
        </w:rPr>
      </w:pPr>
      <w:r>
        <w:rPr>
          <w:rFonts w:hint="eastAsia"/>
          <w:lang w:eastAsia="zh-CN"/>
        </w:rPr>
        <w:t>全球</w:t>
      </w:r>
      <w:r>
        <w:rPr>
          <w:lang w:eastAsia="zh-CN"/>
        </w:rPr>
        <w:t>工业级PDA终端ODM</w:t>
      </w:r>
      <w:r>
        <w:rPr>
          <w:rFonts w:hint="eastAsia"/>
          <w:lang w:eastAsia="zh-CN"/>
        </w:rPr>
        <w:t>市场前</w:t>
      </w:r>
      <w:r>
        <w:rPr>
          <w:lang w:eastAsia="zh-CN"/>
        </w:rPr>
        <w:t>12</w:t>
      </w:r>
      <w:r>
        <w:rPr>
          <w:rFonts w:hint="eastAsia"/>
          <w:lang w:eastAsia="zh-CN"/>
        </w:rPr>
        <w:t>强生产商排名及市场占有率（基于2</w:t>
      </w:r>
      <w:r>
        <w:rPr>
          <w:lang w:eastAsia="zh-CN"/>
        </w:rPr>
        <w:t>024</w:t>
      </w:r>
      <w:r>
        <w:rPr>
          <w:rFonts w:hint="eastAsia"/>
          <w:lang w:eastAsia="zh-CN"/>
        </w:rPr>
        <w:t>年调研数据；目前最新数据以本公司最新调研数据为准）</w:t>
      </w:r>
    </w:p>
    <w:p w14:paraId="773AFA33">
      <w:pPr>
        <w:widowControl/>
        <w:topLinePunct w:val="0"/>
        <w:spacing w:after="0"/>
        <w:jc w:val="center"/>
        <w:rPr>
          <w:rFonts w:ascii="宋体" w:hAnsi="宋体" w:cs="宋体"/>
          <w:kern w:val="0"/>
          <w:sz w:val="24"/>
          <w:szCs w:val="24"/>
        </w:rPr>
      </w:pPr>
      <w:r>
        <w:drawing>
          <wp:inline distT="0" distB="0" distL="0" distR="0">
            <wp:extent cx="3771900" cy="5991225"/>
            <wp:effectExtent l="0" t="0" r="0" b="0"/>
            <wp:docPr id="88921123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04A43543">
      <w:pPr>
        <w:pStyle w:val="143"/>
        <w:rPr>
          <w:lang w:eastAsia="zh-CN"/>
        </w:rPr>
      </w:pPr>
      <w:r>
        <w:rPr>
          <w:rFonts w:hint="eastAsia"/>
          <w:lang w:eastAsia="zh-CN"/>
        </w:rPr>
        <w:t>来源：QYResearch 机械研究中心。行业处于不断变动之中，最新数据请联系QYResearch咨询。</w:t>
      </w:r>
    </w:p>
    <w:p w14:paraId="5C39E5EA">
      <w:pPr>
        <w:pStyle w:val="145"/>
        <w:rPr>
          <w:lang w:eastAsia="zh-CN"/>
        </w:rPr>
      </w:pPr>
      <w:r>
        <w:rPr>
          <w:rFonts w:hint="eastAsia"/>
          <w:lang w:eastAsia="zh-CN"/>
        </w:rPr>
        <w:t>根据QYResearch头部企业研究中心调研，全球范围内工业级PDA终端ODM生产商主要包括深圳朗道科技、广州捷宝电子科技、晨讯科技、Point Mobile、苏州安可信通信技术等。</w:t>
      </w:r>
    </w:p>
    <w:p w14:paraId="6F93BF27">
      <w:pPr>
        <w:pStyle w:val="145"/>
        <w:rPr>
          <w:rFonts w:hint="eastAsia"/>
          <w:lang w:eastAsia="zh-CN"/>
        </w:rPr>
      </w:pPr>
      <w:r>
        <w:rPr>
          <w:rFonts w:hint="eastAsia"/>
          <w:lang w:eastAsia="zh-CN"/>
        </w:rPr>
        <w:t>2024年，全球前十二大厂商占有大约</w:t>
      </w:r>
      <w:r>
        <w:rPr>
          <w:lang w:eastAsia="zh-CN"/>
        </w:rPr>
        <w:t>77</w:t>
      </w:r>
      <w:r>
        <w:rPr>
          <w:rFonts w:hint="eastAsia"/>
          <w:lang w:eastAsia="zh-CN"/>
        </w:rPr>
        <w:t>.0%的市场份额。</w:t>
      </w:r>
    </w:p>
    <w:p w14:paraId="3E6DE9A8">
      <w:pPr>
        <w:pStyle w:val="148"/>
        <w:rPr>
          <w:lang w:eastAsia="zh-CN"/>
        </w:rPr>
      </w:pPr>
      <w:r>
        <w:rPr>
          <w:lang w:eastAsia="zh-CN"/>
        </w:rPr>
        <w:t>工业级PDA终端ODM</w:t>
      </w:r>
      <w:r>
        <w:rPr>
          <w:rFonts w:hint="eastAsia"/>
          <w:lang w:eastAsia="zh-CN"/>
        </w:rPr>
        <w:t>，全球市场规模，按产品分类细分，按键式PDA处于主导地位</w:t>
      </w:r>
    </w:p>
    <w:p w14:paraId="1DAC1641">
      <w:pPr>
        <w:pStyle w:val="145"/>
        <w:rPr>
          <w:rFonts w:hint="eastAsia"/>
          <w:lang w:val="en-US" w:eastAsia="zh-CN"/>
        </w:rPr>
      </w:pPr>
      <w:r>
        <w:drawing>
          <wp:inline distT="0" distB="0" distL="0" distR="0">
            <wp:extent cx="6188710" cy="2650490"/>
            <wp:effectExtent l="0" t="0" r="2540" b="0"/>
            <wp:docPr id="62910115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39AE0722">
      <w:pPr>
        <w:pStyle w:val="143"/>
        <w:rPr>
          <w:lang w:eastAsia="zh-CN"/>
        </w:rPr>
      </w:pPr>
      <w:r>
        <w:rPr>
          <w:rFonts w:hint="eastAsia"/>
          <w:lang w:eastAsia="zh-CN"/>
        </w:rPr>
        <w:t>来源：QYResearch 机械研究中心</w:t>
      </w:r>
    </w:p>
    <w:p w14:paraId="41C3AE68">
      <w:pPr>
        <w:pStyle w:val="145"/>
        <w:rPr>
          <w:rFonts w:hint="eastAsia"/>
          <w:lang w:eastAsia="zh-CN"/>
        </w:rPr>
      </w:pPr>
      <w:r>
        <w:rPr>
          <w:rFonts w:hint="eastAsia"/>
          <w:lang w:eastAsia="zh-CN"/>
        </w:rPr>
        <w:t>就产品类型而言，目前按键式PDA是最主要的细分产品，占据大约</w:t>
      </w:r>
      <w:r>
        <w:rPr>
          <w:lang w:eastAsia="zh-CN"/>
        </w:rPr>
        <w:t>74.4%</w:t>
      </w:r>
      <w:r>
        <w:rPr>
          <w:rFonts w:hint="eastAsia"/>
          <w:lang w:eastAsia="zh-CN"/>
        </w:rPr>
        <w:t>的份额。</w:t>
      </w:r>
    </w:p>
    <w:p w14:paraId="0A4DB270">
      <w:pPr>
        <w:pStyle w:val="148"/>
        <w:rPr>
          <w:rFonts w:hint="eastAsia"/>
          <w:lang w:eastAsia="zh-CN"/>
        </w:rPr>
      </w:pPr>
      <w:r>
        <w:rPr>
          <w:lang w:eastAsia="zh-CN"/>
        </w:rPr>
        <w:t>工业级PDA终端ODM</w:t>
      </w:r>
      <w:r>
        <w:rPr>
          <w:rFonts w:hint="eastAsia"/>
          <w:lang w:eastAsia="zh-CN"/>
        </w:rPr>
        <w:t>，全球市场规模，按应用细分，工业自动化是最大的下游市场，占有</w:t>
      </w:r>
      <w:r>
        <w:rPr>
          <w:lang w:eastAsia="zh-CN"/>
        </w:rPr>
        <w:t>35.3%</w:t>
      </w:r>
      <w:r>
        <w:rPr>
          <w:rFonts w:hint="eastAsia"/>
          <w:lang w:eastAsia="zh-CN"/>
        </w:rPr>
        <w:t>的市场份额。</w:t>
      </w:r>
    </w:p>
    <w:p w14:paraId="1F9213C6">
      <w:pPr>
        <w:widowControl/>
        <w:topLinePunct w:val="0"/>
        <w:spacing w:after="0"/>
        <w:jc w:val="left"/>
        <w:rPr>
          <w:rFonts w:ascii="宋体" w:hAnsi="宋体" w:cs="宋体"/>
          <w:kern w:val="0"/>
          <w:sz w:val="24"/>
          <w:szCs w:val="24"/>
        </w:rPr>
      </w:pPr>
      <w:r>
        <w:drawing>
          <wp:inline distT="0" distB="0" distL="0" distR="0">
            <wp:extent cx="6188710" cy="2698750"/>
            <wp:effectExtent l="0" t="0" r="2540" b="6350"/>
            <wp:docPr id="138434100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08CA65EC">
      <w:pPr>
        <w:pStyle w:val="143"/>
        <w:rPr>
          <w:lang w:eastAsia="zh-CN"/>
        </w:rPr>
      </w:pPr>
      <w:r>
        <w:rPr>
          <w:rFonts w:hint="eastAsia"/>
          <w:lang w:eastAsia="zh-CN"/>
        </w:rPr>
        <w:t>来源：QYResearch 机械研究中心</w:t>
      </w:r>
    </w:p>
    <w:p w14:paraId="5315F7D2">
      <w:pPr>
        <w:pStyle w:val="145"/>
        <w:rPr>
          <w:lang w:eastAsia="zh-CN"/>
        </w:rPr>
      </w:pPr>
      <w:r>
        <w:rPr>
          <w:rFonts w:hint="eastAsia"/>
          <w:lang w:eastAsia="zh-CN"/>
        </w:rPr>
        <w:t>就产品应用而言，目前工业自动化是最主要的需求来源，占据大约</w:t>
      </w:r>
      <w:r>
        <w:rPr>
          <w:lang w:eastAsia="zh-CN"/>
        </w:rPr>
        <w:t>35.3%</w:t>
      </w:r>
      <w:r>
        <w:rPr>
          <w:rFonts w:hint="eastAsia"/>
          <w:lang w:eastAsia="zh-CN"/>
        </w:rPr>
        <w:t>的市场份额。</w:t>
      </w:r>
    </w:p>
    <w:p w14:paraId="4B44D8E9">
      <w:pPr>
        <w:pStyle w:val="148"/>
        <w:rPr>
          <w:lang w:eastAsia="zh-CN"/>
        </w:rPr>
      </w:pPr>
      <w:r>
        <w:rPr>
          <w:rFonts w:hint="eastAsia"/>
          <w:lang w:eastAsia="zh-CN"/>
        </w:rPr>
        <w:t>全球主要市场</w:t>
      </w:r>
      <w:r>
        <w:rPr>
          <w:lang w:eastAsia="zh-CN"/>
        </w:rPr>
        <w:t>工业级PDA终端ODM</w:t>
      </w:r>
      <w:r>
        <w:rPr>
          <w:rFonts w:hint="eastAsia"/>
          <w:lang w:eastAsia="zh-CN"/>
        </w:rPr>
        <w:t>规模</w:t>
      </w:r>
    </w:p>
    <w:p w14:paraId="0A04CE29">
      <w:pPr>
        <w:pStyle w:val="143"/>
        <w:rPr>
          <w:lang w:eastAsia="zh-CN"/>
        </w:rPr>
      </w:pPr>
      <w:r>
        <w:drawing>
          <wp:inline distT="0" distB="0" distL="0" distR="0">
            <wp:extent cx="5833745" cy="3009265"/>
            <wp:effectExtent l="0" t="0" r="14605" b="635"/>
            <wp:docPr id="88583837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4020B357">
      <w:pPr>
        <w:pStyle w:val="143"/>
        <w:rPr>
          <w:lang w:eastAsia="zh-CN"/>
        </w:rPr>
      </w:pPr>
      <w:r>
        <w:rPr>
          <w:rFonts w:hint="eastAsia"/>
          <w:lang w:eastAsia="zh-CN"/>
        </w:rPr>
        <w:t>来源：QYResearch 机械研究中心</w:t>
      </w:r>
    </w:p>
    <w:p w14:paraId="562A96D4">
      <w:pPr>
        <w:pStyle w:val="145"/>
        <w:rPr>
          <w:lang w:eastAsia="zh-CN"/>
        </w:rPr>
      </w:pPr>
      <w:r>
        <w:rPr>
          <w:rFonts w:hint="eastAsia"/>
          <w:lang w:eastAsia="zh-CN"/>
        </w:rPr>
        <w:t>工业级PDA终端ODM的主要驱动因素包括各行业对高效数据采集和移动办公需求的持续增长，以及物联网和自动化技术的快速发展，这些都推动了对耐用、高性能PDA终端的需求。</w:t>
      </w:r>
    </w:p>
    <w:p w14:paraId="55B26DBA">
      <w:pPr>
        <w:pStyle w:val="145"/>
        <w:rPr>
          <w:lang w:eastAsia="zh-CN"/>
        </w:rPr>
      </w:pPr>
      <w:r>
        <w:rPr>
          <w:rFonts w:hint="eastAsia"/>
          <w:lang w:eastAsia="zh-CN"/>
        </w:rPr>
        <w:t>然而，主要阻碍因素在于技术更新换代快，研发成本高，以及市场竞争激烈，导致企业需要不断投入资源以保持竞争力。</w:t>
      </w:r>
    </w:p>
    <w:p w14:paraId="57369DC1">
      <w:pPr>
        <w:pStyle w:val="145"/>
        <w:rPr>
          <w:rFonts w:hint="eastAsia"/>
          <w:lang w:eastAsia="zh-CN"/>
        </w:rPr>
      </w:pPr>
      <w:r>
        <w:rPr>
          <w:rFonts w:hint="eastAsia"/>
          <w:lang w:eastAsia="zh-CN"/>
        </w:rPr>
        <w:t>行业发展机遇在于5G和人工智能等新兴技术的融合，为工业级PDA终端提供了更广阔的应用场景，如智能工厂、物流自动化和远程监控等领域。同时，随着全球制造业的数字化转型加速，对工业级PDA终端的需求将持续增加。</w:t>
      </w:r>
    </w:p>
    <w:p w14:paraId="04711324">
      <w:pPr>
        <w:pStyle w:val="145"/>
        <w:rPr>
          <w:lang w:val="en-US" w:eastAsia="zh-CN"/>
        </w:rPr>
      </w:pPr>
      <w:r>
        <w:rPr>
          <w:rFonts w:hint="eastAsia" w:cs="Arial"/>
          <w:b/>
          <w:color w:val="FF8200"/>
          <w:lang w:val="en-US" w:eastAsia="zh-CN"/>
        </w:rPr>
        <w:t>领先企业介绍：深圳朗道科技</w:t>
      </w:r>
    </w:p>
    <w:p w14:paraId="44C61FC0">
      <w:pPr>
        <w:pStyle w:val="145"/>
        <w:rPr>
          <w:lang w:eastAsia="zh-CN"/>
        </w:rPr>
      </w:pPr>
      <w:r>
        <w:drawing>
          <wp:inline distT="0" distB="0" distL="0" distR="0">
            <wp:extent cx="1724025" cy="542925"/>
            <wp:effectExtent l="0" t="0" r="9525" b="9525"/>
            <wp:docPr id="19963571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6357199" name="图片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1724025" cy="542925"/>
                    </a:xfrm>
                    <a:prstGeom prst="rect">
                      <a:avLst/>
                    </a:prstGeom>
                    <a:noFill/>
                    <a:ln>
                      <a:noFill/>
                    </a:ln>
                  </pic:spPr>
                </pic:pic>
              </a:graphicData>
            </a:graphic>
          </wp:inline>
        </w:drawing>
      </w:r>
    </w:p>
    <w:p w14:paraId="56007AB4">
      <w:pPr>
        <w:pStyle w:val="145"/>
        <w:rPr>
          <w:lang w:eastAsia="zh-CN"/>
        </w:rPr>
      </w:pPr>
      <w:r>
        <w:rPr>
          <w:rFonts w:hint="eastAsia"/>
          <w:lang w:eastAsia="zh-CN"/>
        </w:rPr>
        <w:t>深圳市朗道科技有限公司成立于2004年，是一家专业从事移动通信设备、三防电子产品、行业定制设备及互联网智能终端等研发、生产和销售的国家高新技术企业。公司拥有强大的研发设计团队，具备硬件、软件、结构、整机开发生产的能力，可以提供从方案到整机的全套设计及交付。</w:t>
      </w:r>
    </w:p>
    <w:p w14:paraId="308DBC18">
      <w:pPr>
        <w:pStyle w:val="145"/>
        <w:rPr>
          <w:rFonts w:hint="eastAsia"/>
          <w:lang w:eastAsia="zh-CN"/>
        </w:rPr>
      </w:pPr>
      <w:r>
        <w:rPr>
          <w:rFonts w:hint="eastAsia"/>
          <w:lang w:eastAsia="zh-CN"/>
        </w:rPr>
        <w:t>公司不断地追求科技创新，持续每年投入大量的资金到新产品的研发，现产品类型有三防智能手机、三防平板、行业定制终端、物联网终端等一整套的解决方案。经过多年努力，朗道目前在三防终端定制领域已经处于行业领先水平，产品覆盖30多个国家和地区，涉及交通、医疗、物流、石化、户外、旅游等多个领域，质量得到消费者的广泛认可。</w:t>
      </w:r>
    </w:p>
    <w:p w14:paraId="0BA9BF5E">
      <w:pPr>
        <w:pStyle w:val="145"/>
        <w:rPr>
          <w:lang w:eastAsia="zh-CN"/>
        </w:rPr>
      </w:pPr>
      <w:r>
        <w:drawing>
          <wp:inline distT="0" distB="0" distL="0" distR="0">
            <wp:extent cx="2876550" cy="2143125"/>
            <wp:effectExtent l="0" t="0" r="0" b="9525"/>
            <wp:docPr id="109798372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7983724" name="图片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2876550" cy="2143125"/>
                    </a:xfrm>
                    <a:prstGeom prst="rect">
                      <a:avLst/>
                    </a:prstGeom>
                    <a:noFill/>
                    <a:ln>
                      <a:noFill/>
                    </a:ln>
                  </pic:spPr>
                </pic:pic>
              </a:graphicData>
            </a:graphic>
          </wp:inline>
        </w:drawing>
      </w:r>
    </w:p>
    <w:p w14:paraId="477AD3CA">
      <w:pPr>
        <w:pStyle w:val="145"/>
        <w:rPr>
          <w:rFonts w:hint="eastAsia"/>
          <w:lang w:eastAsia="zh-CN"/>
        </w:rPr>
      </w:pPr>
      <w:r>
        <w:rPr>
          <w:rFonts w:hint="eastAsia"/>
          <w:lang w:eastAsia="zh-CN"/>
        </w:rPr>
        <w:t>工业手持PDA终端</w:t>
      </w:r>
    </w:p>
    <w:p w14:paraId="4E1BD2F6">
      <w:pPr>
        <w:pStyle w:val="145"/>
        <w:rPr>
          <w:rFonts w:hint="eastAsia"/>
          <w:lang w:eastAsia="zh-CN"/>
        </w:rPr>
      </w:pPr>
      <w:r>
        <w:rPr>
          <w:rFonts w:hint="eastAsia"/>
          <w:lang w:eastAsia="zh-CN"/>
        </w:rPr>
        <w:t>·8核2.0GHz高性能处理器</w:t>
      </w:r>
    </w:p>
    <w:p w14:paraId="1C78F465">
      <w:pPr>
        <w:pStyle w:val="145"/>
        <w:rPr>
          <w:rFonts w:hint="eastAsia"/>
          <w:lang w:eastAsia="zh-CN"/>
        </w:rPr>
      </w:pPr>
      <w:r>
        <w:rPr>
          <w:rFonts w:hint="eastAsia"/>
          <w:lang w:eastAsia="zh-CN"/>
        </w:rPr>
        <w:t>· Android 12.0 操作系统</w:t>
      </w:r>
    </w:p>
    <w:p w14:paraId="6744960A">
      <w:pPr>
        <w:pStyle w:val="145"/>
        <w:rPr>
          <w:rFonts w:hint="eastAsia"/>
          <w:lang w:eastAsia="zh-CN"/>
        </w:rPr>
      </w:pPr>
      <w:r>
        <w:rPr>
          <w:rFonts w:hint="eastAsia"/>
          <w:lang w:eastAsia="zh-CN"/>
        </w:rPr>
        <w:t>·5000mAh大电池18W快充</w:t>
      </w:r>
    </w:p>
    <w:p w14:paraId="4D3CE52F">
      <w:pPr>
        <w:pStyle w:val="145"/>
        <w:rPr>
          <w:rFonts w:hint="eastAsia"/>
          <w:lang w:eastAsia="zh-CN"/>
        </w:rPr>
      </w:pPr>
      <w:r>
        <w:rPr>
          <w:rFonts w:hint="eastAsia"/>
          <w:lang w:eastAsia="zh-CN"/>
        </w:rPr>
        <w:t>·IP68防护、1.5米多次跌落</w:t>
      </w:r>
    </w:p>
    <w:p w14:paraId="74641357">
      <w:pPr>
        <w:pStyle w:val="145"/>
        <w:rPr>
          <w:rFonts w:hint="eastAsia"/>
          <w:lang w:eastAsia="zh-CN"/>
        </w:rPr>
      </w:pPr>
      <w:r>
        <w:rPr>
          <w:rFonts w:hint="eastAsia"/>
          <w:lang w:eastAsia="zh-CN"/>
        </w:rPr>
        <w:t>·支持斑马4710，霍尼6603，新大陆CM60等主流扫码头</w:t>
      </w:r>
      <w:bookmarkEnd w:id="0"/>
      <w:bookmarkEnd w:id="1"/>
      <w:bookmarkEnd w:id="2"/>
      <w:bookmarkEnd w:id="3"/>
      <w:bookmarkEnd w:id="4"/>
      <w:bookmarkEnd w:id="5"/>
      <w:bookmarkEnd w:id="6"/>
      <w:bookmarkEnd w:id="7"/>
      <w:bookmarkEnd w:id="8"/>
      <w:bookmarkEnd w:id="9"/>
      <w:bookmarkEnd w:id="10"/>
      <w:bookmarkEnd w:id="11"/>
      <w:bookmarkEnd w:id="12"/>
    </w:p>
    <w:p w14:paraId="40DC26CC">
      <w:pPr>
        <w:pStyle w:val="145"/>
        <w:rPr>
          <w:rFonts w:hint="eastAsia"/>
          <w:lang w:eastAsia="zh-CN"/>
        </w:rPr>
      </w:pPr>
      <w:r>
        <w:rPr>
          <w:rFonts w:hint="eastAsia"/>
          <w:lang w:eastAsia="zh-CN"/>
        </w:rPr>
        <w:t>希望以上信息能为您提供有价值的参考。如果您想获取行业市场更详细分析，建议直接查阅相关的完整版行业报告。在市场调查报告方面，QYResearch研究团队深入挖掘市场数据，通过科学的方法和严谨的分析，为客户提供准确、全面的市场现状和趋势信息，帮助企业了解目标市场的规模、增长潜力、竞争格局等关键要素。市场研究报告则更加注重对特定行业或细分市场的深度剖析，从宏观经济环境、政策法规、技术创新等多个维度进行综合分析，为企业制定发展战略提供有力支持。</w:t>
      </w:r>
    </w:p>
    <w:p w14:paraId="07A95001">
      <w:pPr>
        <w:pStyle w:val="145"/>
        <w:rPr>
          <w:lang w:eastAsia="zh-CN"/>
        </w:rPr>
      </w:pPr>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9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1EED"/>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821"/>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30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C7FD2"/>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B6"/>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DCE"/>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5F"/>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6BC9"/>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87A"/>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176"/>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EE8"/>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6E8"/>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439"/>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736"/>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18B"/>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10A"/>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270"/>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4FD"/>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0F2"/>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45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B7E"/>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670"/>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17"/>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25"/>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9A1"/>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6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2C19"/>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2BB"/>
    <w:rsid w:val="005825AC"/>
    <w:rsid w:val="005826A5"/>
    <w:rsid w:val="0058271A"/>
    <w:rsid w:val="00582C59"/>
    <w:rsid w:val="005832FF"/>
    <w:rsid w:val="005839E1"/>
    <w:rsid w:val="00583A8E"/>
    <w:rsid w:val="00583C2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65F"/>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35F"/>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DD5"/>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A3A"/>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84F"/>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6F7C49"/>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839"/>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155"/>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5B9"/>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0B3"/>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4F40"/>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810"/>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2E4F"/>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C3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3DEA"/>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7BB"/>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973"/>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2EE"/>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490"/>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22"/>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20F"/>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B45"/>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AD7"/>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5E82"/>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38"/>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066"/>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30E"/>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19"/>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899"/>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634"/>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64C"/>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CF0"/>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5F58"/>
    <w:rsid w:val="00CA6016"/>
    <w:rsid w:val="00CA6097"/>
    <w:rsid w:val="00CA624B"/>
    <w:rsid w:val="00CA698E"/>
    <w:rsid w:val="00CA6D79"/>
    <w:rsid w:val="00CA6DDC"/>
    <w:rsid w:val="00CA6DEA"/>
    <w:rsid w:val="00CA6EF5"/>
    <w:rsid w:val="00CA700F"/>
    <w:rsid w:val="00CA70AA"/>
    <w:rsid w:val="00CA748A"/>
    <w:rsid w:val="00CA74CA"/>
    <w:rsid w:val="00CA792B"/>
    <w:rsid w:val="00CA7BD9"/>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3CAA"/>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0F"/>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2F0"/>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965"/>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0A2"/>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925"/>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468"/>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48"/>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29"/>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0FD"/>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2E1E"/>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59"/>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5E66"/>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75"/>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56DC3D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6.png"/><Relationship Id="rId15" Type="http://schemas.openxmlformats.org/officeDocument/2006/relationships/image" Target="media/image5.png"/><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lenovo\Desktop\25&#24180;10&#26376;&#35266;&#28857;\&#24037;&#19994;&#32423;PDA&#32456;&#31471;ODM\&#20013;&#25991;&#29256;%20&#35266;&#28857;&#25968;&#25454;&#22270;&#34920;&#27169;&#26495;-&#27169;&#26495;%2020240612%20&#20026;&#20934;%20-%20&#21103;&#26412;%20-%20&#21103;&#26412;X%20-%20&#21103;&#26412;.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lenovo\Desktop\25&#24180;10&#26376;&#35266;&#28857;\&#24037;&#19994;&#32423;PDA&#32456;&#31471;ODM\&#20013;&#25991;&#29256;%20&#35266;&#28857;&#25968;&#25454;&#22270;&#34920;&#27169;&#26495;-&#27169;&#26495;%2020240612%20&#20026;&#20934;%20-%20&#21103;&#26412;%20-%20&#21103;&#26412;X%20-%20&#21103;&#26412;.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lenovo\Desktop\25&#24180;10&#26376;&#35266;&#28857;\&#24037;&#19994;&#32423;PDA&#32456;&#31471;ODM\&#20013;&#25991;&#29256;%20&#35266;&#28857;&#25968;&#25454;&#22270;&#34920;&#27169;&#26495;-&#27169;&#26495;%2020240612%20&#20026;&#20934;%20-%20&#21103;&#26412;%20-%20&#21103;&#26412;X%20-%20&#21103;&#26412;.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lenovo\Desktop\25&#24180;10&#26376;&#35266;&#28857;\&#24037;&#19994;&#32423;PDA&#32456;&#31471;ODM\&#20013;&#25991;&#29256;%20&#35266;&#28857;&#25968;&#25454;&#22270;&#34920;&#27169;&#26495;-&#27169;&#26495;%2020240612%20&#20026;&#20934;%20-%20&#21103;&#26412;%20-%20&#21103;&#26412;X%20-%20&#21103;&#26412;.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宋体" panose="02010600030101010101" charset="-122"/>
                <a:cs typeface="+mn-cs"/>
              </a:defRPr>
            </a:pPr>
            <a:r>
              <a:rPr lang="zh-CN" sz="1100"/>
              <a:t>全球市场主要企业排名</a:t>
            </a:r>
            <a:endParaRPr lang="en-US" sz="1100"/>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企业收入!$I$1</c:f>
              <c:strCache>
                <c:ptCount val="1"/>
                <c:pt idx="0">
                  <c:v>2024</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Pt>
            <c:idx val="11"/>
            <c:invertIfNegative val="0"/>
            <c:bubble3D val="0"/>
            <c:spPr>
              <a:solidFill>
                <a:schemeClr val="accent6">
                  <a:lumMod val="60000"/>
                </a:schemeClr>
              </a:solidFill>
              <a:ln>
                <a:noFill/>
              </a:ln>
              <a:effectLst/>
            </c:spPr>
          </c:dPt>
          <c:dLbls>
            <c:delete val="1"/>
          </c:dLbls>
          <c:cat>
            <c:strRef>
              <c:f>企业收入!$H$2:$H$13</c:f>
              <c:strCache>
                <c:ptCount val="12"/>
                <c:pt idx="0">
                  <c:v>深圳朗道科技</c:v>
                </c:pt>
                <c:pt idx="1">
                  <c:v>广州捷宝电子科技</c:v>
                </c:pt>
                <c:pt idx="2">
                  <c:v>晨讯科技</c:v>
                </c:pt>
                <c:pt idx="3">
                  <c:v>Point Mobile</c:v>
                </c:pt>
                <c:pt idx="4">
                  <c:v>苏州安可信通信技术</c:v>
                </c:pt>
                <c:pt idx="5">
                  <c:v>华勤技术</c:v>
                </c:pt>
                <c:pt idx="6">
                  <c:v>深圳鸟鸟科技</c:v>
                </c:pt>
                <c:pt idx="7">
                  <c:v>上海祥承通讯技术</c:v>
                </c:pt>
                <c:pt idx="8">
                  <c:v>深圳汉德霍尔</c:v>
                </c:pt>
                <c:pt idx="9">
                  <c:v>厦门爱印科技</c:v>
                </c:pt>
                <c:pt idx="10">
                  <c:v>惠州敏捷科技</c:v>
                </c:pt>
                <c:pt idx="11">
                  <c:v>深圳恒顺通科技</c:v>
                </c:pt>
              </c:strCache>
            </c:strRef>
          </c:cat>
          <c:val>
            <c:numRef>
              <c:f>企业收入!$I$2:$I$13</c:f>
              <c:numCache>
                <c:formatCode>0.0%</c:formatCode>
                <c:ptCount val="12"/>
                <c:pt idx="0">
                  <c:v>0.123768054375531</c:v>
                </c:pt>
                <c:pt idx="1">
                  <c:v>0.0928249787595582</c:v>
                </c:pt>
                <c:pt idx="2">
                  <c:v>0.0821622769753611</c:v>
                </c:pt>
                <c:pt idx="3">
                  <c:v>0.0765208156329652</c:v>
                </c:pt>
                <c:pt idx="4">
                  <c:v>0.0726380628717077</c:v>
                </c:pt>
                <c:pt idx="5">
                  <c:v>0.07071367884452</c:v>
                </c:pt>
                <c:pt idx="6">
                  <c:v>0.0581265930331351</c:v>
                </c:pt>
                <c:pt idx="7">
                  <c:v>0.0548003398470688</c:v>
                </c:pt>
                <c:pt idx="8">
                  <c:v>0.0505522514868309</c:v>
                </c:pt>
                <c:pt idx="9">
                  <c:v>0.0322897196261682</c:v>
                </c:pt>
                <c:pt idx="10">
                  <c:v>0.0295284621920136</c:v>
                </c:pt>
                <c:pt idx="11">
                  <c:v>0.0222090059473237</c:v>
                </c:pt>
              </c:numCache>
            </c:numRef>
          </c:val>
        </c:ser>
        <c:dLbls>
          <c:showLegendKey val="0"/>
          <c:showVal val="0"/>
          <c:showCatName val="0"/>
          <c:showSerName val="0"/>
          <c:showPercent val="0"/>
          <c:showBubbleSize val="0"/>
        </c:dLbls>
        <c:gapWidth val="45"/>
        <c:axId val="1272139183"/>
        <c:axId val="1326546959"/>
      </c:barChart>
      <c:catAx>
        <c:axId val="1272139183"/>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宋体" panose="02010600030101010101" charset="-122"/>
                <a:cs typeface="+mn-cs"/>
              </a:defRPr>
            </a:pPr>
          </a:p>
        </c:txPr>
        <c:crossAx val="1326546959"/>
        <c:crosses val="autoZero"/>
        <c:auto val="1"/>
        <c:lblAlgn val="ctr"/>
        <c:lblOffset val="100"/>
        <c:noMultiLvlLbl val="0"/>
      </c:catAx>
      <c:valAx>
        <c:axId val="1326546959"/>
        <c:scaling>
          <c:orientation val="minMax"/>
        </c:scaling>
        <c:delete val="0"/>
        <c:axPos val="t"/>
        <c:majorGridlines>
          <c:spPr>
            <a:ln w="9525" cap="flat" cmpd="sng" algn="ctr">
              <a:noFill/>
              <a:round/>
            </a:ln>
            <a:effectLst/>
          </c:spPr>
        </c:majorGridlines>
        <c:numFmt formatCode="0.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宋体" panose="02010600030101010101" charset="-122"/>
                <a:cs typeface="+mn-cs"/>
              </a:defRPr>
            </a:pPr>
          </a:p>
        </c:txPr>
        <c:crossAx val="1272139183"/>
        <c:crosses val="autoZero"/>
        <c:crossBetween val="between"/>
      </c:valAx>
      <c:spPr>
        <a:noFill/>
        <a:ln>
          <a:noFill/>
        </a:ln>
        <a:effectLst/>
      </c:spPr>
    </c:plotArea>
    <c:plotVisOnly val="1"/>
    <c:dispBlanksAs val="gap"/>
    <c:showDLblsOverMax val="0"/>
    <c:extLst>
      <c:ext uri="{0b15fc19-7d7d-44ad-8c2d-2c3a37ce22c3}">
        <chartProps xmlns="https://web.wps.cn/et/2018/main" chartId="{2712a3f6-1bce-47ca-b3d2-fb2d084384f4}"/>
      </c:ext>
    </c:extLst>
  </c:chart>
  <c:spPr>
    <a:solidFill>
      <a:schemeClr val="bg1"/>
    </a:solidFill>
    <a:ln w="9525" cap="flat" cmpd="sng" algn="ctr">
      <a:noFill/>
      <a:round/>
    </a:ln>
    <a:effectLst/>
  </c:spPr>
  <c:txPr>
    <a:bodyPr/>
    <a:lstStyle/>
    <a:p>
      <a:pPr>
        <a:defRPr lang="zh-CN" baseline="0">
          <a:latin typeface="Times New Roman" panose="02020603050405020304" charset="0"/>
          <a:ea typeface="宋体" panose="02010600030101010101"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分类!$R$2</c:f>
              <c:strCache>
                <c:ptCount val="1"/>
                <c:pt idx="0">
                  <c:v>按键式PDA</c:v>
                </c:pt>
              </c:strCache>
            </c:strRef>
          </c:tx>
          <c:spPr>
            <a:solidFill>
              <a:srgbClr val="002060"/>
            </a:solidFill>
            <a:ln>
              <a:noFill/>
            </a:ln>
            <a:effectLst/>
          </c:spPr>
          <c:invertIfNegative val="0"/>
          <c:dLbls>
            <c:delete val="1"/>
          </c:dLbls>
          <c:cat>
            <c:numRef>
              <c:f>分类!$S$1:$AD$1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分类!$S$2:$AD$2</c:f>
              <c:numCache>
                <c:formatCode>0.0%</c:formatCode>
                <c:ptCount val="12"/>
                <c:pt idx="0">
                  <c:v>0.76120738066971</c:v>
                </c:pt>
                <c:pt idx="1">
                  <c:v>0.749421532598339</c:v>
                </c:pt>
                <c:pt idx="2">
                  <c:v>0.742072442616426</c:v>
                </c:pt>
                <c:pt idx="3">
                  <c:v>0.744328216274963</c:v>
                </c:pt>
                <c:pt idx="4">
                  <c:v>0.742349980129818</c:v>
                </c:pt>
                <c:pt idx="5">
                  <c:v>0.743742550655542</c:v>
                </c:pt>
                <c:pt idx="6">
                  <c:v>0.742810634834509</c:v>
                </c:pt>
                <c:pt idx="7">
                  <c:v>0.746490172482952</c:v>
                </c:pt>
                <c:pt idx="8">
                  <c:v>0.740366478038265</c:v>
                </c:pt>
                <c:pt idx="9">
                  <c:v>0.729962845010616</c:v>
                </c:pt>
                <c:pt idx="10">
                  <c:v>0.732266666666667</c:v>
                </c:pt>
                <c:pt idx="11">
                  <c:v>0.738286479250335</c:v>
                </c:pt>
              </c:numCache>
            </c:numRef>
          </c:val>
        </c:ser>
        <c:ser>
          <c:idx val="1"/>
          <c:order val="1"/>
          <c:tx>
            <c:strRef>
              <c:f>分类!$R$3</c:f>
              <c:strCache>
                <c:ptCount val="1"/>
                <c:pt idx="0">
                  <c:v>全触屏式PDA</c:v>
                </c:pt>
              </c:strCache>
            </c:strRef>
          </c:tx>
          <c:spPr>
            <a:solidFill>
              <a:schemeClr val="bg1">
                <a:lumMod val="50000"/>
              </a:schemeClr>
            </a:solidFill>
            <a:ln>
              <a:noFill/>
            </a:ln>
            <a:effectLst/>
          </c:spPr>
          <c:invertIfNegative val="0"/>
          <c:dLbls>
            <c:delete val="1"/>
          </c:dLbls>
          <c:cat>
            <c:numRef>
              <c:f>分类!$S$1:$AD$1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分类!$S$3:$AD$3</c:f>
              <c:numCache>
                <c:formatCode>0.0%</c:formatCode>
                <c:ptCount val="12"/>
                <c:pt idx="0">
                  <c:v>0.23879261933029</c:v>
                </c:pt>
                <c:pt idx="1">
                  <c:v>0.250578467401661</c:v>
                </c:pt>
                <c:pt idx="2">
                  <c:v>0.257927557383574</c:v>
                </c:pt>
                <c:pt idx="3">
                  <c:v>0.255671783725037</c:v>
                </c:pt>
                <c:pt idx="4">
                  <c:v>0.257650019870181</c:v>
                </c:pt>
                <c:pt idx="5">
                  <c:v>0.256257449344458</c:v>
                </c:pt>
                <c:pt idx="6">
                  <c:v>0.257189365165491</c:v>
                </c:pt>
                <c:pt idx="7">
                  <c:v>0.253509827517048</c:v>
                </c:pt>
                <c:pt idx="8">
                  <c:v>0.259633521961735</c:v>
                </c:pt>
                <c:pt idx="9">
                  <c:v>0.270037154989384</c:v>
                </c:pt>
                <c:pt idx="10">
                  <c:v>0.267733333333333</c:v>
                </c:pt>
                <c:pt idx="11">
                  <c:v>0.261713520749665</c:v>
                </c:pt>
              </c:numCache>
            </c:numRef>
          </c:val>
        </c:ser>
        <c:dLbls>
          <c:showLegendKey val="0"/>
          <c:showVal val="0"/>
          <c:showCatName val="0"/>
          <c:showSerName val="0"/>
          <c:showPercent val="0"/>
          <c:showBubbleSize val="0"/>
        </c:dLbls>
        <c:gapWidth val="45"/>
        <c:overlap val="100"/>
        <c:axId val="1897692240"/>
        <c:axId val="1897707216"/>
        <c:extLst>
          <c:ext xmlns:c15="http://schemas.microsoft.com/office/drawing/2012/chart" uri="{02D57815-91ED-43cb-92C2-25804820EDAC}">
            <c15:filteredBarSeries>
              <c15:ser>
                <c:idx val="2"/>
                <c:order val="2"/>
                <c:tx>
                  <c:strRef>
                    <c:extLst>
                      <c:ext uri="{02D57815-91ED-43cb-92C2-25804820EDAC}">
                        <c15:formulaRef>
                          <c15:sqref>分类!#REF!</c15:sqref>
                        </c15:formulaRef>
                      </c:ext>
                    </c:extLst>
                    <c:strCache>
                      <c:ptCount val="1"/>
                      <c:pt idx="0">
                        <c:v>#REF!</c:v>
                      </c:pt>
                    </c:strCache>
                  </c:strRef>
                </c:tx>
                <c:spPr>
                  <a:solidFill>
                    <a:srgbClr val="0070C0"/>
                  </a:solidFill>
                  <a:ln>
                    <a:noFill/>
                  </a:ln>
                  <a:effectLst/>
                </c:spPr>
                <c:invertIfNegative val="0"/>
                <c:dLbls>
                  <c:delete val="1"/>
                </c:dLbls>
                <c:cat>
                  <c:numRef>
                    <c:extLst>
                      <c:ext uri="{02D57815-91ED-43cb-92C2-25804820EDAC}">
                        <c15:fullRef>
                          <c15:sqref/>
                        </c15:fullRef>
                        <c15:formulaRef>
                          <c15:sqref>分类!$S$1:$AD$1</c15:sqref>
                        </c15:formulaRef>
                      </c:ext>
                    </c:extLst>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extLst>
                      <c:ext uri="{02D57815-91ED-43cb-92C2-25804820EDAC}">
                        <c15:formulaRef>
                          <c15:sqref>分类!#REF!</c15:sqref>
                        </c15:formulaRef>
                      </c:ext>
                    </c:extLst>
                    <c:numCache>
                      <c:formatCode>General</c:formatCode>
                      <c:ptCount val="1"/>
                      <c:pt idx="0">
                        <c:v>1</c:v>
                      </c:pt>
                    </c:numCache>
                  </c:numRef>
                </c:val>
              </c15:ser>
            </c15:filteredBarSeries>
          </c:ext>
        </c:extLst>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e78495f3-d988-4bb4-b559-681d49f253f3}"/>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691853448275862"/>
          <c:y val="0.03175"/>
          <c:w val="0.897009594053696"/>
          <c:h val="0.755441666666667"/>
        </c:manualLayout>
      </c:layout>
      <c:barChart>
        <c:barDir val="col"/>
        <c:grouping val="stacked"/>
        <c:varyColors val="0"/>
        <c:ser>
          <c:idx val="1"/>
          <c:order val="0"/>
          <c:tx>
            <c:strRef>
              <c:f>应用!$A$2</c:f>
              <c:strCache>
                <c:ptCount val="1"/>
                <c:pt idx="0">
                  <c:v>工业自动化</c:v>
                </c:pt>
              </c:strCache>
            </c:strRef>
          </c:tx>
          <c:spPr>
            <a:solidFill>
              <a:schemeClr val="bg1">
                <a:lumMod val="50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应用!$B$2:$M$2</c:f>
              <c:numCache>
                <c:formatCode>#,##0_);[Red]\(#,##0\)</c:formatCode>
                <c:ptCount val="12"/>
                <c:pt idx="0">
                  <c:v>895.956006063328</c:v>
                </c:pt>
                <c:pt idx="1">
                  <c:v>907.256886065073</c:v>
                </c:pt>
                <c:pt idx="2">
                  <c:v>932.247206748369</c:v>
                </c:pt>
                <c:pt idx="3">
                  <c:v>872.953519981937</c:v>
                </c:pt>
                <c:pt idx="4">
                  <c:v>922.019438676555</c:v>
                </c:pt>
                <c:pt idx="5">
                  <c:v>950.91045812439</c:v>
                </c:pt>
                <c:pt idx="6">
                  <c:v>1012.96783870454</c:v>
                </c:pt>
                <c:pt idx="7">
                  <c:v>1096.34420337373</c:v>
                </c:pt>
                <c:pt idx="8">
                  <c:v>1137.62327026662</c:v>
                </c:pt>
                <c:pt idx="9">
                  <c:v>1240.15029807779</c:v>
                </c:pt>
                <c:pt idx="10">
                  <c:v>1310.42715180679</c:v>
                </c:pt>
                <c:pt idx="11">
                  <c:v>1382.16978603552</c:v>
                </c:pt>
              </c:numCache>
            </c:numRef>
          </c:val>
        </c:ser>
        <c:ser>
          <c:idx val="2"/>
          <c:order val="1"/>
          <c:tx>
            <c:strRef>
              <c:f>应用!$A$3</c:f>
              <c:strCache>
                <c:ptCount val="1"/>
                <c:pt idx="0">
                  <c:v>零售和批发</c:v>
                </c:pt>
              </c:strCache>
            </c:strRef>
          </c:tx>
          <c:spPr>
            <a:solidFill>
              <a:schemeClr val="accent6">
                <a:lumMod val="75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应用!$B$3:$M$3</c:f>
              <c:numCache>
                <c:formatCode>#,##0_);[Red]\(#,##0\)</c:formatCode>
                <c:ptCount val="12"/>
                <c:pt idx="0">
                  <c:v>297.906171120593</c:v>
                </c:pt>
                <c:pt idx="1">
                  <c:v>303.352692925136</c:v>
                </c:pt>
                <c:pt idx="2">
                  <c:v>324.02799390646</c:v>
                </c:pt>
                <c:pt idx="3">
                  <c:v>299.853718672387</c:v>
                </c:pt>
                <c:pt idx="4">
                  <c:v>320.008531089561</c:v>
                </c:pt>
                <c:pt idx="5">
                  <c:v>327.637417462731</c:v>
                </c:pt>
                <c:pt idx="6">
                  <c:v>350.7280902454</c:v>
                </c:pt>
                <c:pt idx="7">
                  <c:v>372.32108357453</c:v>
                </c:pt>
                <c:pt idx="8">
                  <c:v>398.944502603052</c:v>
                </c:pt>
                <c:pt idx="9">
                  <c:v>458.772197162027</c:v>
                </c:pt>
                <c:pt idx="10">
                  <c:v>479.12194479753</c:v>
                </c:pt>
                <c:pt idx="11">
                  <c:v>489.962272293645</c:v>
                </c:pt>
              </c:numCache>
            </c:numRef>
          </c:val>
        </c:ser>
        <c:ser>
          <c:idx val="3"/>
          <c:order val="2"/>
          <c:tx>
            <c:strRef>
              <c:f>应用!$A$4</c:f>
              <c:strCache>
                <c:ptCount val="1"/>
                <c:pt idx="0">
                  <c:v>医疗</c:v>
                </c:pt>
              </c:strCache>
            </c:strRef>
          </c:tx>
          <c:spPr>
            <a:solidFill>
              <a:schemeClr val="tx2">
                <a:lumMod val="60000"/>
                <a:lumOff val="40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应用!$B$4:$M$4</c:f>
              <c:numCache>
                <c:formatCode>#,##0_);[Red]\(#,##0\)</c:formatCode>
                <c:ptCount val="12"/>
                <c:pt idx="0">
                  <c:v>144.478100157197</c:v>
                </c:pt>
                <c:pt idx="1">
                  <c:v>148.792765731341</c:v>
                </c:pt>
                <c:pt idx="2">
                  <c:v>122.343903049044</c:v>
                </c:pt>
                <c:pt idx="3">
                  <c:v>151.520130955069</c:v>
                </c:pt>
                <c:pt idx="4">
                  <c:v>110.398830005704</c:v>
                </c:pt>
                <c:pt idx="5">
                  <c:v>125.467352113635</c:v>
                </c:pt>
                <c:pt idx="6">
                  <c:v>156.680744956674</c:v>
                </c:pt>
                <c:pt idx="7">
                  <c:v>162.006800606006</c:v>
                </c:pt>
                <c:pt idx="8">
                  <c:v>199.161708097631</c:v>
                </c:pt>
                <c:pt idx="9">
                  <c:v>196.35900920301</c:v>
                </c:pt>
                <c:pt idx="10">
                  <c:v>205.201629743962</c:v>
                </c:pt>
                <c:pt idx="11">
                  <c:v>207.262812883296</c:v>
                </c:pt>
              </c:numCache>
            </c:numRef>
          </c:val>
        </c:ser>
        <c:ser>
          <c:idx val="4"/>
          <c:order val="3"/>
          <c:tx>
            <c:strRef>
              <c:f>应用!$A$5</c:f>
              <c:strCache>
                <c:ptCount val="1"/>
                <c:pt idx="0">
                  <c:v>物流和仓储</c:v>
                </c:pt>
              </c:strCache>
            </c:strRef>
          </c:tx>
          <c:spPr>
            <a:solidFill>
              <a:schemeClr val="accent1">
                <a:lumMod val="75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应用!$B$5:$M$5</c:f>
              <c:numCache>
                <c:formatCode>#,##0_);[Red]\(#,##0\)</c:formatCode>
                <c:ptCount val="12"/>
                <c:pt idx="0">
                  <c:v>469.323108049179</c:v>
                </c:pt>
                <c:pt idx="1">
                  <c:v>477.389603039727</c:v>
                </c:pt>
                <c:pt idx="2">
                  <c:v>477.583306751188</c:v>
                </c:pt>
                <c:pt idx="3">
                  <c:v>462.906778106119</c:v>
                </c:pt>
                <c:pt idx="4">
                  <c:v>468.082977312607</c:v>
                </c:pt>
                <c:pt idx="5">
                  <c:v>487.128515089719</c:v>
                </c:pt>
                <c:pt idx="6">
                  <c:v>529.735142122018</c:v>
                </c:pt>
                <c:pt idx="7">
                  <c:v>568.852636999638</c:v>
                </c:pt>
                <c:pt idx="8">
                  <c:v>603.676420008361</c:v>
                </c:pt>
                <c:pt idx="9">
                  <c:v>649.897839739414</c:v>
                </c:pt>
                <c:pt idx="10">
                  <c:v>685.992216928999</c:v>
                </c:pt>
                <c:pt idx="11">
                  <c:v>719.554553094626</c:v>
                </c:pt>
              </c:numCache>
            </c:numRef>
          </c:val>
        </c:ser>
        <c:dLbls>
          <c:showLegendKey val="0"/>
          <c:showVal val="0"/>
          <c:showCatName val="0"/>
          <c:showSerName val="0"/>
          <c:showPercent val="0"/>
          <c:showBubbleSize val="0"/>
        </c:dLbls>
        <c:gapWidth val="25"/>
        <c:overlap val="100"/>
        <c:axId val="2101581920"/>
        <c:axId val="2101559456"/>
      </c:bar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noFill/>
              <a:round/>
            </a:ln>
            <a:effectLst/>
          </c:spPr>
        </c:majorGridlines>
        <c:numFmt formatCode="#,##0_);[Red]\(#,##0\)"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581920"/>
        <c:crosses val="autoZero"/>
        <c:crossBetween val="between"/>
      </c:valAx>
      <c:spPr>
        <a:noFill/>
        <a:ln>
          <a:noFill/>
        </a:ln>
        <a:effectLst/>
      </c:spPr>
    </c:plotArea>
    <c:legend>
      <c:legendPos val="b"/>
      <c:layout>
        <c:manualLayout>
          <c:xMode val="edge"/>
          <c:yMode val="edge"/>
          <c:x val="0.0695485312899106"/>
          <c:y val="0.865502222222222"/>
          <c:w val="0.899999935457429"/>
          <c:h val="0.0658464052287582"/>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b84d0c00-5d79-4f88-8526-5229598c0495}"/>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'地区-消费'!$B$1</c:f>
              <c:strCache>
                <c:ptCount val="1"/>
                <c:pt idx="0">
                  <c:v>2019</c:v>
                </c:pt>
              </c:strCache>
            </c:strRef>
          </c:tx>
          <c:spPr>
            <a:solidFill>
              <a:schemeClr val="accent1"/>
            </a:solidFill>
            <a:ln>
              <a:noFill/>
            </a:ln>
            <a:effectLst/>
            <a:sp3d/>
          </c:spPr>
          <c:invertIfNegative val="0"/>
          <c:dLbls>
            <c:delete val="1"/>
          </c:dLbls>
          <c:cat>
            <c:strRef>
              <c:f>'地区-消费'!$A$2:$A$7</c:f>
              <c:strCache>
                <c:ptCount val="6"/>
                <c:pt idx="0">
                  <c:v>北美</c:v>
                </c:pt>
                <c:pt idx="1">
                  <c:v>欧洲</c:v>
                </c:pt>
                <c:pt idx="2">
                  <c:v>亚太</c:v>
                </c:pt>
                <c:pt idx="3">
                  <c:v>拉美</c:v>
                </c:pt>
                <c:pt idx="4">
                  <c:v>中东和非洲</c:v>
                </c:pt>
                <c:pt idx="5">
                  <c:v>全球其他</c:v>
                </c:pt>
              </c:strCache>
            </c:strRef>
          </c:cat>
          <c:val>
            <c:numRef>
              <c:f>'地区-消费'!$B$2:$B$7</c:f>
              <c:numCache>
                <c:formatCode>#,##0_);[Red]\(#,##0\)</c:formatCode>
                <c:ptCount val="6"/>
                <c:pt idx="0">
                  <c:v>444.332114940633</c:v>
                </c:pt>
                <c:pt idx="1">
                  <c:v>623.661082618734</c:v>
                </c:pt>
                <c:pt idx="2">
                  <c:v>1485.33207783641</c:v>
                </c:pt>
                <c:pt idx="3">
                  <c:v>184.492890831135</c:v>
                </c:pt>
                <c:pt idx="4">
                  <c:v>183.084548153034</c:v>
                </c:pt>
                <c:pt idx="5">
                  <c:v>219.232010224274</c:v>
                </c:pt>
              </c:numCache>
            </c:numRef>
          </c:val>
        </c:ser>
        <c:ser>
          <c:idx val="1"/>
          <c:order val="1"/>
          <c:tx>
            <c:strRef>
              <c:f>'地区-消费'!$C$1</c:f>
              <c:strCache>
                <c:ptCount val="1"/>
                <c:pt idx="0">
                  <c:v>2020</c:v>
                </c:pt>
              </c:strCache>
            </c:strRef>
          </c:tx>
          <c:spPr>
            <a:solidFill>
              <a:schemeClr val="accent2"/>
            </a:solidFill>
            <a:ln>
              <a:noFill/>
            </a:ln>
            <a:effectLst/>
            <a:sp3d/>
          </c:spPr>
          <c:invertIfNegative val="0"/>
          <c:dLbls>
            <c:delete val="1"/>
          </c:dLbls>
          <c:cat>
            <c:strRef>
              <c:f>'地区-消费'!$A$2:$A$7</c:f>
              <c:strCache>
                <c:ptCount val="6"/>
                <c:pt idx="0">
                  <c:v>北美</c:v>
                </c:pt>
                <c:pt idx="1">
                  <c:v>欧洲</c:v>
                </c:pt>
                <c:pt idx="2">
                  <c:v>亚太</c:v>
                </c:pt>
                <c:pt idx="3">
                  <c:v>拉美</c:v>
                </c:pt>
                <c:pt idx="4">
                  <c:v>中东和非洲</c:v>
                </c:pt>
                <c:pt idx="5">
                  <c:v>全球其他</c:v>
                </c:pt>
              </c:strCache>
            </c:strRef>
          </c:cat>
          <c:val>
            <c:numRef>
              <c:f>'地区-消费'!$C$2:$C$7</c:f>
              <c:numCache>
                <c:formatCode>#,##0_);[Red]\(#,##0\)</c:formatCode>
                <c:ptCount val="6"/>
                <c:pt idx="0">
                  <c:v>455.577500414113</c:v>
                </c:pt>
                <c:pt idx="1">
                  <c:v>631.82104853404</c:v>
                </c:pt>
                <c:pt idx="2">
                  <c:v>1523.90311744244</c:v>
                </c:pt>
                <c:pt idx="3">
                  <c:v>190.246460162332</c:v>
                </c:pt>
                <c:pt idx="4">
                  <c:v>192.660755342057</c:v>
                </c:pt>
                <c:pt idx="5">
                  <c:v>224.529451714428</c:v>
                </c:pt>
              </c:numCache>
            </c:numRef>
          </c:val>
        </c:ser>
        <c:ser>
          <c:idx val="2"/>
          <c:order val="2"/>
          <c:tx>
            <c:strRef>
              <c:f>'地区-消费'!$D$1</c:f>
              <c:strCache>
                <c:ptCount val="1"/>
                <c:pt idx="0">
                  <c:v>2021</c:v>
                </c:pt>
              </c:strCache>
            </c:strRef>
          </c:tx>
          <c:spPr>
            <a:solidFill>
              <a:schemeClr val="accent3"/>
            </a:solidFill>
            <a:ln>
              <a:noFill/>
            </a:ln>
            <a:effectLst/>
            <a:sp3d/>
          </c:spPr>
          <c:invertIfNegative val="0"/>
          <c:dLbls>
            <c:delete val="1"/>
          </c:dLbls>
          <c:cat>
            <c:strRef>
              <c:f>'地区-消费'!$A$2:$A$7</c:f>
              <c:strCache>
                <c:ptCount val="6"/>
                <c:pt idx="0">
                  <c:v>北美</c:v>
                </c:pt>
                <c:pt idx="1">
                  <c:v>欧洲</c:v>
                </c:pt>
                <c:pt idx="2">
                  <c:v>亚太</c:v>
                </c:pt>
                <c:pt idx="3">
                  <c:v>拉美</c:v>
                </c:pt>
                <c:pt idx="4">
                  <c:v>中东和非洲</c:v>
                </c:pt>
                <c:pt idx="5">
                  <c:v>全球其他</c:v>
                </c:pt>
              </c:strCache>
            </c:strRef>
          </c:cat>
          <c:val>
            <c:numRef>
              <c:f>'地区-消费'!$D$2:$D$7</c:f>
              <c:numCache>
                <c:formatCode>#,##0_);[Red]\(#,##0\)</c:formatCode>
                <c:ptCount val="6"/>
                <c:pt idx="0">
                  <c:v>481.237321857155</c:v>
                </c:pt>
                <c:pt idx="1">
                  <c:v>627.574238185881</c:v>
                </c:pt>
                <c:pt idx="2">
                  <c:v>1518.45785318216</c:v>
                </c:pt>
                <c:pt idx="3">
                  <c:v>194.145162625176</c:v>
                </c:pt>
                <c:pt idx="4">
                  <c:v>194.630525531739</c:v>
                </c:pt>
                <c:pt idx="5">
                  <c:v>221.3254853927</c:v>
                </c:pt>
              </c:numCache>
            </c:numRef>
          </c:val>
        </c:ser>
        <c:ser>
          <c:idx val="3"/>
          <c:order val="3"/>
          <c:tx>
            <c:strRef>
              <c:f>'地区-消费'!$E$1</c:f>
              <c:strCache>
                <c:ptCount val="1"/>
                <c:pt idx="0">
                  <c:v>2022</c:v>
                </c:pt>
              </c:strCache>
            </c:strRef>
          </c:tx>
          <c:spPr>
            <a:solidFill>
              <a:schemeClr val="accent4"/>
            </a:solidFill>
            <a:ln>
              <a:noFill/>
            </a:ln>
            <a:effectLst/>
            <a:sp3d/>
          </c:spPr>
          <c:invertIfNegative val="0"/>
          <c:dLbls>
            <c:delete val="1"/>
          </c:dLbls>
          <c:cat>
            <c:strRef>
              <c:f>'地区-消费'!$A$2:$A$7</c:f>
              <c:strCache>
                <c:ptCount val="6"/>
                <c:pt idx="0">
                  <c:v>北美</c:v>
                </c:pt>
                <c:pt idx="1">
                  <c:v>欧洲</c:v>
                </c:pt>
                <c:pt idx="2">
                  <c:v>亚太</c:v>
                </c:pt>
                <c:pt idx="3">
                  <c:v>拉美</c:v>
                </c:pt>
                <c:pt idx="4">
                  <c:v>中东和非洲</c:v>
                </c:pt>
                <c:pt idx="5">
                  <c:v>全球其他</c:v>
                </c:pt>
              </c:strCache>
            </c:strRef>
          </c:cat>
          <c:val>
            <c:numRef>
              <c:f>'地区-消费'!$E$2:$E$7</c:f>
              <c:numCache>
                <c:formatCode>#,##0_);[Red]\(#,##0\)</c:formatCode>
                <c:ptCount val="6"/>
                <c:pt idx="0">
                  <c:v>444.28709591769</c:v>
                </c:pt>
                <c:pt idx="1">
                  <c:v>608.230673747096</c:v>
                </c:pt>
                <c:pt idx="2">
                  <c:v>1476.66322602058</c:v>
                </c:pt>
                <c:pt idx="3">
                  <c:v>185.022037836044</c:v>
                </c:pt>
                <c:pt idx="4">
                  <c:v>189.706140059741</c:v>
                </c:pt>
                <c:pt idx="5">
                  <c:v>212.189830733488</c:v>
                </c:pt>
              </c:numCache>
            </c:numRef>
          </c:val>
        </c:ser>
        <c:ser>
          <c:idx val="4"/>
          <c:order val="4"/>
          <c:tx>
            <c:strRef>
              <c:f>'地区-消费'!$F$1</c:f>
              <c:strCache>
                <c:ptCount val="1"/>
                <c:pt idx="0">
                  <c:v>2023</c:v>
                </c:pt>
              </c:strCache>
            </c:strRef>
          </c:tx>
          <c:spPr>
            <a:solidFill>
              <a:schemeClr val="accent5"/>
            </a:solidFill>
            <a:ln>
              <a:noFill/>
            </a:ln>
            <a:effectLst/>
            <a:sp3d/>
          </c:spPr>
          <c:invertIfNegative val="0"/>
          <c:dLbls>
            <c:delete val="1"/>
          </c:dLbls>
          <c:cat>
            <c:strRef>
              <c:f>'地区-消费'!$A$2:$A$7</c:f>
              <c:strCache>
                <c:ptCount val="6"/>
                <c:pt idx="0">
                  <c:v>北美</c:v>
                </c:pt>
                <c:pt idx="1">
                  <c:v>欧洲</c:v>
                </c:pt>
                <c:pt idx="2">
                  <c:v>亚太</c:v>
                </c:pt>
                <c:pt idx="3">
                  <c:v>拉美</c:v>
                </c:pt>
                <c:pt idx="4">
                  <c:v>中东和非洲</c:v>
                </c:pt>
                <c:pt idx="5">
                  <c:v>全球其他</c:v>
                </c:pt>
              </c:strCache>
            </c:strRef>
          </c:cat>
          <c:val>
            <c:numRef>
              <c:f>'地区-消费'!$F$2:$F$7</c:f>
              <c:numCache>
                <c:formatCode>#,##0_);[Red]\(#,##0\)</c:formatCode>
                <c:ptCount val="6"/>
                <c:pt idx="0">
                  <c:v>459.369334437086</c:v>
                </c:pt>
                <c:pt idx="1">
                  <c:v>622.918187913907</c:v>
                </c:pt>
                <c:pt idx="2">
                  <c:v>1509.90211589404</c:v>
                </c:pt>
                <c:pt idx="3">
                  <c:v>178.11305794702</c:v>
                </c:pt>
                <c:pt idx="4">
                  <c:v>188.618385761589</c:v>
                </c:pt>
                <c:pt idx="5">
                  <c:v>217.269279801324</c:v>
                </c:pt>
              </c:numCache>
            </c:numRef>
          </c:val>
        </c:ser>
        <c:ser>
          <c:idx val="5"/>
          <c:order val="5"/>
          <c:tx>
            <c:strRef>
              <c:f>'地区-消费'!$G$1</c:f>
              <c:strCache>
                <c:ptCount val="1"/>
                <c:pt idx="0">
                  <c:v>2024</c:v>
                </c:pt>
              </c:strCache>
            </c:strRef>
          </c:tx>
          <c:spPr>
            <a:solidFill>
              <a:schemeClr val="accent6"/>
            </a:solidFill>
            <a:ln>
              <a:noFill/>
            </a:ln>
            <a:effectLst/>
            <a:sp3d/>
          </c:spPr>
          <c:invertIfNegative val="0"/>
          <c:dLbls>
            <c:delete val="1"/>
          </c:dLbls>
          <c:cat>
            <c:strRef>
              <c:f>'地区-消费'!$A$2:$A$7</c:f>
              <c:strCache>
                <c:ptCount val="6"/>
                <c:pt idx="0">
                  <c:v>北美</c:v>
                </c:pt>
                <c:pt idx="1">
                  <c:v>欧洲</c:v>
                </c:pt>
                <c:pt idx="2">
                  <c:v>亚太</c:v>
                </c:pt>
                <c:pt idx="3">
                  <c:v>拉美</c:v>
                </c:pt>
                <c:pt idx="4">
                  <c:v>中东和非洲</c:v>
                </c:pt>
                <c:pt idx="5">
                  <c:v>全球其他</c:v>
                </c:pt>
              </c:strCache>
            </c:strRef>
          </c:cat>
          <c:val>
            <c:numRef>
              <c:f>'地区-消费'!$G$2:$G$7</c:f>
              <c:numCache>
                <c:formatCode>#,##0_);[Red]\(#,##0\)</c:formatCode>
                <c:ptCount val="6"/>
                <c:pt idx="0">
                  <c:v>470.868646313364</c:v>
                </c:pt>
                <c:pt idx="1">
                  <c:v>673.511647465438</c:v>
                </c:pt>
                <c:pt idx="2">
                  <c:v>1549.17504032258</c:v>
                </c:pt>
                <c:pt idx="3">
                  <c:v>175.378306451613</c:v>
                </c:pt>
                <c:pt idx="4">
                  <c:v>190.607235023042</c:v>
                </c:pt>
                <c:pt idx="5">
                  <c:v>216.643790322581</c:v>
                </c:pt>
              </c:numCache>
            </c:numRef>
          </c:val>
        </c:ser>
        <c:ser>
          <c:idx val="6"/>
          <c:order val="6"/>
          <c:tx>
            <c:strRef>
              <c:f>'地区-消费'!$H$1</c:f>
              <c:strCache>
                <c:ptCount val="1"/>
                <c:pt idx="0">
                  <c:v>2025</c:v>
                </c:pt>
              </c:strCache>
            </c:strRef>
          </c:tx>
          <c:spPr>
            <a:solidFill>
              <a:schemeClr val="accent1">
                <a:lumMod val="60000"/>
              </a:schemeClr>
            </a:solidFill>
            <a:ln>
              <a:noFill/>
            </a:ln>
            <a:effectLst/>
            <a:sp3d/>
          </c:spPr>
          <c:invertIfNegative val="0"/>
          <c:dLbls>
            <c:delete val="1"/>
          </c:dLbls>
          <c:cat>
            <c:strRef>
              <c:f>'地区-消费'!$A$2:$A$7</c:f>
              <c:strCache>
                <c:ptCount val="6"/>
                <c:pt idx="0">
                  <c:v>北美</c:v>
                </c:pt>
                <c:pt idx="1">
                  <c:v>欧洲</c:v>
                </c:pt>
                <c:pt idx="2">
                  <c:v>亚太</c:v>
                </c:pt>
                <c:pt idx="3">
                  <c:v>拉美</c:v>
                </c:pt>
                <c:pt idx="4">
                  <c:v>中东和非洲</c:v>
                </c:pt>
                <c:pt idx="5">
                  <c:v>全球其他</c:v>
                </c:pt>
              </c:strCache>
            </c:strRef>
          </c:cat>
          <c:val>
            <c:numRef>
              <c:f>'地区-消费'!$H$2:$H$7</c:f>
              <c:numCache>
                <c:formatCode>#,##0_);[Red]\(#,##0\)</c:formatCode>
                <c:ptCount val="6"/>
                <c:pt idx="0">
                  <c:v>516.749509449466</c:v>
                </c:pt>
                <c:pt idx="1">
                  <c:v>737.831684470008</c:v>
                </c:pt>
                <c:pt idx="2">
                  <c:v>1685.51767050123</c:v>
                </c:pt>
                <c:pt idx="3">
                  <c:v>185.527242399343</c:v>
                </c:pt>
                <c:pt idx="4">
                  <c:v>204.775025472473</c:v>
                </c:pt>
                <c:pt idx="5">
                  <c:v>236.320003286771</c:v>
                </c:pt>
              </c:numCache>
            </c:numRef>
          </c:val>
        </c:ser>
        <c:ser>
          <c:idx val="7"/>
          <c:order val="7"/>
          <c:tx>
            <c:strRef>
              <c:f>'地区-消费'!$I$1</c:f>
              <c:strCache>
                <c:ptCount val="1"/>
                <c:pt idx="0">
                  <c:v>2026</c:v>
                </c:pt>
              </c:strCache>
            </c:strRef>
          </c:tx>
          <c:spPr>
            <a:solidFill>
              <a:schemeClr val="accent2">
                <a:lumMod val="60000"/>
              </a:schemeClr>
            </a:solidFill>
            <a:ln>
              <a:noFill/>
            </a:ln>
            <a:effectLst/>
            <a:sp3d/>
          </c:spPr>
          <c:invertIfNegative val="0"/>
          <c:dLbls>
            <c:delete val="1"/>
          </c:dLbls>
          <c:cat>
            <c:strRef>
              <c:f>'地区-消费'!$A$2:$A$7</c:f>
              <c:strCache>
                <c:ptCount val="6"/>
                <c:pt idx="0">
                  <c:v>北美</c:v>
                </c:pt>
                <c:pt idx="1">
                  <c:v>欧洲</c:v>
                </c:pt>
                <c:pt idx="2">
                  <c:v>亚太</c:v>
                </c:pt>
                <c:pt idx="3">
                  <c:v>拉美</c:v>
                </c:pt>
                <c:pt idx="4">
                  <c:v>中东和非洲</c:v>
                </c:pt>
                <c:pt idx="5">
                  <c:v>全球其他</c:v>
                </c:pt>
              </c:strCache>
            </c:strRef>
          </c:cat>
          <c:val>
            <c:numRef>
              <c:f>'地区-消费'!$I$2:$I$7</c:f>
              <c:numCache>
                <c:formatCode>#,##0_);[Red]\(#,##0\)</c:formatCode>
                <c:ptCount val="6"/>
                <c:pt idx="0">
                  <c:v>547.810564211908</c:v>
                </c:pt>
                <c:pt idx="1">
                  <c:v>791.661756601608</c:v>
                </c:pt>
                <c:pt idx="2">
                  <c:v>1801.8210185337</c:v>
                </c:pt>
                <c:pt idx="3">
                  <c:v>197.701784484173</c:v>
                </c:pt>
                <c:pt idx="4">
                  <c:v>215.363903559128</c:v>
                </c:pt>
                <c:pt idx="5">
                  <c:v>251.82763326226</c:v>
                </c:pt>
              </c:numCache>
            </c:numRef>
          </c:val>
        </c:ser>
        <c:ser>
          <c:idx val="8"/>
          <c:order val="8"/>
          <c:tx>
            <c:strRef>
              <c:f>'地区-消费'!$J$1</c:f>
              <c:strCache>
                <c:ptCount val="1"/>
                <c:pt idx="0">
                  <c:v>2027</c:v>
                </c:pt>
              </c:strCache>
            </c:strRef>
          </c:tx>
          <c:spPr>
            <a:solidFill>
              <a:schemeClr val="accent3">
                <a:lumMod val="60000"/>
              </a:schemeClr>
            </a:solidFill>
            <a:ln>
              <a:noFill/>
            </a:ln>
            <a:effectLst/>
            <a:sp3d/>
          </c:spPr>
          <c:invertIfNegative val="0"/>
          <c:dLbls>
            <c:delete val="1"/>
          </c:dLbls>
          <c:cat>
            <c:strRef>
              <c:f>'地区-消费'!$A$2:$A$7</c:f>
              <c:strCache>
                <c:ptCount val="6"/>
                <c:pt idx="0">
                  <c:v>北美</c:v>
                </c:pt>
                <c:pt idx="1">
                  <c:v>欧洲</c:v>
                </c:pt>
                <c:pt idx="2">
                  <c:v>亚太</c:v>
                </c:pt>
                <c:pt idx="3">
                  <c:v>拉美</c:v>
                </c:pt>
                <c:pt idx="4">
                  <c:v>中东和非洲</c:v>
                </c:pt>
                <c:pt idx="5">
                  <c:v>全球其他</c:v>
                </c:pt>
              </c:strCache>
            </c:strRef>
          </c:cat>
          <c:val>
            <c:numRef>
              <c:f>'地区-消费'!$J$2:$J$7</c:f>
              <c:numCache>
                <c:formatCode>#,##0_);[Red]\(#,##0\)</c:formatCode>
                <c:ptCount val="6"/>
                <c:pt idx="0">
                  <c:v>595.927057516663</c:v>
                </c:pt>
                <c:pt idx="1">
                  <c:v>845.666149098988</c:v>
                </c:pt>
                <c:pt idx="2">
                  <c:v>1880.90422364848</c:v>
                </c:pt>
                <c:pt idx="3">
                  <c:v>209.829212540114</c:v>
                </c:pt>
                <c:pt idx="4">
                  <c:v>226.760676376203</c:v>
                </c:pt>
                <c:pt idx="5">
                  <c:v>267.275250555418</c:v>
                </c:pt>
              </c:numCache>
            </c:numRef>
          </c:val>
        </c:ser>
        <c:ser>
          <c:idx val="9"/>
          <c:order val="9"/>
          <c:tx>
            <c:strRef>
              <c:f>'地区-消费'!$K$1</c:f>
              <c:strCache>
                <c:ptCount val="1"/>
                <c:pt idx="0">
                  <c:v>2028</c:v>
                </c:pt>
              </c:strCache>
            </c:strRef>
          </c:tx>
          <c:spPr>
            <a:solidFill>
              <a:schemeClr val="accent4">
                <a:lumMod val="60000"/>
              </a:schemeClr>
            </a:solidFill>
            <a:ln>
              <a:noFill/>
            </a:ln>
            <a:effectLst/>
            <a:sp3d/>
          </c:spPr>
          <c:invertIfNegative val="0"/>
          <c:dLbls>
            <c:delete val="1"/>
          </c:dLbls>
          <c:cat>
            <c:strRef>
              <c:f>'地区-消费'!$A$2:$A$7</c:f>
              <c:strCache>
                <c:ptCount val="6"/>
                <c:pt idx="0">
                  <c:v>北美</c:v>
                </c:pt>
                <c:pt idx="1">
                  <c:v>欧洲</c:v>
                </c:pt>
                <c:pt idx="2">
                  <c:v>亚太</c:v>
                </c:pt>
                <c:pt idx="3">
                  <c:v>拉美</c:v>
                </c:pt>
                <c:pt idx="4">
                  <c:v>中东和非洲</c:v>
                </c:pt>
                <c:pt idx="5">
                  <c:v>全球其他</c:v>
                </c:pt>
              </c:strCache>
            </c:strRef>
          </c:cat>
          <c:val>
            <c:numRef>
              <c:f>'地区-消费'!$K$2:$K$7</c:f>
              <c:numCache>
                <c:formatCode>#,##0_);[Red]\(#,##0\)</c:formatCode>
                <c:ptCount val="6"/>
                <c:pt idx="0">
                  <c:v>643.834025012342</c:v>
                </c:pt>
                <c:pt idx="1">
                  <c:v>923.690705940431</c:v>
                </c:pt>
                <c:pt idx="2">
                  <c:v>2030.3520371894</c:v>
                </c:pt>
                <c:pt idx="3">
                  <c:v>227.158522297186</c:v>
                </c:pt>
                <c:pt idx="4">
                  <c:v>243.524410070759</c:v>
                </c:pt>
                <c:pt idx="5">
                  <c:v>290.003531347705</c:v>
                </c:pt>
              </c:numCache>
            </c:numRef>
          </c:val>
        </c:ser>
        <c:ser>
          <c:idx val="10"/>
          <c:order val="10"/>
          <c:tx>
            <c:strRef>
              <c:f>'地区-消费'!$L$1</c:f>
              <c:strCache>
                <c:ptCount val="1"/>
                <c:pt idx="0">
                  <c:v>2029</c:v>
                </c:pt>
              </c:strCache>
            </c:strRef>
          </c:tx>
          <c:spPr>
            <a:solidFill>
              <a:schemeClr val="accent5">
                <a:lumMod val="60000"/>
              </a:schemeClr>
            </a:solidFill>
            <a:ln>
              <a:noFill/>
            </a:ln>
            <a:effectLst/>
            <a:sp3d/>
          </c:spPr>
          <c:invertIfNegative val="0"/>
          <c:dLbls>
            <c:delete val="1"/>
          </c:dLbls>
          <c:cat>
            <c:strRef>
              <c:f>'地区-消费'!$A$2:$A$7</c:f>
              <c:strCache>
                <c:ptCount val="6"/>
                <c:pt idx="0">
                  <c:v>北美</c:v>
                </c:pt>
                <c:pt idx="1">
                  <c:v>欧洲</c:v>
                </c:pt>
                <c:pt idx="2">
                  <c:v>亚太</c:v>
                </c:pt>
                <c:pt idx="3">
                  <c:v>拉美</c:v>
                </c:pt>
                <c:pt idx="4">
                  <c:v>中东和非洲</c:v>
                </c:pt>
                <c:pt idx="5">
                  <c:v>全球其他</c:v>
                </c:pt>
              </c:strCache>
            </c:strRef>
          </c:cat>
          <c:val>
            <c:numRef>
              <c:f>'地区-消费'!$L$2:$L$7</c:f>
              <c:numCache>
                <c:formatCode>#,##0_);[Red]\(#,##0\)</c:formatCode>
                <c:ptCount val="6"/>
                <c:pt idx="0">
                  <c:v>683.037460004923</c:v>
                </c:pt>
                <c:pt idx="1">
                  <c:v>967.291433259497</c:v>
                </c:pt>
                <c:pt idx="2">
                  <c:v>2153.29284108622</c:v>
                </c:pt>
                <c:pt idx="3">
                  <c:v>240.098016244155</c:v>
                </c:pt>
                <c:pt idx="4">
                  <c:v>255.276626466486</c:v>
                </c:pt>
                <c:pt idx="5">
                  <c:v>307.021888588071</c:v>
                </c:pt>
              </c:numCache>
            </c:numRef>
          </c:val>
        </c:ser>
        <c:ser>
          <c:idx val="11"/>
          <c:order val="11"/>
          <c:tx>
            <c:strRef>
              <c:f>'地区-消费'!$M$1</c:f>
              <c:strCache>
                <c:ptCount val="1"/>
                <c:pt idx="0">
                  <c:v>2030</c:v>
                </c:pt>
              </c:strCache>
            </c:strRef>
          </c:tx>
          <c:spPr>
            <a:solidFill>
              <a:schemeClr val="accent6">
                <a:lumMod val="60000"/>
              </a:schemeClr>
            </a:solidFill>
            <a:ln>
              <a:noFill/>
            </a:ln>
            <a:effectLst/>
            <a:sp3d/>
          </c:spPr>
          <c:invertIfNegative val="0"/>
          <c:dLbls>
            <c:delete val="1"/>
          </c:dLbls>
          <c:cat>
            <c:strRef>
              <c:f>'地区-消费'!$A$2:$A$7</c:f>
              <c:strCache>
                <c:ptCount val="6"/>
                <c:pt idx="0">
                  <c:v>北美</c:v>
                </c:pt>
                <c:pt idx="1">
                  <c:v>欧洲</c:v>
                </c:pt>
                <c:pt idx="2">
                  <c:v>亚太</c:v>
                </c:pt>
                <c:pt idx="3">
                  <c:v>拉美</c:v>
                </c:pt>
                <c:pt idx="4">
                  <c:v>中东和非洲</c:v>
                </c:pt>
                <c:pt idx="5">
                  <c:v>全球其他</c:v>
                </c:pt>
              </c:strCache>
            </c:strRef>
          </c:cat>
          <c:val>
            <c:numRef>
              <c:f>'地区-消费'!$M$2:$M$7</c:f>
              <c:numCache>
                <c:formatCode>#,##0_);[Red]\(#,##0\)</c:formatCode>
                <c:ptCount val="6"/>
                <c:pt idx="0">
                  <c:v>704.622176537771</c:v>
                </c:pt>
                <c:pt idx="1">
                  <c:v>1017.14749551313</c:v>
                </c:pt>
                <c:pt idx="2">
                  <c:v>2273.72971120901</c:v>
                </c:pt>
                <c:pt idx="3">
                  <c:v>250.596338717572</c:v>
                </c:pt>
                <c:pt idx="4">
                  <c:v>264.998427149617</c:v>
                </c:pt>
                <c:pt idx="5">
                  <c:v>320.446467612988</c:v>
                </c:pt>
              </c:numCache>
            </c:numRef>
          </c:val>
        </c:ser>
        <c:dLbls>
          <c:showLegendKey val="0"/>
          <c:showVal val="0"/>
          <c:showCatName val="0"/>
          <c:showSerName val="0"/>
          <c:showPercent val="0"/>
          <c:showBubbleSize val="0"/>
        </c:dLbls>
        <c:gapWidth val="150"/>
        <c:axId val="729251680"/>
        <c:axId val="729252760"/>
      </c:barChart>
      <c:catAx>
        <c:axId val="729251680"/>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29252760"/>
        <c:crosses val="autoZero"/>
        <c:auto val="1"/>
        <c:lblAlgn val="ctr"/>
        <c:lblOffset val="100"/>
        <c:noMultiLvlLbl val="0"/>
      </c:catAx>
      <c:valAx>
        <c:axId val="729252760"/>
        <c:scaling>
          <c:orientation val="minMax"/>
        </c:scaling>
        <c:delete val="0"/>
        <c:axPos val="l"/>
        <c:numFmt formatCode="#,##0_);[Red]\(#,##0\)"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2925168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b108e8a8-4a45-43af-a33e-c5368029bff5}"/>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Normal.dotm</Template>
  <Pages>5</Pages>
  <Words>1937</Words>
  <Characters>2512</Characters>
  <Lines>18</Lines>
  <Paragraphs>5</Paragraphs>
  <TotalTime>748</TotalTime>
  <ScaleCrop>false</ScaleCrop>
  <LinksUpToDate>false</LinksUpToDate>
  <CharactersWithSpaces>2543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2025-11-18T08:26:01Z</dcterms:modified>
  <cp:revision>956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2052-12.1.0.23542</vt:lpwstr>
  </property>
  <property fmtid="{D5CDD505-2E9C-101B-9397-08002B2CF9AE}" pid="4" name="ICV">
    <vt:lpwstr>EC026BD2A4AB4C1F84FA977EA4A55936_12</vt:lpwstr>
  </property>
</Properties>
</file>