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cs="Calibri"/>
        </w:rPr>
      </w:pPr>
      <w:bookmarkStart w:id="0" w:name="_Hlk23501351"/>
      <w:bookmarkStart w:id="1" w:name="OLE_LINK40"/>
      <w:bookmarkStart w:id="2" w:name="_Toc517262917"/>
      <w:bookmarkStart w:id="3" w:name="_Toc438987549"/>
      <w:bookmarkStart w:id="4" w:name="OLE_LINK15"/>
      <w:bookmarkStart w:id="5" w:name="OLE_LINK13"/>
      <w:bookmarkStart w:id="6" w:name="_Toc481801204"/>
      <w:bookmarkStart w:id="7" w:name="_Toc415142861"/>
      <w:bookmarkStart w:id="8" w:name="_Toc415143481"/>
      <w:bookmarkStart w:id="9" w:name="_Toc418070112"/>
      <w:bookmarkStart w:id="10" w:name="_Toc415818939"/>
      <w:bookmarkStart w:id="11" w:name="_Toc453597319"/>
      <w:bookmarkStart w:id="12" w:name="OLE_LINK24"/>
      <w:bookmarkStart w:id="13" w:name="OLE_LINK39"/>
      <w:r>
        <w:rPr>
          <w:rFonts w:cs="Calibri"/>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8863965</wp:posOffset>
                </wp:positionV>
                <wp:extent cx="5048250" cy="327660"/>
                <wp:effectExtent l="0" t="0" r="0" b="0"/>
                <wp:wrapNone/>
                <wp:docPr id="1438" name="Text Box 1438"/>
                <wp:cNvGraphicFramePr/>
                <a:graphic xmlns:a="http://schemas.openxmlformats.org/drawingml/2006/main">
                  <a:graphicData uri="http://schemas.microsoft.com/office/word/2010/wordprocessingShape">
                    <wps:wsp>
                      <wps:cNvSpPr txBox="1"/>
                      <wps:spPr>
                        <a:xfrm>
                          <a:off x="0" y="0"/>
                          <a:ext cx="5048250" cy="32780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b/>
                                <w:color w:val="FFFFFF" w:themeColor="background1"/>
                                <w:szCs w:val="22"/>
                                <w14:textFill>
                                  <w14:solidFill>
                                    <w14:schemeClr w14:val="bg1"/>
                                  </w14:solidFill>
                                </w14:textFill>
                              </w:rPr>
                            </w:pPr>
                            <w:r>
                              <w:rPr>
                                <w:b/>
                                <w:szCs w:val="22"/>
                              </w:rPr>
                              <w:t xml:space="preserve">Copyright © QYResearch | market@qyresearch.com | </w:t>
                            </w:r>
                            <w:r>
                              <w:rPr>
                                <w:b/>
                                <w:color w:val="FFFFFF" w:themeColor="background1"/>
                                <w:szCs w:val="22"/>
                                <w14:textFill>
                                  <w14:solidFill>
                                    <w14:schemeClr w14:val="bg1"/>
                                  </w14:solidFill>
                                </w14:textFill>
                              </w:rPr>
                              <w:t>www.qyresearch.com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438" o:spid="_x0000_s1026" o:spt="202" type="#_x0000_t202" style="position:absolute;left:0pt;margin-top:697.95pt;height:25.8pt;width:397.5pt;mso-position-horizontal:center;mso-position-horizontal-relative:margin;z-index:251659264;mso-width-relative:page;mso-height-relative:page;" filled="f" stroked="f" coordsize="21600,21600" o:gfxdata="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eRDn/toAAAAKAQAADwAAAAAAAAABACAAAAAiAAAAZHJzL2Rvd25yZXYu&#10;eG1sUEsBAhQAFAAAAAgAh07iQMHwJl0yAgAAeQQAAA4AAAAAAAAAAQAgAAAAKQEAAGRycy9lMm9E&#10;b2MueG1sUEsFBgAAAAAGAAYAWQEAAM0FAAAAAA==&#10;">
                <v:fill on="f" focussize="0,0"/>
                <v:stroke on="f" weight="0.5pt"/>
                <v:imagedata o:title=""/>
                <o:lock v:ext="edit" aspectratio="f"/>
                <v:textbox>
                  <w:txbxContent>
                    <w:p>
                      <w:pPr>
                        <w:jc w:val="center"/>
                        <w:rPr>
                          <w:b/>
                          <w:color w:val="FFFFFF" w:themeColor="background1"/>
                          <w:szCs w:val="22"/>
                          <w14:textFill>
                            <w14:solidFill>
                              <w14:schemeClr w14:val="bg1"/>
                            </w14:solidFill>
                          </w14:textFill>
                        </w:rPr>
                      </w:pPr>
                      <w:r>
                        <w:rPr>
                          <w:b/>
                          <w:szCs w:val="22"/>
                        </w:rPr>
                        <w:t xml:space="preserve">Copyright © QYResearch | market@qyresearch.com | </w:t>
                      </w:r>
                      <w:r>
                        <w:rPr>
                          <w:b/>
                          <w:color w:val="FFFFFF" w:themeColor="background1"/>
                          <w:szCs w:val="22"/>
                          <w14:textFill>
                            <w14:solidFill>
                              <w14:schemeClr w14:val="bg1"/>
                            </w14:solidFill>
                          </w14:textFill>
                        </w:rPr>
                        <w:t>www.qyresearch.com</w:t>
                      </w:r>
                    </w:p>
                  </w:txbxContent>
                </v:textbox>
              </v:shape>
            </w:pict>
          </mc:Fallback>
        </mc:AlternateContent>
      </w:r>
      <w:r>
        <w:rPr>
          <w:rFonts w:cs="Calibri"/>
        </w:rPr>
        <mc:AlternateContent>
          <mc:Choice Requires="wps">
            <w:drawing>
              <wp:anchor distT="0" distB="0" distL="114300" distR="114300" simplePos="0" relativeHeight="251660288" behindDoc="0" locked="0" layoutInCell="1" allowOverlap="1">
                <wp:simplePos x="0" y="0"/>
                <wp:positionH relativeFrom="column">
                  <wp:posOffset>-283845</wp:posOffset>
                </wp:positionH>
                <wp:positionV relativeFrom="paragraph">
                  <wp:posOffset>2054860</wp:posOffset>
                </wp:positionV>
                <wp:extent cx="6337300" cy="1769110"/>
                <wp:effectExtent l="0" t="0" r="0" b="2540"/>
                <wp:wrapNone/>
                <wp:docPr id="1346" name="Text Box 479"/>
                <wp:cNvGraphicFramePr/>
                <a:graphic xmlns:a="http://schemas.openxmlformats.org/drawingml/2006/main">
                  <a:graphicData uri="http://schemas.microsoft.com/office/word/2010/wordprocessingShape">
                    <wps:wsp>
                      <wps:cNvSpPr txBox="1">
                        <a:spLocks noChangeArrowheads="1"/>
                      </wps:cNvSpPr>
                      <wps:spPr bwMode="auto">
                        <a:xfrm>
                          <a:off x="0" y="0"/>
                          <a:ext cx="6337005" cy="1769423"/>
                        </a:xfrm>
                        <a:prstGeom prst="rect">
                          <a:avLst/>
                        </a:prstGeom>
                        <a:noFill/>
                        <a:ln w="9525">
                          <a:noFill/>
                          <a:miter lim="800000"/>
                        </a:ln>
                        <a:effectLst/>
                      </wps:spPr>
                      <wps:txbx>
                        <w:txbxContent>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6"/>
                                <w:szCs w:val="56"/>
                              </w:rPr>
                              <w:t>橡胶V带</w:t>
                            </w: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wps:txbx>
                      <wps:bodyPr rot="0" vert="horz" wrap="square" lIns="91440" tIns="45720" rIns="91440" bIns="45720" anchor="t" anchorCtr="0">
                        <a:noAutofit/>
                      </wps:bodyPr>
                    </wps:wsp>
                  </a:graphicData>
                </a:graphic>
              </wp:anchor>
            </w:drawing>
          </mc:Choice>
          <mc:Fallback>
            <w:pict>
              <v:shape id="Text Box 479" o:spid="_x0000_s1026" o:spt="202" type="#_x0000_t202" style="position:absolute;left:0pt;margin-left:-22.35pt;margin-top:161.8pt;height:139.3pt;width:499pt;z-index:251660288;mso-width-relative:page;mso-height-relative:page;" filled="f" stroked="f" coordsize="21600,21600" o:gfxdata="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LvbpbNkA&#10;AAALAQAADwAAAAAAAAABACAAAAAiAAAAZHJzL2Rvd25yZXYueG1sUEsBAhQAFAAAAAgAh07iQBDM&#10;BnIeAgAAPAQAAA4AAAAAAAAAAQAgAAAAKAEAAGRycy9lMm9Eb2MueG1sUEsFBgAAAAAGAAYAWQEA&#10;ALgFAAAAAA==&#10;">
                <v:fill on="f" focussize="0,0"/>
                <v:stroke on="f" miterlimit="8" joinstyle="miter"/>
                <v:imagedata o:title=""/>
                <o:lock v:ext="edit" aspectratio="f"/>
                <v:textbox>
                  <w:txbxContent>
                    <w:p>
                      <w:pPr>
                        <w:widowControl/>
                        <w:topLinePunct w:val="0"/>
                        <w:jc w:val="left"/>
                        <w:rPr>
                          <w:rFonts w:ascii="Century Gothic" w:hAnsi="Century Gothic" w:cs="Arial"/>
                          <w:b/>
                          <w:color w:val="002060"/>
                          <w:spacing w:val="-30"/>
                          <w:kern w:val="0"/>
                          <w:sz w:val="52"/>
                          <w:szCs w:val="52"/>
                        </w:rPr>
                      </w:pPr>
                      <w:r>
                        <w:rPr>
                          <w:rFonts w:hint="eastAsia" w:ascii="Century Gothic" w:hAnsi="Century Gothic" w:cs="Arial"/>
                          <w:b/>
                          <w:color w:val="002060"/>
                          <w:spacing w:val="-30"/>
                          <w:kern w:val="0"/>
                          <w:sz w:val="56"/>
                          <w:szCs w:val="56"/>
                        </w:rPr>
                        <w:t>橡胶V带</w:t>
                      </w:r>
                      <w:r>
                        <w:rPr>
                          <w:rFonts w:hint="eastAsia" w:ascii="Century Gothic" w:hAnsi="Century Gothic" w:cs="Arial"/>
                          <w:b/>
                          <w:color w:val="002060"/>
                          <w:spacing w:val="-30"/>
                          <w:kern w:val="0"/>
                          <w:sz w:val="52"/>
                          <w:szCs w:val="52"/>
                        </w:rPr>
                        <w:t>全球市场研究报告</w:t>
                      </w:r>
                      <w:r>
                        <w:rPr>
                          <w:rFonts w:ascii="Century Gothic" w:hAnsi="Century Gothic" w:cs="Arial"/>
                          <w:b/>
                          <w:color w:val="002060"/>
                          <w:spacing w:val="-30"/>
                          <w:kern w:val="0"/>
                          <w:sz w:val="52"/>
                          <w:szCs w:val="52"/>
                        </w:rPr>
                        <w:t>2023-2029</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column">
                  <wp:posOffset>-153035</wp:posOffset>
                </wp:positionH>
                <wp:positionV relativeFrom="paragraph">
                  <wp:posOffset>3918585</wp:posOffset>
                </wp:positionV>
                <wp:extent cx="4971415" cy="0"/>
                <wp:effectExtent l="0" t="19050" r="19685" b="19050"/>
                <wp:wrapNone/>
                <wp:docPr id="1348" name="Straight Connector 38"/>
                <wp:cNvGraphicFramePr/>
                <a:graphic xmlns:a="http://schemas.openxmlformats.org/drawingml/2006/main">
                  <a:graphicData uri="http://schemas.microsoft.com/office/word/2010/wordprocessingShape">
                    <wps:wsp>
                      <wps:cNvCnPr/>
                      <wps:spPr>
                        <a:xfrm>
                          <a:off x="0" y="0"/>
                          <a:ext cx="4971415" cy="0"/>
                        </a:xfrm>
                        <a:prstGeom prst="line">
                          <a:avLst/>
                        </a:prstGeom>
                        <a:ln w="28575">
                          <a:solidFill>
                            <a:schemeClr val="accent4"/>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38" o:spid="_x0000_s1026" o:spt="20" style="position:absolute;left:0pt;margin-left:-12.05pt;margin-top:308.55pt;height:0pt;width:391.45pt;z-index:251661312;mso-width-relative:page;mso-height-relative:page;" filled="f" stroked="t" coordsize="21600,21600" o:gfxdata="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Wn7DY2QAAAAsBAAAPAAAA&#10;AAAAAAEAIAAAACIAAABkcnMvZG93bnJldi54bWxQSwECFAAUAAAACACHTuJAS6AeHNsBAAC5AwAA&#10;DgAAAAAAAAABACAAAAAoAQAAZHJzL2Uyb0RvYy54bWxQSwUGAAAAAAYABgBZAQAAdQUAAAAA&#10;">
                <v:fill on="f" focussize="0,0"/>
                <v:stroke weight="2.25pt" color="#FFC000 [3207]" miterlimit="8" joinstyle="miter"/>
                <v:imagedata o:title=""/>
                <o:lock v:ext="edit" aspectratio="f"/>
              </v:line>
            </w:pict>
          </mc:Fallback>
        </mc:AlternateContent>
      </w:r>
      <w:r>
        <w:rPr>
          <w:rFonts w:cs="Calibri"/>
        </w:rPr>
        <w:drawing>
          <wp:anchor distT="0" distB="0" distL="114300" distR="114300" simplePos="0" relativeHeight="251662336" behindDoc="1" locked="0" layoutInCell="1" allowOverlap="1">
            <wp:simplePos x="0" y="0"/>
            <wp:positionH relativeFrom="page">
              <wp:posOffset>-62230</wp:posOffset>
            </wp:positionH>
            <wp:positionV relativeFrom="page">
              <wp:posOffset>-37465</wp:posOffset>
            </wp:positionV>
            <wp:extent cx="7665085" cy="1073467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65079" cy="10734675"/>
                    </a:xfrm>
                    <a:prstGeom prst="rect">
                      <a:avLst/>
                    </a:prstGeom>
                  </pic:spPr>
                </pic:pic>
              </a:graphicData>
            </a:graphic>
          </wp:anchor>
        </w:drawing>
      </w:r>
    </w:p>
    <w:p>
      <w:pPr>
        <w:sectPr>
          <w:headerReference r:id="rId5" w:type="first"/>
          <w:headerReference r:id="rId4" w:type="even"/>
          <w:pgSz w:w="11906" w:h="16838"/>
          <w:pgMar w:top="1418" w:right="1134" w:bottom="851" w:left="1134" w:header="709" w:footer="567" w:gutter="0"/>
          <w:pgNumType w:start="0"/>
          <w:cols w:space="708" w:num="1"/>
          <w:docGrid w:linePitch="360" w:charSpace="0"/>
        </w:sectPr>
      </w:pPr>
    </w:p>
    <w:bookmarkEnd w:id="0"/>
    <w:p>
      <w:pPr>
        <w:pStyle w:val="167"/>
        <w:rPr>
          <w:lang w:eastAsia="zh-CN"/>
        </w:rPr>
      </w:pPr>
      <w:r>
        <w:rPr>
          <w:lang w:eastAsia="zh-CN"/>
        </w:rPr>
        <w:t>橡胶V带</w:t>
      </w:r>
      <w:r>
        <w:rPr>
          <w:rFonts w:hint="eastAsia"/>
          <w:lang w:eastAsia="zh-CN"/>
        </w:rPr>
        <w:t>全球市场总体规模</w:t>
      </w:r>
    </w:p>
    <w:p>
      <w:pPr>
        <w:pStyle w:val="145"/>
        <w:rPr>
          <w:lang w:eastAsia="zh-CN"/>
        </w:rPr>
      </w:pPr>
      <w:r>
        <w:rPr>
          <w:rFonts w:hint="eastAsia"/>
          <w:lang w:eastAsia="zh-CN"/>
        </w:rPr>
        <w:t>橡胶V形带是一种具有梯形横截面的动力传输带，通常用于机械系统中，将旋转动力从一个部件传递到另一个部件。 因其形状酷似字母“V”而被称为“V带”。 皮带通常由橡胶或合成材料制成，并用绳索或纤维加固以提高强度。</w:t>
      </w:r>
    </w:p>
    <w:p>
      <w:pPr>
        <w:pStyle w:val="145"/>
        <w:rPr>
          <w:lang w:eastAsia="zh-CN"/>
        </w:rPr>
      </w:pPr>
      <w:r>
        <w:rPr>
          <w:rFonts w:hint="eastAsia"/>
          <w:lang w:eastAsia="zh-CN"/>
        </w:rPr>
        <w:t>橡胶V带广泛应用于各种应用，包括汽车发动机、工业机械、农业设备和电器。 它们以其灵活性、高摩擦力和高效传输动力的能力而闻名。 V 形设计使皮带能够紧紧地楔入皮带轮凹槽中，提供正向驱动并防止打滑。</w:t>
      </w:r>
    </w:p>
    <w:p>
      <w:pPr>
        <w:pStyle w:val="145"/>
        <w:rPr>
          <w:lang w:eastAsia="zh-CN"/>
        </w:rPr>
      </w:pPr>
      <w:r>
        <w:rPr>
          <w:rFonts w:hint="eastAsia"/>
          <w:lang w:eastAsia="zh-CN"/>
        </w:rPr>
        <w:t>根据QYResearch最新调研报告显示，2</w:t>
      </w:r>
      <w:r>
        <w:rPr>
          <w:lang w:eastAsia="zh-CN"/>
        </w:rPr>
        <w:t>023</w:t>
      </w:r>
      <w:r>
        <w:rPr>
          <w:rFonts w:hint="eastAsia"/>
          <w:lang w:eastAsia="zh-CN"/>
        </w:rPr>
        <w:t>年全球</w:t>
      </w:r>
      <w:r>
        <w:rPr>
          <w:lang w:eastAsia="zh-CN"/>
        </w:rPr>
        <w:t>橡胶V带</w:t>
      </w:r>
      <w:r>
        <w:rPr>
          <w:rFonts w:hint="eastAsia"/>
          <w:lang w:eastAsia="zh-CN"/>
        </w:rPr>
        <w:t>市场规模大约为</w:t>
      </w:r>
      <w:r>
        <w:rPr>
          <w:lang w:eastAsia="zh-CN"/>
        </w:rPr>
        <w:t>1907.7</w:t>
      </w:r>
      <w:r>
        <w:rPr>
          <w:rFonts w:hint="eastAsia"/>
          <w:lang w:eastAsia="zh-CN"/>
        </w:rPr>
        <w:t>百万美元，预计2</w:t>
      </w:r>
      <w:r>
        <w:rPr>
          <w:lang w:eastAsia="zh-CN"/>
        </w:rPr>
        <w:t>029</w:t>
      </w:r>
      <w:r>
        <w:rPr>
          <w:rFonts w:hint="eastAsia"/>
          <w:lang w:eastAsia="zh-CN"/>
        </w:rPr>
        <w:t>年将达到</w:t>
      </w:r>
      <w:r>
        <w:rPr>
          <w:lang w:eastAsia="zh-CN"/>
        </w:rPr>
        <w:t>2376.5</w:t>
      </w:r>
      <w:r>
        <w:rPr>
          <w:rFonts w:hint="eastAsia"/>
          <w:lang w:eastAsia="zh-CN"/>
        </w:rPr>
        <w:t>百万美元，未来几年年复合增长率CAGR为</w:t>
      </w:r>
      <w:r>
        <w:rPr>
          <w:lang w:eastAsia="zh-CN"/>
        </w:rPr>
        <w:t>3.73%</w:t>
      </w:r>
      <w:r>
        <w:rPr>
          <w:rFonts w:hint="eastAsia"/>
          <w:lang w:eastAsia="zh-CN"/>
        </w:rPr>
        <w:t>。</w:t>
      </w:r>
    </w:p>
    <w:p>
      <w:pPr>
        <w:pStyle w:val="148"/>
        <w:rPr>
          <w:lang w:eastAsia="zh-CN"/>
        </w:rPr>
      </w:pPr>
      <w:r>
        <w:rPr>
          <w:rFonts w:hint="eastAsia"/>
          <w:lang w:eastAsia="zh-CN"/>
        </w:rPr>
        <w:t>全球</w:t>
      </w:r>
      <w:r>
        <w:rPr>
          <w:lang w:eastAsia="zh-CN"/>
        </w:rPr>
        <w:t>橡胶V带</w:t>
      </w:r>
      <w:r>
        <w:rPr>
          <w:rFonts w:hint="eastAsia"/>
          <w:lang w:eastAsia="zh-CN"/>
        </w:rPr>
        <w:t>市场总体规模（百万美元）&amp;（</w:t>
      </w:r>
      <w:r>
        <w:rPr>
          <w:lang w:eastAsia="zh-CN"/>
        </w:rPr>
        <w:t>2018-2029</w:t>
      </w:r>
      <w:r>
        <w:rPr>
          <w:rFonts w:hint="eastAsia"/>
          <w:lang w:eastAsia="zh-CN"/>
        </w:rPr>
        <w:t>）</w:t>
      </w:r>
    </w:p>
    <w:p>
      <w:pPr>
        <w:pStyle w:val="145"/>
        <w:jc w:val="center"/>
      </w:pPr>
      <w:r>
        <w:drawing>
          <wp:inline distT="0" distB="0" distL="0" distR="0">
            <wp:extent cx="5773420" cy="2895600"/>
            <wp:effectExtent l="0" t="0" r="0" b="0"/>
            <wp:docPr id="9256473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5647356" name="图片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773420" cy="2895600"/>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橡胶V带</w:t>
      </w:r>
      <w:r>
        <w:rPr>
          <w:rFonts w:hint="eastAsia"/>
          <w:lang w:eastAsia="zh-CN"/>
        </w:rPr>
        <w:t>市场研究报告2023-2029</w:t>
      </w:r>
      <w:r>
        <w:rPr>
          <w:lang w:eastAsia="zh-CN"/>
        </w:rPr>
        <w:t>.</w:t>
      </w:r>
    </w:p>
    <w:p>
      <w:pPr>
        <w:pStyle w:val="145"/>
        <w:rPr>
          <w:lang w:eastAsia="zh-CN"/>
        </w:rPr>
      </w:pPr>
      <w:r>
        <w:rPr>
          <w:rFonts w:hint="eastAsia"/>
          <w:lang w:eastAsia="zh-CN"/>
        </w:rPr>
        <w:t>趋势</w:t>
      </w:r>
      <w:r>
        <w:rPr>
          <w:lang w:eastAsia="zh-CN"/>
        </w:rPr>
        <w:t>:</w:t>
      </w:r>
    </w:p>
    <w:p>
      <w:pPr>
        <w:pStyle w:val="145"/>
        <w:rPr>
          <w:lang w:eastAsia="zh-CN"/>
        </w:rPr>
      </w:pPr>
      <w:r>
        <w:rPr>
          <w:rFonts w:hint="eastAsia"/>
          <w:lang w:eastAsia="zh-CN"/>
        </w:rPr>
        <w:t>工业需求：橡胶V带的需求与工业活动和机械使用直接相关。 制造业、汽车、农业和采矿业等工业部门的任何波动或变化都会影响对橡胶 V 形带的需求。</w:t>
      </w:r>
    </w:p>
    <w:p>
      <w:pPr>
        <w:pStyle w:val="145"/>
        <w:rPr>
          <w:lang w:eastAsia="zh-CN"/>
        </w:rPr>
      </w:pPr>
      <w:r>
        <w:rPr>
          <w:rFonts w:hint="eastAsia"/>
          <w:lang w:eastAsia="zh-CN"/>
        </w:rPr>
        <w:t>技术进步：随着技术的进步，同步带和链传动等替代动力传输系统已经出现。 这些替代品可能会影响对橡胶 V 形带的需求，特别是在需要更高精度和效率的应用中。</w:t>
      </w:r>
    </w:p>
    <w:p>
      <w:pPr>
        <w:pStyle w:val="145"/>
        <w:rPr>
          <w:lang w:eastAsia="zh-CN"/>
        </w:rPr>
      </w:pPr>
      <w:r>
        <w:rPr>
          <w:rFonts w:hint="eastAsia"/>
          <w:lang w:eastAsia="zh-CN"/>
        </w:rPr>
        <w:t>环境法规：日益严格的环境法规和对可持续性的关注可能会推动市场转向更加环保的解决方案。 如果替代材料或技术被认为更环保，这可能会影响对橡胶 V 形带的需求。</w:t>
      </w:r>
    </w:p>
    <w:p>
      <w:pPr>
        <w:pStyle w:val="145"/>
        <w:rPr>
          <w:lang w:eastAsia="zh-CN"/>
        </w:rPr>
      </w:pPr>
      <w:r>
        <w:rPr>
          <w:rFonts w:hint="eastAsia"/>
          <w:lang w:eastAsia="zh-CN"/>
        </w:rPr>
        <w:t>全球经济状况：GDP 增长、通货膨胀率和贸易政策等经济因素会影响整个市场动态，包括橡胶 V 形带市场。 这些经济指标的变化可能会影响不同地区或行业的需求。</w:t>
      </w:r>
    </w:p>
    <w:p>
      <w:pPr>
        <w:pStyle w:val="148"/>
        <w:rPr>
          <w:lang w:eastAsia="zh-CN"/>
        </w:rPr>
      </w:pPr>
      <w:r>
        <w:rPr>
          <w:rFonts w:hint="eastAsia"/>
          <w:lang w:eastAsia="zh-CN"/>
        </w:rPr>
        <w:t>全球</w:t>
      </w:r>
      <w:r>
        <w:rPr>
          <w:lang w:eastAsia="zh-CN"/>
        </w:rPr>
        <w:t>橡胶V带</w:t>
      </w:r>
      <w:r>
        <w:rPr>
          <w:rFonts w:hint="eastAsia"/>
          <w:lang w:eastAsia="zh-CN"/>
        </w:rPr>
        <w:t>主要厂商排名</w:t>
      </w:r>
    </w:p>
    <w:p>
      <w:pPr>
        <w:pStyle w:val="145"/>
        <w:tabs>
          <w:tab w:val="left" w:pos="1434"/>
          <w:tab w:val="center" w:pos="4933"/>
        </w:tabs>
        <w:jc w:val="center"/>
        <w:rPr>
          <w:lang w:val="en-US" w:eastAsia="zh-CN"/>
        </w:rPr>
      </w:pPr>
      <w:r>
        <w:drawing>
          <wp:inline distT="0" distB="0" distL="0" distR="0">
            <wp:extent cx="5039995" cy="3959860"/>
            <wp:effectExtent l="0" t="0" r="8255" b="2540"/>
            <wp:docPr id="138040187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143"/>
        <w:rPr>
          <w:lang w:eastAsia="zh-CN"/>
        </w:rPr>
      </w:pPr>
      <w:r>
        <w:rPr>
          <w:rFonts w:hint="eastAsia"/>
          <w:lang w:eastAsia="zh-CN"/>
        </w:rPr>
        <w:t>如上图表/数据，摘自QYResearch最新报告“全球</w:t>
      </w:r>
      <w:r>
        <w:rPr>
          <w:lang w:eastAsia="zh-CN"/>
        </w:rPr>
        <w:t>橡胶V带</w:t>
      </w:r>
      <w:r>
        <w:rPr>
          <w:rFonts w:hint="eastAsia"/>
          <w:lang w:eastAsia="zh-CN"/>
        </w:rPr>
        <w:t>市场研究报告2023-2029</w:t>
      </w:r>
      <w:r>
        <w:rPr>
          <w:lang w:eastAsia="zh-CN"/>
        </w:rPr>
        <w:t>.</w:t>
      </w:r>
    </w:p>
    <w:p>
      <w:pPr>
        <w:widowControl/>
        <w:topLinePunct w:val="0"/>
        <w:spacing w:after="0"/>
      </w:pPr>
      <w:r>
        <w:rPr>
          <w:rFonts w:hint="eastAsia"/>
        </w:rPr>
        <w:t>全球范围内，在2023年，</w:t>
      </w:r>
      <w:r>
        <w:t>橡胶V带</w:t>
      </w:r>
      <w:r>
        <w:rPr>
          <w:rFonts w:hint="eastAsia"/>
        </w:rPr>
        <w:t>前五大厂商占有大约</w:t>
      </w:r>
      <w:r>
        <w:rPr>
          <w:rFonts w:hint="eastAsia" w:ascii="宋体" w:hAnsi="宋体" w:cs="宋体"/>
          <w:color w:val="000000"/>
          <w:kern w:val="0"/>
          <w:sz w:val="22"/>
          <w:szCs w:val="22"/>
        </w:rPr>
        <w:t>70.55%</w:t>
      </w:r>
      <w:r>
        <w:rPr>
          <w:rFonts w:hint="eastAsia"/>
        </w:rPr>
        <w:t>的市场份额。</w:t>
      </w:r>
    </w:p>
    <w:p>
      <w:pPr>
        <w:widowControl/>
        <w:topLinePunct w:val="0"/>
        <w:spacing w:after="0"/>
      </w:pPr>
    </w:p>
    <w:p>
      <w:pPr>
        <w:pStyle w:val="148"/>
        <w:rPr>
          <w:lang w:eastAsia="zh-CN"/>
        </w:rPr>
      </w:pPr>
      <w:r>
        <w:rPr>
          <w:rFonts w:hint="eastAsia"/>
          <w:lang w:eastAsia="zh-CN"/>
        </w:rPr>
        <w:t>全球</w:t>
      </w:r>
      <w:r>
        <w:rPr>
          <w:lang w:eastAsia="zh-CN"/>
        </w:rPr>
        <w:t>橡胶V带</w:t>
      </w:r>
      <w:r>
        <w:rPr>
          <w:rFonts w:hint="eastAsia"/>
          <w:lang w:eastAsia="zh-CN"/>
        </w:rPr>
        <w:t>市场规模，按产品类型细分</w:t>
      </w:r>
    </w:p>
    <w:p>
      <w:pPr>
        <w:pStyle w:val="145"/>
        <w:rPr>
          <w:lang w:eastAsia="zh-CN"/>
        </w:rPr>
      </w:pPr>
      <w:r>
        <w:rPr>
          <w:lang w:eastAsia="zh-CN"/>
        </w:rPr>
        <w:drawing>
          <wp:inline distT="0" distB="0" distL="0" distR="0">
            <wp:extent cx="5779770" cy="2889885"/>
            <wp:effectExtent l="0" t="0" r="0" b="5715"/>
            <wp:docPr id="87711218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112188"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779770" cy="288988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橡胶V带</w:t>
      </w:r>
      <w:r>
        <w:rPr>
          <w:rFonts w:hint="eastAsia"/>
          <w:lang w:eastAsia="zh-CN"/>
        </w:rPr>
        <w:t>市场研究报告2023-2029</w:t>
      </w:r>
      <w:r>
        <w:rPr>
          <w:lang w:eastAsia="zh-CN"/>
        </w:rPr>
        <w:t>.</w:t>
      </w:r>
    </w:p>
    <w:p>
      <w:pPr>
        <w:pStyle w:val="145"/>
        <w:rPr>
          <w:rFonts w:hint="eastAsia"/>
          <w:lang w:eastAsia="zh-CN"/>
        </w:rPr>
      </w:pPr>
      <w:r>
        <w:rPr>
          <w:rFonts w:hint="eastAsia"/>
          <w:lang w:eastAsia="zh-CN"/>
        </w:rPr>
        <w:t>从产品类型来看，织物包覆V带是最大的细分市场，2023年占比将达到64.4%。</w:t>
      </w:r>
    </w:p>
    <w:p>
      <w:pPr>
        <w:pStyle w:val="148"/>
        <w:rPr>
          <w:lang w:eastAsia="zh-CN"/>
        </w:rPr>
      </w:pPr>
      <w:r>
        <w:rPr>
          <w:rFonts w:hint="eastAsia"/>
          <w:lang w:eastAsia="zh-CN"/>
        </w:rPr>
        <w:t>全球</w:t>
      </w:r>
      <w:r>
        <w:rPr>
          <w:lang w:eastAsia="zh-CN"/>
        </w:rPr>
        <w:t>橡胶V带</w:t>
      </w:r>
      <w:r>
        <w:rPr>
          <w:rFonts w:hint="eastAsia"/>
          <w:lang w:eastAsia="zh-CN"/>
        </w:rPr>
        <w:t>市场规模，按应用细分</w:t>
      </w:r>
    </w:p>
    <w:p>
      <w:pPr>
        <w:pStyle w:val="145"/>
        <w:jc w:val="center"/>
      </w:pPr>
      <w:r>
        <w:drawing>
          <wp:inline distT="0" distB="0" distL="0" distR="0">
            <wp:extent cx="5785485" cy="2883535"/>
            <wp:effectExtent l="0" t="0" r="5715" b="0"/>
            <wp:docPr id="205834275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8342752"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5785485" cy="2883535"/>
                    </a:xfrm>
                    <a:prstGeom prst="rect">
                      <a:avLst/>
                    </a:prstGeom>
                    <a:noFill/>
                  </pic:spPr>
                </pic:pic>
              </a:graphicData>
            </a:graphic>
          </wp:inline>
        </w:drawing>
      </w:r>
    </w:p>
    <w:p>
      <w:pPr>
        <w:pStyle w:val="143"/>
        <w:rPr>
          <w:lang w:eastAsia="zh-CN"/>
        </w:rPr>
      </w:pPr>
      <w:r>
        <w:rPr>
          <w:rFonts w:hint="eastAsia"/>
          <w:lang w:eastAsia="zh-CN"/>
        </w:rPr>
        <w:t>如上图表/数据，摘自QYResearch最新报告“全球</w:t>
      </w:r>
      <w:r>
        <w:rPr>
          <w:lang w:eastAsia="zh-CN"/>
        </w:rPr>
        <w:t>橡胶V带</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就产品类型而言，目前工业机械领域是最主要的需求来源，占据大约</w:t>
      </w:r>
      <w:r>
        <w:rPr>
          <w:lang w:eastAsia="zh-CN"/>
        </w:rPr>
        <w:t>49.9%</w:t>
      </w:r>
      <w:r>
        <w:rPr>
          <w:rFonts w:hint="eastAsia"/>
          <w:lang w:eastAsia="zh-CN"/>
        </w:rPr>
        <w:t>的份额。</w:t>
      </w:r>
    </w:p>
    <w:p>
      <w:pPr>
        <w:widowControl/>
        <w:topLinePunct w:val="0"/>
        <w:spacing w:after="0"/>
        <w:jc w:val="left"/>
        <w:rPr>
          <w:lang w:eastAsia="zh-CN"/>
        </w:rPr>
      </w:pPr>
      <w:r>
        <w:br w:type="page"/>
      </w:r>
      <w:bookmarkEnd w:id="1"/>
      <w:bookmarkEnd w:id="2"/>
      <w:bookmarkEnd w:id="3"/>
      <w:bookmarkEnd w:id="4"/>
      <w:bookmarkEnd w:id="5"/>
      <w:bookmarkEnd w:id="6"/>
      <w:bookmarkEnd w:id="7"/>
      <w:bookmarkEnd w:id="8"/>
      <w:bookmarkEnd w:id="9"/>
      <w:bookmarkEnd w:id="10"/>
      <w:bookmarkEnd w:id="11"/>
      <w:bookmarkEnd w:id="12"/>
      <w:bookmarkEnd w:id="13"/>
      <w:bookmarkStart w:id="14" w:name="_GoBack"/>
      <w:bookmarkEnd w:id="14"/>
    </w:p>
    <w:p>
      <w:pPr>
        <w:pStyle w:val="167"/>
        <w:rPr>
          <w:lang w:eastAsia="zh-CN"/>
        </w:rPr>
      </w:pPr>
      <w:r>
        <w:rPr>
          <w:lang w:eastAsia="zh-CN"/>
        </w:rPr>
        <w:t>QYResearch</w:t>
      </w:r>
      <w:r>
        <w:rPr>
          <w:rFonts w:hint="eastAsia"/>
          <w:lang w:eastAsia="zh-CN"/>
        </w:rPr>
        <w:t>简介</w:t>
      </w:r>
    </w:p>
    <w:p>
      <w:pPr>
        <w:pStyle w:val="145"/>
        <w:rPr>
          <w:lang w:eastAsia="zh-CN"/>
        </w:rPr>
      </w:pPr>
      <w:r>
        <w:rPr>
          <w:rFonts w:hint="eastAsia"/>
          <w:lang w:eastAsia="zh-CN"/>
        </w:rPr>
        <w:t>QYResearch于2007年成立于美国加利福尼亚州，是全球领先的市场研究和咨询公司。 拥有超过16年的经验和遍布全球各个城市的专业研究团队，QY Research专注于管理咨询、数据库和研讨会服务、IPO咨询、产业链研究和定制研究，帮助我们的客户提供非线性收入模式，使 他们成功了。 我们因广泛的服务组合、良好的企业公民意识以及对可持续发展的坚定承诺而获得全球认可。 截至目前，我们已与五大洲超过60,000家客户合作。 让我们与您密切合作，共创美好的未来。</w:t>
      </w:r>
    </w:p>
    <w:p>
      <w:pPr>
        <w:pStyle w:val="145"/>
        <w:rPr>
          <w:lang w:eastAsia="zh-CN"/>
        </w:rPr>
      </w:pPr>
      <w:r>
        <w:rPr>
          <w:rFonts w:hint="eastAsia"/>
          <w:lang w:eastAsia="zh-CN"/>
        </w:rPr>
        <w:t>QYResearch是一家全球知名的大型咨询公司。 行业涵盖高科技产业链各个细分市场，横跨半导体产业链（半导体设备及零部件、半导体材料、集成电路、晶圆代工、封装测试、分立器件、传感器、光电器件）、光伏产业链（设备、电池片） 、模组、辅助材料支架、逆变器、电站终端）、新能源汽车产业链（电池及材料、汽车零部件、电池、电机、电控、汽车半导体等）、通信产业链（通信系统设备、终端 设备、电子元器件、射频前端、光模块、4G/5G/6G、宽带、物联网、数字经济、人工智能）、先进材料产业链（金属材料、高分子材料、陶瓷材料、纳米材料等）、 机械制造产业链（数控机床、工程机械、电机、3C自动化、工业机器人、激光、工控、无人机）、食品饮料医药、医疗器械、农业等。</w:t>
      </w:r>
    </w:p>
    <w:sectPr>
      <w:pgSz w:w="11906" w:h="16838"/>
      <w:pgMar w:top="1440" w:right="1080" w:bottom="1440" w:left="1080" w:header="709" w:footer="56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Light">
    <w:altName w:val="宋体"/>
    <w:panose1 w:val="02010600030101010101"/>
    <w:charset w:val="86"/>
    <w:family w:val="auto"/>
    <w:pitch w:val="default"/>
    <w:sig w:usb0="00000000" w:usb1="00000000" w:usb2="00000016" w:usb3="00000000" w:csb0="0004000F" w:csb1="00000000"/>
  </w:font>
  <w:font w:name="Book Antiqua">
    <w:altName w:val="Segoe Print"/>
    <w:panose1 w:val="02040602050305030304"/>
    <w:charset w:val="00"/>
    <w:family w:val="roman"/>
    <w:pitch w:val="default"/>
    <w:sig w:usb0="00000000" w:usb1="00000000" w:usb2="00000000" w:usb3="00000000" w:csb0="2000009F" w:csb1="DFD7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icrosoft YaHei UI">
    <w:altName w:val="宋体"/>
    <w:panose1 w:val="020B0503020204020204"/>
    <w:charset w:val="86"/>
    <w:family w:val="swiss"/>
    <w:pitch w:val="default"/>
    <w:sig w:usb0="00000000" w:usb1="00000000" w:usb2="00000016" w:usb3="00000000" w:csb0="0004001F" w:csb1="00000000"/>
  </w:font>
  <w:font w:name="Century Gothic">
    <w:altName w:val="Segoe Print"/>
    <w:panose1 w:val="020B0502020202020204"/>
    <w:charset w:val="00"/>
    <w:family w:val="swiss"/>
    <w:pitch w:val="default"/>
    <w:sig w:usb0="00000000" w:usb1="00000000" w:usb2="00000000" w:usb3="00000000" w:csb0="0000009F" w:csb1="00000000"/>
  </w:font>
  <w:font w:name="Segoe Print">
    <w:panose1 w:val="02000600000000000000"/>
    <w:charset w:val="00"/>
    <w:family w:val="auto"/>
    <w:pitch w:val="default"/>
    <w:sig w:usb0="0000028F" w:usb1="00000000" w:usb2="00000000" w:usb3="00000000" w:csb0="2000009F" w:csb1="47010000"/>
  </w:font>
  <w:font w:name="等线 Light">
    <w:altName w:val="Segoe Print"/>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ZTA5ZDQ3NWE4ZjMxYjI3YzM5ZGFlMGQxODk1NDA3MmIifQ=="/>
  </w:docVars>
  <w:rsids>
    <w:rsidRoot w:val="00D33EE2"/>
    <w:rsid w:val="000002E5"/>
    <w:rsid w:val="0000037A"/>
    <w:rsid w:val="0000040F"/>
    <w:rsid w:val="0000064D"/>
    <w:rsid w:val="00000877"/>
    <w:rsid w:val="00000A89"/>
    <w:rsid w:val="00000CBB"/>
    <w:rsid w:val="00001917"/>
    <w:rsid w:val="00001B99"/>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19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6AE"/>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4CA"/>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207"/>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534"/>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360"/>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608"/>
    <w:rsid w:val="00574769"/>
    <w:rsid w:val="0057477D"/>
    <w:rsid w:val="005747B8"/>
    <w:rsid w:val="00574B8E"/>
    <w:rsid w:val="00574CBE"/>
    <w:rsid w:val="00574D00"/>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389"/>
    <w:rsid w:val="00634487"/>
    <w:rsid w:val="006344EE"/>
    <w:rsid w:val="00634580"/>
    <w:rsid w:val="006346F1"/>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C8"/>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08"/>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7B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4B"/>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1D14"/>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DD4"/>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3F86"/>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48"/>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0DB"/>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C1"/>
    <w:rsid w:val="00CD37E8"/>
    <w:rsid w:val="00CD384C"/>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40B00895"/>
    <w:rsid w:val="58B17B42"/>
    <w:rsid w:val="687220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unhideWhenUsed/>
    <w:qFormat/>
    <w:uiPriority w:val="39"/>
    <w:pPr>
      <w:ind w:left="1680" w:leftChars="800"/>
    </w:pPr>
  </w:style>
  <w:style w:type="paragraph" w:styleId="15">
    <w:name w:val="toc 3"/>
    <w:basedOn w:val="1"/>
    <w:next w:val="1"/>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unhideWhenUsed/>
    <w:qFormat/>
    <w:uiPriority w:val="39"/>
  </w:style>
  <w:style w:type="paragraph" w:styleId="28">
    <w:name w:val="table of figures"/>
    <w:next w:val="1"/>
    <w:qFormat/>
    <w:uiPriority w:val="99"/>
    <w:pPr>
      <w:widowControl w:val="0"/>
      <w:tabs>
        <w:tab w:val="right" w:leader="dot" w:pos="9736"/>
      </w:tabs>
      <w:topLinePunct/>
      <w:spacing w:line="312" w:lineRule="auto"/>
      <w:ind w:left="879" w:hanging="879"/>
    </w:pPr>
    <w:rPr>
      <w:rFonts w:ascii="Frutiger" w:hAnsi="Frutiger" w:eastAsia="宋体" w:cstheme="minorBidi"/>
      <w:kern w:val="2"/>
      <w:lang w:val="en-US" w:eastAsia="zh-CN" w:bidi="ar-SA"/>
    </w:rPr>
  </w:style>
  <w:style w:type="paragraph" w:styleId="29">
    <w:name w:val="toc 2"/>
    <w:basedOn w:val="24"/>
    <w:next w:val="24"/>
    <w:link w:val="157"/>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标题1"/>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qFormat/>
    <w:uiPriority w:val="0"/>
    <w:pPr>
      <w:ind w:left="842" w:hanging="422"/>
    </w:pPr>
    <w:rPr>
      <w:rFonts w:cs="宋体"/>
    </w:rPr>
  </w:style>
  <w:style w:type="paragraph" w:customStyle="1" w:styleId="124">
    <w:name w:val="样式 图表目录 + 左侧:  2 字符 悬挂缩进: 2 字符1"/>
    <w:basedOn w:val="28"/>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qFormat/>
    <w:uiPriority w:val="0"/>
    <w:pPr>
      <w:pBdr>
        <w:bottom w:val="single" w:color="auto" w:sz="4" w:space="6"/>
      </w:pBdr>
      <w:spacing w:after="160"/>
    </w:pPr>
    <w:rPr>
      <w:rFonts w:ascii="Calibri" w:hAnsi="Calibri" w:cs="Calibri" w:eastAsiaTheme="minorEastAsia"/>
      <w:b/>
      <w:caps/>
      <w:color w:val="2E75B6" w:themeColor="accent1" w:themeShade="BF"/>
      <w:spacing w:val="-3"/>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240" w:after="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imes New Roman" w:hAnsi="Times New Roman" w:eastAsia="宋体"/>
      <w:color w:val="0D0D0D" w:themeColor="text1" w:themeTint="F2"/>
      <w:kern w:val="0"/>
      <w:sz w:val="22"/>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清单表 2 - 着色 41"/>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清单表 1 浅色 - 着色 1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清单表 2 - 着色 21"/>
    <w:basedOn w:val="34"/>
    <w:qFormat/>
    <w:uiPriority w:val="47"/>
    <w:rPr>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sz w:val="22"/>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网格表 21"/>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网格表 2 - 着色 41"/>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网格表 2 - 着色 51"/>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清单表 2 - 着色 51"/>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清单表 1 浅色 - 着色 51"/>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sz w:val="21"/>
      <w:szCs w:val="22"/>
      <w:lang w:val="en-IN" w:eastAsia="en-US" w:bidi="ar-SA"/>
    </w:rPr>
  </w:style>
  <w:style w:type="character" w:customStyle="1" w:styleId="204">
    <w:name w:val="未处理的提及6"/>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24037;&#20316;\QYR\03%20&#23459;&#20256;&#35838;&#39064;\&#24050;&#20570;\&#27233;&#33014;v&#24102;\&#27233;&#33014;v&#2410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400" b="0" i="0" u="none" strike="noStrike" kern="1200" spc="0" baseline="0">
                <a:solidFill>
                  <a:sysClr val="windowText" lastClr="000000">
                    <a:lumMod val="65000"/>
                    <a:lumOff val="35000"/>
                  </a:sysClr>
                </a:solidFill>
                <a:latin typeface="Book Antiqua" panose="02040602050305030304" pitchFamily="1" charset="0"/>
              </a:rPr>
              <a:t>Global Major Players and Ranking</a:t>
            </a:r>
            <a:endParaRPr lang="en-US" altLang="zh-CN" sz="1400" b="0" i="0" u="none" strike="noStrike" kern="1200" spc="0" baseline="0">
              <a:solidFill>
                <a:sysClr val="windowText" lastClr="000000">
                  <a:lumMod val="65000"/>
                  <a:lumOff val="35000"/>
                </a:sysClr>
              </a:solidFill>
              <a:latin typeface="Book Antiqua" panose="02040602050305030304" pitchFamily="1" charset="0"/>
            </a:endParaRPr>
          </a:p>
        </c:rich>
      </c:tx>
      <c:layout/>
      <c:overlay val="0"/>
      <c:spPr>
        <a:noFill/>
        <a:ln>
          <a:noFill/>
        </a:ln>
        <a:effectLst/>
      </c:spPr>
    </c:title>
    <c:autoTitleDeleted val="0"/>
    <c:plotArea>
      <c:layout/>
      <c:barChart>
        <c:barDir val="bar"/>
        <c:grouping val="clustered"/>
        <c:varyColors val="1"/>
        <c:ser>
          <c:idx val="0"/>
          <c:order val="0"/>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Lbls>
            <c:delete val="1"/>
          </c:dLbls>
          <c:cat>
            <c:strRef>
              <c:f>中文!$A$26:$A$38</c:f>
              <c:strCache>
                <c:ptCount val="13"/>
                <c:pt idx="0">
                  <c:v>Gates</c:v>
                </c:pt>
                <c:pt idx="1">
                  <c:v>MITSUBOSHI</c:v>
                </c:pt>
                <c:pt idx="2">
                  <c:v>Bando</c:v>
                </c:pt>
                <c:pt idx="3">
                  <c:v>Fenner</c:v>
                </c:pt>
                <c:pt idx="4">
                  <c:v>三力士</c:v>
                </c:pt>
                <c:pt idx="5">
                  <c:v>Optibelt GmbH</c:v>
                </c:pt>
                <c:pt idx="6">
                  <c:v>HUTCHINSON</c:v>
                </c:pt>
                <c:pt idx="7">
                  <c:v>Continental</c:v>
                </c:pt>
                <c:pt idx="8">
                  <c:v>Megadyne</c:v>
                </c:pt>
                <c:pt idx="9">
                  <c:v>Dayco</c:v>
                </c:pt>
                <c:pt idx="10">
                  <c:v>OMFA Rubbers</c:v>
                </c:pt>
                <c:pt idx="11">
                  <c:v>三维股份</c:v>
                </c:pt>
                <c:pt idx="12">
                  <c:v>保尔力</c:v>
                </c:pt>
              </c:strCache>
            </c:strRef>
          </c:cat>
          <c:val>
            <c:numRef>
              <c:f>中文!$B$26:$B$38</c:f>
              <c:numCache>
                <c:formatCode>0.00%</c:formatCode>
                <c:ptCount val="13"/>
                <c:pt idx="0">
                  <c:v>0.319986934864858</c:v>
                </c:pt>
                <c:pt idx="1">
                  <c:v>0.143825362693595</c:v>
                </c:pt>
                <c:pt idx="2">
                  <c:v>0.114211056370614</c:v>
                </c:pt>
                <c:pt idx="3">
                  <c:v>0.0648357331446147</c:v>
                </c:pt>
                <c:pt idx="4">
                  <c:v>0.0626309915893193</c:v>
                </c:pt>
                <c:pt idx="5">
                  <c:v>0.0512534364027328</c:v>
                </c:pt>
                <c:pt idx="6">
                  <c:v>0.0385693677018972</c:v>
                </c:pt>
                <c:pt idx="7">
                  <c:v>0.036691254525164</c:v>
                </c:pt>
                <c:pt idx="8">
                  <c:v>0.0185905985465037</c:v>
                </c:pt>
                <c:pt idx="9">
                  <c:v>0.0105337652086339</c:v>
                </c:pt>
                <c:pt idx="10">
                  <c:v>0.00903671847355671</c:v>
                </c:pt>
                <c:pt idx="11">
                  <c:v>0.00903671847355671</c:v>
                </c:pt>
                <c:pt idx="12">
                  <c:v>0.00685919594980811</c:v>
                </c:pt>
              </c:numCache>
            </c:numRef>
          </c:val>
        </c:ser>
        <c:dLbls>
          <c:showLegendKey val="0"/>
          <c:showVal val="0"/>
          <c:showCatName val="0"/>
          <c:showSerName val="0"/>
          <c:showPercent val="0"/>
          <c:showBubbleSize val="0"/>
        </c:dLbls>
        <c:gapWidth val="100"/>
        <c:axId val="1225949871"/>
        <c:axId val="756481567"/>
      </c:barChart>
      <c:catAx>
        <c:axId val="1225949871"/>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56481567"/>
        <c:crosses val="autoZero"/>
        <c:auto val="1"/>
        <c:lblAlgn val="ctr"/>
        <c:lblOffset val="100"/>
        <c:noMultiLvlLbl val="0"/>
      </c:catAx>
      <c:valAx>
        <c:axId val="756481567"/>
        <c:scaling>
          <c:orientation val="minMax"/>
        </c:scaling>
        <c:delete val="0"/>
        <c:axPos val="t"/>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25949871"/>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32"/>
    <customShpInfo spid="_x0000_s1031"/>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5</Pages>
  <Words>1338</Words>
  <Characters>1525</Characters>
  <Lines>11</Lines>
  <Paragraphs>3</Paragraphs>
  <TotalTime>41</TotalTime>
  <ScaleCrop>false</ScaleCrop>
  <LinksUpToDate>false</LinksUpToDate>
  <CharactersWithSpaces>1553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Administrator</cp:lastModifiedBy>
  <dcterms:modified xsi:type="dcterms:W3CDTF">2023-11-06T07:26:41Z</dcterms:modified>
  <cp:revision>754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0A67EF70951D4B1AB634B69B827254F7_13</vt:lpwstr>
  </property>
</Properties>
</file>