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如何在经济下行环境中通过AI+数智应用提升技术转移服务的实际效能？</w:t>
      </w:r>
    </w:p>
    <w:p>
      <w:pPr>
        <w:ind w:left="0" w:right="0" w:firstLine="0"/>
        <w:jc w:val="center"/>
      </w:pPr>
      <w:r>
        <w:t>观点作者：科易网AI+技术转移研究院</w:t>
      </w:r>
    </w:p>
    <w:p>
      <w:pPr>
        <w:ind w:firstLine="480"/>
      </w:pPr>
      <w:r>
        <w:t>当前，全球经济增速放缓与国内产业结构调整叠加的双重压力下，科技成果转化作为连接创新链与产业链的关键纽带，其效率直接关系到区域经济的韧性和发展潜力。然而，传统技术转移模式长期受制于信息不对称、评估体系缺失、供需匹配低效等瓶颈，导致大量科研成果沉淀在实验室阶段，难以转化为现实生产力。在此背景下，基于AI与大数据技术的数智化服务场景应运而生，为破解这一困局提供了新的路径。本文将从行业痛点出发，结合“AI+技术转移”的区域科技成果转化数智服务实践，探讨如何通过智能化工具重构服务流程、优化资源配置，最终实现技术转移效能的系统性提升。</w:t>
      </w:r>
    </w:p>
    <w:p>
      <w:pPr>
        <w:ind w:firstLine="480"/>
      </w:pPr>
      <w:r>
        <w:t xml:space="preserve"> 一、传统技术转移模式的结构性矛盾凸显</w:t>
      </w:r>
    </w:p>
    <w:p>
      <w:pPr>
        <w:ind w:firstLine="480"/>
      </w:pPr>
      <w:r>
        <w:t>在经济下行周期中，企业生存压力增大，对技术升级的需求从“可选消费”变为“刚需投入”，但供需两端的错配问题却愈发严重。一方面，高校院所的成果库中堆积着大量未经验证的理论模型和原型机，因缺乏商业化可行性分析而无人问津；另一方面，制造业企业面临设备老化、工艺落后等问题，却难以精准定位适合自身需求的成熟技术方案。这种矛盾的根源在于传统模式存在三大断层：一是评价标准单一化，过度依赖论文数量或专利授权量，忽视市场适配性与产业化潜力；二是需求挖掘浅表化，仅停留在显性需求层面，未能穿透至产业链深层的技术替代空间；三是服务手段割裂化，评估、匹配、谈判等环节依赖人工经验，效率低下且容易出错。例如，某省级技术交易中心数据显示，超过60%的挂牌项目因定价不合理或应用场景模糊而流标，反映出传统模式下成果价值的量化评估能力严重不足。</w:t>
      </w:r>
    </w:p>
    <w:p>
      <w:pPr>
        <w:ind w:firstLine="480"/>
      </w:pPr>
      <w:r>
        <w:t xml:space="preserve"> 二、AI驱动的数智服务体系重构转化逻辑</w:t>
      </w:r>
    </w:p>
    <w:p>
      <w:pPr>
        <w:ind w:firstLine="480"/>
      </w:pPr>
      <w:r>
        <w:t>针对上述痛点，“AI+技术转移”通过构建全链条智能化闭环，实现了三个维度的模式创新：</w:t>
      </w:r>
    </w:p>
    <w:p>
      <w:pPr>
        <w:ind w:firstLine="480"/>
      </w:pPr>
      <w:r>
        <w:t xml:space="preserve"> 1. 智能评估体系破解成果定价难题</w:t>
      </w:r>
    </w:p>
    <w:p>
      <w:pPr>
        <w:ind w:firstLine="480"/>
      </w:pPr>
      <w:r>
        <w:t>依托自主研发的“成果评价分析系统”，平台可自动抓取全球专利数据库、学术论文引用指数及行业竞品参数，运用自然语言处理技术解析技术文档中的创新点，并结合市场需求曲线生成动态估值模型。该模型不仅覆盖科学价值、技术成熟度等基础维度，还能模拟不同应用场景下的ROI（投资回报率），为供需双方提供可视化决策支持。例如，在生物医药领域，系统可通过分析临床试验阶段的成功率数据，预判候选药物的市场准入门槛，帮助科研团队提前调整研发策略。这种数据化的定价机制有效规避了主观判断带来的风险，使国有资产处置与市场化交易实现平衡。</w:t>
      </w:r>
    </w:p>
    <w:p>
      <w:pPr>
        <w:ind w:firstLine="480"/>
      </w:pPr>
      <w:r>
        <w:t xml:space="preserve"> 2. 需求图谱精准对接产业缺口</w:t>
      </w:r>
    </w:p>
    <w:p>
      <w:pPr>
        <w:ind w:firstLine="480"/>
      </w:pPr>
      <w:r>
        <w:t>基于企业生产经营数据的深度挖掘，“企业需求分析系统”能够识别隐性技术瓶颈。以装备制造行业为例，通过对设备运行日志的分析，可发现特定工况下的能耗异常波动点，进而推导出节能改造的技术需求清单。更关键的是，系统内置的“解决路径分析模块”能自动关联上下游供应链资源，推荐最优合作方——无论是选择自主研发还是外部引进，均能获得定制化路线图。这种由数据驱动的需求洞察方式，改变了以往“拍脑袋决策”的现状，使技术引进与企业战略形成有机衔接。</w:t>
      </w:r>
    </w:p>
    <w:p>
      <w:pPr>
        <w:ind w:firstLine="480"/>
      </w:pPr>
      <w:r>
        <w:t xml:space="preserve"> 3. 智能体矩阵激活服务生态网络</w:t>
      </w:r>
    </w:p>
    <w:p>
      <w:pPr>
        <w:ind w:firstLine="480"/>
      </w:pPr>
      <w:r>
        <w:t>区别于单向的信息推送，新一代成果转化平台以“任务型智能体”为核心入口，构建起多角色协同的工作台。当用户输入“寻找新能源汽车电池材料相关专利”时，后台不仅会返回排序后的专利列表，还能自动匹配潜在合作企业、政策补贴条目及投融资机构信息。特别值得关注的是，平台通过知识图谱技术将分散的技术要素串联成网状结构，使得原本孤立的创新主体得以在虚拟空间中组建动态联盟。这种网络化协作模式极大降低了中小企业参与重大技术攻关的门槛，推动产业链整体技术水平跃升。</w:t>
      </w:r>
    </w:p>
    <w:p>
      <w:pPr>
        <w:ind w:firstLine="480"/>
      </w:pPr>
      <w:r>
        <w:t xml:space="preserve"> 三、区域实践中的效能验证与价值释放</w:t>
      </w:r>
    </w:p>
    <w:p>
      <w:pPr>
        <w:ind w:firstLine="480"/>
      </w:pPr>
      <w:r>
        <w:t>在地方层面的探索已初步显现成效。以乌江实验室打造的贵州省科创服务数智平台为例，其集成的五大模块实现了从情报获取到落地实施的全流程数字化管理。其中，“技术研发模块”利用机器学习算法预测行业技术演进趋势，指导实验室优先布局前沿领域；“产业服务模块”则通过构建区域产业集群画像，精准推送适配的技术解决方案给目标企业。数据显示，接入该平台后，当地科研院所的技术合同成交额同比增长47%，而企业的技术转让费支出下降了23%，体现出供需匹配效率的显著提升。另一个典型案例是南通市科技信息研究所的应用实践，借助“科易数智应用平台”生成的技术图谱，研究人员得以直观呈现区域内主导产业的上下游关系，为政府制定产业扶持政策提供了量化依据。</w:t>
      </w:r>
    </w:p>
    <w:p>
      <w:pPr>
        <w:ind w:firstLine="480"/>
      </w:pPr>
      <w:r>
        <w:t xml:space="preserve"> 四、面向未来的生态共建策略</w:t>
      </w:r>
    </w:p>
    <w:p>
      <w:pPr>
        <w:ind w:firstLine="480"/>
      </w:pPr>
      <w:r>
        <w:t>要充分发挥AI技术的赋能作用，需着重培育三类新型基础设施：一是标准化的数据接口规范，确保跨部门、跨行业的信息系统互联互通；二是复合型人才梯队建设，既懂技术领域又熟悉商业模式的运营团队将成为关键节点；三是开放共享的算力资源池，为中小机构提供低成本的高阶分析工具。在此基础上，建议重点推进以下举措：建立区域性的技术成熟度认证中心，统一评估尺度；开发面向垂直领域的专用大模型，深化行业知识沉淀；搭建产学研用金服六位一体的创新联合体，形成利益共享机制。只有当这些要素形成有机整体时，才能真正释放出数智化转型的规模效应。</w:t>
      </w:r>
    </w:p>
    <w:p>
      <w:pPr>
        <w:ind w:firstLine="480"/>
      </w:pPr>
      <w:r>
        <w:t>在经济周期波动加剧的背景下，技术转移服务的数智化升级已不仅是效率提升的手段，更是重塑区域创新生态的战略支点。通过构建智能化的价值发现机制、需求响应机制和生态联动机制，我们有望突破传统模式的增长天花板，在存量竞争中开辟出增量发展空间。这需要政府、科研机构、企业和服务机构共同参与，以数据流动替代要素滞留，用算法信任弥补制度摩擦，最终实现科技创新与产业发展的同频共振。</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