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43AAD1">
      <w:pPr>
        <w:bidi w:val="0"/>
      </w:pPr>
      <w:bookmarkStart w:id="0" w:name="_Toc517262917"/>
      <w:bookmarkStart w:id="1" w:name="_Toc415818939"/>
      <w:bookmarkStart w:id="2" w:name="_Toc481801204"/>
      <w:bookmarkStart w:id="3" w:name="OLE_LINK40"/>
      <w:bookmarkStart w:id="4" w:name="OLE_LINK39"/>
      <w:bookmarkStart w:id="5" w:name="_Toc415142861"/>
      <w:bookmarkStart w:id="6" w:name="_Toc453597319"/>
      <w:bookmarkStart w:id="7" w:name="_Toc418070112"/>
      <w:bookmarkStart w:id="8" w:name="OLE_LINK24"/>
      <w:bookmarkStart w:id="9" w:name="_Toc438987549"/>
      <w:bookmarkStart w:id="10" w:name="OLE_LINK15"/>
      <w:bookmarkStart w:id="11" w:name="_Toc415143481"/>
      <w:bookmarkStart w:id="12" w:name="OLE_LINK13"/>
      <w:r>
        <w:rPr>
          <w:rFonts w:hint="eastAsia"/>
        </w:rPr>
        <w:t>汽车同轴供电（PoC）系统旨在通过同轴电缆传输电力和数据。 该技术适用于各种汽车应用，如摄像头系统、传感器和其他需要通过单根电缆传输电力和数据的车载设备。</w:t>
      </w:r>
    </w:p>
    <w:p w14:paraId="7B19FD41">
      <w:pPr>
        <w:bidi w:val="0"/>
      </w:pPr>
      <w:r>
        <w:rPr>
          <w:rFonts w:hint="eastAsia"/>
        </w:rPr>
        <w:t>汽车 PoC 系统中的电感器有多种用途，包括能量存储：电感器可以在磁场中存储能量，并在需要时释放能量。在PoC系统中，电感器可以缓解电压波动，从而帮助平稳供电。</w:t>
      </w:r>
    </w:p>
    <w:p w14:paraId="2F15A41F">
      <w:pPr>
        <w:bidi w:val="0"/>
      </w:pPr>
      <w:r>
        <w:rPr>
          <w:rFonts w:hint="eastAsia"/>
        </w:rPr>
        <w:t>滤波： 电感器用于滤波应用，可阻挡高频噪声，同时允许所需信号通过。在PoC系统中，电感器可帮助滤除电源线上不必要的EMI电磁干扰）。</w:t>
      </w:r>
    </w:p>
    <w:p w14:paraId="6C45F653">
      <w:pPr>
        <w:bidi w:val="0"/>
      </w:pPr>
      <w:r>
        <w:rPr>
          <w:rFonts w:hint="eastAsia"/>
        </w:rPr>
        <w:t>扼流圈：作为扼流圈，电感器可以防止交流电流通过直流输出，这对于保持信号完整性和减少信号失真非常重要。</w:t>
      </w:r>
    </w:p>
    <w:p w14:paraId="5307CFC7">
      <w:pPr>
        <w:bidi w:val="0"/>
      </w:pPr>
      <w:r>
        <w:rPr>
          <w:rFonts w:hint="eastAsia"/>
        </w:rPr>
        <w:t>在为汽车PoC应用选择电感器时，应考虑以下参数：</w:t>
      </w:r>
    </w:p>
    <w:p w14:paraId="6DBAE86C">
      <w:pPr>
        <w:bidi w:val="0"/>
      </w:pPr>
      <w:r>
        <w:rPr>
          <w:rFonts w:hint="eastAsia"/>
        </w:rPr>
        <w:t>额定电流： 电感器必须能够承受通过它的电流而不会饱和。由于PoC系统可以处理不同的功率水平，因此电感器的额定电流应该适当。</w:t>
      </w:r>
    </w:p>
    <w:p w14:paraId="36735CFD">
      <w:pPr>
        <w:bidi w:val="0"/>
      </w:pPr>
      <w:r>
        <w:rPr>
          <w:rFonts w:hint="eastAsia"/>
        </w:rPr>
        <w:t>直流电阻 (DCR)：较低的 DCR 值意味着电阻导致的功率损耗较小。这在高效应用中尤为重要。</w:t>
      </w:r>
    </w:p>
    <w:p w14:paraId="02C3232A">
      <w:pPr>
        <w:bidi w:val="0"/>
      </w:pPr>
      <w:r>
        <w:rPr>
          <w:rFonts w:hint="eastAsia"/>
        </w:rPr>
        <w:t>电感值：所需的电感值取决于具体应用和系统的工作频率。电感值的选择应满足滤波和储能的要求，同时不会引起谐振问题。</w:t>
      </w:r>
    </w:p>
    <w:p w14:paraId="1328C027">
      <w:pPr>
        <w:bidi w:val="0"/>
      </w:pPr>
      <w:r>
        <w:rPr>
          <w:rFonts w:hint="eastAsia"/>
        </w:rPr>
        <w:t>品质因数（Q 因子）：滤波应用中使用的电感器最好具有较高的Q因子，因为这表示效率较高。</w:t>
      </w:r>
    </w:p>
    <w:p w14:paraId="1D604CFF">
      <w:pPr>
        <w:bidi w:val="0"/>
      </w:pPr>
      <w:r>
        <w:rPr>
          <w:rFonts w:hint="eastAsia"/>
        </w:rPr>
        <w:t>尺寸和安装：汽车应用中的空间限制可能会决定电感器的物理尺寸。安装方式（如通孔或表面贴装技术）也是一个因素。</w:t>
      </w:r>
    </w:p>
    <w:p w14:paraId="12769F4B">
      <w:pPr>
        <w:bidi w:val="0"/>
      </w:pPr>
      <w:r>
        <w:rPr>
          <w:rFonts w:hint="eastAsia"/>
        </w:rPr>
        <w:t>温度范围：电感器应能承受汽车环境中的极端温度，通常为 -40°C 至 +125°C。</w:t>
      </w:r>
    </w:p>
    <w:p w14:paraId="6BC9ACC0">
      <w:pPr>
        <w:bidi w:val="0"/>
      </w:pPr>
      <w:r>
        <w:rPr>
          <w:rFonts w:hint="eastAsia"/>
        </w:rPr>
        <w:t>符合汽车标准：电感器应符合或超过 AEC-Q200 等行业标准，这是汽车电子元件的认证标准。</w:t>
      </w:r>
    </w:p>
    <w:p w14:paraId="32F53DE8">
      <w:pPr>
        <w:bidi w:val="0"/>
      </w:pPr>
      <w:r>
        <w:rPr>
          <w:rFonts w:hint="eastAsia"/>
        </w:rPr>
        <w:t>磁性材料：电感器的磁芯材料会影响其在不同频率和温度下的性能。铁氧体等材料因其稳定性和性能特点而常用。</w:t>
      </w:r>
    </w:p>
    <w:p w14:paraId="0554C660">
      <w:pPr>
        <w:bidi w:val="0"/>
        <w:rPr>
          <w:rFonts w:hint="eastAsia"/>
        </w:rPr>
      </w:pPr>
      <w:r>
        <w:rPr>
          <w:rFonts w:hint="eastAsia"/>
        </w:rPr>
        <w:t>在设计汽车PoC系统时，工程师可能会使用仿真软件来模拟整个系统中电感器的性能，以确保兼容性和最佳性能。同样重要的是，要在一系列工作条件下进行全面测试，以验证电感器在实际汽车应用中的性能。</w:t>
      </w:r>
    </w:p>
    <w:p w14:paraId="5F4C4715">
      <w:pPr>
        <w:widowControl/>
        <w:topLinePunct w:val="0"/>
        <w:spacing w:after="0"/>
        <w:rPr>
          <w:rFonts w:hint="eastAsia" w:ascii="Book Antiqua" w:hAnsi="Book Antiqua" w:cs="宋体"/>
          <w:kern w:val="0"/>
          <w:sz w:val="24"/>
          <w:szCs w:val="24"/>
        </w:rPr>
      </w:pPr>
    </w:p>
    <w:p w14:paraId="6DDBE756">
      <w:pPr>
        <w:bidi w:val="0"/>
      </w:pPr>
      <w:r>
        <w:t>据QYResearch调研团队最新报告“全球汽车同轴供电(PoC)电感器市场报告2024-2030”显示，预计2030年全球汽车同轴供电(PoC)电感器市场规模将达到4.1亿美元，未来几年年复合增长率CAGR为14.3%。</w:t>
      </w:r>
    </w:p>
    <w:p w14:paraId="3F6C2722">
      <w:pPr>
        <w:pStyle w:val="148"/>
        <w:numPr>
          <w:ilvl w:val="0"/>
          <w:numId w:val="0"/>
        </w:numPr>
        <w:ind w:leftChars="0"/>
        <w:rPr>
          <w:lang w:eastAsia="zh-CN"/>
        </w:rPr>
      </w:pPr>
      <w:r>
        <w:rPr>
          <w:lang w:eastAsia="zh-CN"/>
        </w:rPr>
        <w:t>汽车同轴供电(PoC)电感器</w:t>
      </w:r>
      <w:r>
        <w:rPr>
          <w:rFonts w:hint="eastAsia"/>
          <w:lang w:eastAsia="zh-CN"/>
        </w:rPr>
        <w:t>，全球市场总体规模</w:t>
      </w:r>
    </w:p>
    <w:p w14:paraId="4C2322E6">
      <w:pPr>
        <w:pStyle w:val="145"/>
        <w:rPr>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1851660</wp:posOffset>
                </wp:positionH>
                <wp:positionV relativeFrom="paragraph">
                  <wp:posOffset>1586865</wp:posOffset>
                </wp:positionV>
                <wp:extent cx="914400" cy="914400"/>
                <wp:effectExtent l="0" t="0" r="0" b="0"/>
                <wp:wrapNone/>
                <wp:docPr id="6" name="文本框 6"/>
                <wp:cNvGraphicFramePr/>
                <a:graphic xmlns:a="http://schemas.openxmlformats.org/drawingml/2006/main">
                  <a:graphicData uri="http://schemas.microsoft.com/office/word/2010/wordprocessingShape">
                    <wps:wsp>
                      <wps:cNvSpPr txBox="1"/>
                      <wps:spPr>
                        <a:xfrm>
                          <a:off x="2727960" y="3259455"/>
                          <a:ext cx="914400" cy="914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955B55">
                            <w:pPr>
                              <w:rPr>
                                <w:rFonts w:hint="default" w:eastAsia="宋体"/>
                                <w:lang w:val="en-US" w:eastAsia="zh-CN"/>
                              </w:rPr>
                            </w:pPr>
                            <w:r>
                              <w:rPr>
                                <w:rFonts w:hint="eastAsia"/>
                                <w:lang w:val="en-US" w:eastAsia="zh-CN"/>
                              </w:rPr>
                              <w:t>17.7%</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5.8pt;margin-top:124.95pt;height:72pt;width:72pt;z-index:251659264;mso-width-relative:page;mso-height-relative:page;" filled="f" stroked="f" coordsize="21600,21600" o:gfxdata="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nhzZr2wAAAAsBAAAPAAAAAAAAAAEAIAAA&#10;ACIAAABkcnMvZG93bnJldi54bWxQSwECFAAUAAAACACHTuJAOq1KfUICAABxBAAADgAAAAAAAAAB&#10;ACAAAAAqAQAAZHJzL2Uyb0RvYy54bWxQSwUGAAAAAAYABgBZAQAA3gUAAAAA&#10;">
                <v:fill on="f" focussize="0,0"/>
                <v:stroke on="f" weight="0.5pt"/>
                <v:imagedata o:title=""/>
                <o:lock v:ext="edit" aspectratio="f"/>
                <v:textbox>
                  <w:txbxContent>
                    <w:p w14:paraId="58955B55">
                      <w:pPr>
                        <w:rPr>
                          <w:rFonts w:hint="default" w:eastAsia="宋体"/>
                          <w:lang w:val="en-US" w:eastAsia="zh-CN"/>
                        </w:rPr>
                      </w:pPr>
                      <w:r>
                        <w:rPr>
                          <w:rFonts w:hint="eastAsia"/>
                          <w:lang w:val="en-US" w:eastAsia="zh-CN"/>
                        </w:rPr>
                        <w:t>17.7%</w:t>
                      </w:r>
                    </w:p>
                  </w:txbxContent>
                </v:textbox>
              </v:shape>
            </w:pict>
          </mc:Fallback>
        </mc:AlternateContent>
      </w:r>
      <w:r>
        <w:rPr>
          <w:sz w:val="21"/>
        </w:rPr>
        <mc:AlternateContent>
          <mc:Choice Requires="wps">
            <w:drawing>
              <wp:anchor distT="0" distB="0" distL="114300" distR="114300" simplePos="0" relativeHeight="251660288" behindDoc="0" locked="0" layoutInCell="1" allowOverlap="1">
                <wp:simplePos x="0" y="0"/>
                <wp:positionH relativeFrom="column">
                  <wp:posOffset>3796665</wp:posOffset>
                </wp:positionH>
                <wp:positionV relativeFrom="paragraph">
                  <wp:posOffset>951230</wp:posOffset>
                </wp:positionV>
                <wp:extent cx="914400" cy="9144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914400" cy="914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0DDAC9">
                            <w:pPr>
                              <w:rPr>
                                <w:rFonts w:hint="default" w:eastAsia="宋体"/>
                                <w:lang w:val="en-US" w:eastAsia="zh-CN"/>
                              </w:rPr>
                            </w:pPr>
                            <w:r>
                              <w:rPr>
                                <w:rFonts w:hint="eastAsia"/>
                                <w:lang w:val="en-US" w:eastAsia="zh-CN"/>
                              </w:rPr>
                              <w:t>14.3%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8.95pt;margin-top:74.9pt;height:72pt;width:72pt;z-index:251660288;mso-width-relative:page;mso-height-relative:page;" filled="f" stroked="f" coordsize="21600,21600" o:gfxdata="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Pxdyj3AAAAAsBAAAPAAAAAAAAAAEAIAAAACIAAABkcnMvZG93&#10;bnJldi54bWxQSwECFAAUAAAACACHTuJAND/TkjUCAABlBAAADgAAAAAAAAABACAAAAArAQAAZHJz&#10;L2Uyb0RvYy54bWxQSwUGAAAAAAYABgBZAQAA0gUAAAAA&#10;">
                <v:fill on="f" focussize="0,0"/>
                <v:stroke on="f" weight="0.5pt"/>
                <v:imagedata o:title=""/>
                <o:lock v:ext="edit" aspectratio="f"/>
                <v:textbox>
                  <w:txbxContent>
                    <w:p w14:paraId="670DDAC9">
                      <w:pPr>
                        <w:rPr>
                          <w:rFonts w:hint="default" w:eastAsia="宋体"/>
                          <w:lang w:val="en-US" w:eastAsia="zh-CN"/>
                        </w:rPr>
                      </w:pPr>
                      <w:r>
                        <w:rPr>
                          <w:rFonts w:hint="eastAsia"/>
                          <w:lang w:val="en-US" w:eastAsia="zh-CN"/>
                        </w:rPr>
                        <w:t>14.3%</w:t>
                      </w:r>
                    </w:p>
                  </w:txbxContent>
                </v:textbox>
              </v:shape>
            </w:pict>
          </mc:Fallback>
        </mc:AlternateContent>
      </w:r>
      <w:r>
        <w:rPr>
          <w:lang w:val="en-US" w:eastAsia="zh-CN"/>
        </w:rPr>
        <w:drawing>
          <wp:inline distT="0" distB="0" distL="0" distR="0">
            <wp:extent cx="6188710" cy="2954655"/>
            <wp:effectExtent l="0" t="0" r="2540" b="1714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r>
        <w:rPr>
          <w:rFonts w:hint="eastAsia"/>
          <w:lang w:eastAsia="zh-CN"/>
        </w:rPr>
        <w:t>来源：QYResearch 电子半导体研究中心</w:t>
      </w:r>
    </w:p>
    <w:p w14:paraId="736F8076">
      <w:pPr>
        <w:pStyle w:val="145"/>
        <w:rPr>
          <w:lang w:eastAsia="zh-CN"/>
        </w:rPr>
      </w:pPr>
      <w:r>
        <w:rPr>
          <w:rFonts w:hint="eastAsia"/>
          <w:lang w:eastAsia="zh-CN"/>
        </w:rPr>
        <w:t>由于汽车应用对高效电力传输和信号完整性的需求日益增长，汽车同轴电缆供电（PoC）市场出现了显著增长。电感器在PoC系统中发挥着至关重要的作用，因为它们可用于储能、滤波和阻抗匹配。</w:t>
      </w:r>
    </w:p>
    <w:p w14:paraId="17A01BD1">
      <w:pPr>
        <w:pStyle w:val="145"/>
        <w:rPr>
          <w:lang w:eastAsia="zh-CN"/>
        </w:rPr>
      </w:pPr>
      <w:r>
        <w:rPr>
          <w:rFonts w:hint="eastAsia"/>
          <w:lang w:eastAsia="zh-CN"/>
        </w:rPr>
        <w:t>市场概述：</w:t>
      </w:r>
    </w:p>
    <w:p w14:paraId="7457D898">
      <w:pPr>
        <w:pStyle w:val="145"/>
        <w:rPr>
          <w:lang w:eastAsia="zh-CN"/>
        </w:rPr>
      </w:pPr>
      <w:r>
        <w:rPr>
          <w:rFonts w:hint="eastAsia"/>
          <w:lang w:eastAsia="zh-CN"/>
        </w:rPr>
        <w:t>电动汽车（EV）的增长：电动汽车产量的增长是PoC市场的重要推动力。电感器对于管理电动汽车中的电源和信号完整性至关重要，尤其是在高压系统中。</w:t>
      </w:r>
    </w:p>
    <w:p w14:paraId="691D3DD8">
      <w:pPr>
        <w:pStyle w:val="145"/>
        <w:rPr>
          <w:lang w:eastAsia="zh-CN"/>
        </w:rPr>
      </w:pPr>
      <w:r>
        <w:rPr>
          <w:rFonts w:hint="eastAsia"/>
          <w:lang w:eastAsia="zh-CN"/>
        </w:rPr>
        <w:t>高级驾驶辅助系统 (ADAS)：现代汽车越来越多地采用ADAS系统，这也推动了对 PoC 解决方案的需求。电感器用于摄像头模块、雷达系统和激光雷达传感器，这些都是 ADAS 的重要组成部分。</w:t>
      </w:r>
    </w:p>
    <w:p w14:paraId="12FD9BEF">
      <w:pPr>
        <w:pStyle w:val="145"/>
        <w:rPr>
          <w:lang w:eastAsia="zh-CN"/>
        </w:rPr>
      </w:pPr>
      <w:r>
        <w:rPr>
          <w:rFonts w:hint="eastAsia"/>
          <w:lang w:eastAsia="zh-CN"/>
        </w:rPr>
        <w:t>集成化和微型化：随着汽车的联网程度越来越高，需要的功能也越来越多，因此人们越来越倾向于将多种功能集成到一个模块中，这就导致了对紧凑型高性能电感器的需求。</w:t>
      </w:r>
    </w:p>
    <w:p w14:paraId="720E31E2">
      <w:pPr>
        <w:pStyle w:val="148"/>
        <w:numPr>
          <w:ilvl w:val="0"/>
          <w:numId w:val="0"/>
        </w:numPr>
        <w:ind w:leftChars="0"/>
        <w:rPr>
          <w:lang w:eastAsia="zh-CN"/>
        </w:rPr>
      </w:pPr>
      <w:r>
        <w:rPr>
          <w:rFonts w:hint="eastAsia"/>
          <w:lang w:eastAsia="zh-CN"/>
        </w:rPr>
        <w:t>全球</w:t>
      </w:r>
      <w:r>
        <w:rPr>
          <w:lang w:eastAsia="zh-CN"/>
        </w:rPr>
        <w:t>汽车同轴供电(PoC)电感器</w:t>
      </w:r>
      <w:r>
        <w:rPr>
          <w:rFonts w:hint="eastAsia"/>
          <w:lang w:eastAsia="zh-CN"/>
        </w:rPr>
        <w:t>市场前</w:t>
      </w:r>
      <w:r>
        <w:rPr>
          <w:lang w:eastAsia="zh-CN"/>
        </w:rPr>
        <w:t>5</w:t>
      </w:r>
      <w:r>
        <w:rPr>
          <w:rFonts w:hint="eastAsia"/>
          <w:lang w:eastAsia="zh-CN"/>
        </w:rPr>
        <w:t>强生产商排名及市场占有率（基于2</w:t>
      </w:r>
      <w:r>
        <w:rPr>
          <w:lang w:eastAsia="zh-CN"/>
        </w:rPr>
        <w:t>023</w:t>
      </w:r>
      <w:r>
        <w:rPr>
          <w:rFonts w:hint="eastAsia"/>
          <w:lang w:eastAsia="zh-CN"/>
        </w:rPr>
        <w:t>年调研数据；目前最新数据以本公司最新调研数据为准）</w:t>
      </w:r>
    </w:p>
    <w:p w14:paraId="7DB62EFA">
      <w:pPr>
        <w:widowControl/>
        <w:topLinePunct w:val="0"/>
        <w:spacing w:after="0"/>
        <w:jc w:val="center"/>
      </w:pPr>
      <w:r>
        <w:drawing>
          <wp:inline distT="0" distB="0" distL="0" distR="0">
            <wp:extent cx="4845050" cy="4839335"/>
            <wp:effectExtent l="0" t="0" r="12700" b="1841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5A600155">
      <w:pPr>
        <w:widowControl/>
        <w:topLinePunct w:val="0"/>
        <w:spacing w:after="0"/>
        <w:jc w:val="center"/>
        <w:rPr>
          <w:rFonts w:hint="eastAsia"/>
          <w:lang w:eastAsia="zh-CN"/>
        </w:rPr>
      </w:pPr>
      <w:r>
        <w:rPr>
          <w:rFonts w:hint="eastAsia"/>
          <w:lang w:eastAsia="zh-CN"/>
        </w:rPr>
        <w:t>来源：QYResearch 电子半导体研究中心。行业处于不断变动之中，最新数据请联系QYResearch咨询。</w:t>
      </w:r>
    </w:p>
    <w:p w14:paraId="3117E0BE">
      <w:pPr>
        <w:widowControl/>
        <w:topLinePunct w:val="0"/>
        <w:spacing w:after="0"/>
        <w:jc w:val="center"/>
        <w:rPr>
          <w:rFonts w:hint="eastAsia"/>
          <w:lang w:eastAsia="zh-CN"/>
        </w:rPr>
      </w:pPr>
    </w:p>
    <w:p w14:paraId="59D79B29">
      <w:pPr>
        <w:widowControl/>
        <w:topLinePunct w:val="0"/>
        <w:spacing w:after="0"/>
        <w:rPr>
          <w:rFonts w:ascii="Times New Roman" w:hAnsi="Times New Roman" w:cs="Times New Roman"/>
          <w:kern w:val="0"/>
          <w:sz w:val="22"/>
          <w:szCs w:val="22"/>
        </w:rPr>
      </w:pPr>
      <w:r>
        <w:rPr>
          <w:rFonts w:ascii="Times New Roman" w:hAnsi="Times New Roman" w:cs="Times New Roman"/>
          <w:kern w:val="0"/>
          <w:sz w:val="22"/>
          <w:szCs w:val="22"/>
        </w:rPr>
        <w:t>根据QYResearch头部企业研究中心调研，全球范围内汽车同轴供电(PoC)电感器生产商主要包括TDK、Murata等。2023年，全球前三大厂商占有大约71.0%的市场份额。</w:t>
      </w:r>
    </w:p>
    <w:p w14:paraId="679A3E3B">
      <w:pPr>
        <w:pStyle w:val="145"/>
        <w:rPr>
          <w:rFonts w:hint="eastAsia"/>
          <w:lang w:val="en-US" w:eastAsia="zh-CN"/>
        </w:rPr>
      </w:pPr>
    </w:p>
    <w:p w14:paraId="29E7A780">
      <w:pPr>
        <w:pStyle w:val="145"/>
        <w:rPr>
          <w:lang w:eastAsia="zh-CN"/>
        </w:rPr>
      </w:pPr>
    </w:p>
    <w:p w14:paraId="3B2E5865">
      <w:pPr>
        <w:pStyle w:val="145"/>
        <w:rPr>
          <w:lang w:eastAsia="zh-CN"/>
        </w:rPr>
      </w:pPr>
    </w:p>
    <w:p w14:paraId="3E6DE9A8">
      <w:pPr>
        <w:pStyle w:val="148"/>
        <w:numPr>
          <w:ilvl w:val="0"/>
          <w:numId w:val="0"/>
        </w:numPr>
        <w:ind w:leftChars="0"/>
        <w:rPr>
          <w:lang w:eastAsia="zh-CN"/>
        </w:rPr>
      </w:pPr>
      <w:r>
        <w:rPr>
          <w:lang w:eastAsia="zh-CN"/>
        </w:rPr>
        <w:t>汽车同轴供电(PoC)电感器</w:t>
      </w:r>
      <w:r>
        <w:rPr>
          <w:rFonts w:hint="eastAsia"/>
          <w:lang w:eastAsia="zh-CN"/>
        </w:rPr>
        <w:t>，全球市场规模，按产品类型细分，</w:t>
      </w:r>
      <w:r>
        <w:rPr>
          <w:rFonts w:ascii="Book Antiqua" w:hAnsi="Book Antiqua" w:cs="宋体"/>
          <w:sz w:val="22"/>
          <w:lang w:eastAsia="zh-CN"/>
        </w:rPr>
        <w:t>绕线铁氧体磁芯</w:t>
      </w:r>
      <w:r>
        <w:rPr>
          <w:rFonts w:hint="eastAsia"/>
          <w:lang w:eastAsia="zh-CN"/>
        </w:rPr>
        <w:t>处于主导地位</w:t>
      </w:r>
    </w:p>
    <w:p w14:paraId="55FE8DBF">
      <w:pPr>
        <w:pStyle w:val="145"/>
        <w:rPr>
          <w:rFonts w:hint="eastAsia"/>
          <w:lang w:eastAsia="zh-CN"/>
        </w:rPr>
      </w:pPr>
      <w:r>
        <w:rPr>
          <w:lang w:val="en-US" w:eastAsia="zh-CN"/>
        </w:rPr>
        <w:drawing>
          <wp:inline distT="0" distB="0" distL="0" distR="0">
            <wp:extent cx="6188710" cy="2922270"/>
            <wp:effectExtent l="0" t="0" r="2540" b="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Pr>
          <w:rFonts w:hint="eastAsia"/>
          <w:lang w:eastAsia="zh-CN"/>
        </w:rPr>
        <w:t>来源：QYResearch 电子半导体研究中心</w:t>
      </w:r>
    </w:p>
    <w:p w14:paraId="366760FD">
      <w:pPr>
        <w:pStyle w:val="145"/>
        <w:rPr>
          <w:rFonts w:hint="eastAsia"/>
          <w:lang w:eastAsia="zh-CN"/>
        </w:rPr>
      </w:pPr>
    </w:p>
    <w:p w14:paraId="41C3AE68">
      <w:pPr>
        <w:widowControl/>
        <w:topLinePunct w:val="0"/>
        <w:spacing w:after="0"/>
        <w:rPr>
          <w:lang w:val="en-US" w:eastAsia="zh-CN"/>
        </w:rPr>
      </w:pPr>
      <w:r>
        <w:rPr>
          <w:rFonts w:ascii="Book Antiqua" w:hAnsi="Book Antiqua" w:cs="宋体"/>
          <w:kern w:val="0"/>
          <w:sz w:val="22"/>
          <w:szCs w:val="22"/>
        </w:rPr>
        <w:t>就产品类型而言，目前绕线铁氧体磁芯类型是最主要的细分产品，占据大约69.0%的份额。</w:t>
      </w:r>
    </w:p>
    <w:p w14:paraId="0A4DB270">
      <w:pPr>
        <w:pStyle w:val="148"/>
        <w:numPr>
          <w:ilvl w:val="0"/>
          <w:numId w:val="0"/>
        </w:numPr>
        <w:ind w:leftChars="0"/>
        <w:rPr>
          <w:lang w:eastAsia="zh-CN"/>
        </w:rPr>
      </w:pPr>
      <w:r>
        <w:rPr>
          <w:lang w:eastAsia="zh-CN"/>
        </w:rPr>
        <w:t>汽车同轴供电(PoC)电感器</w:t>
      </w:r>
      <w:r>
        <w:rPr>
          <w:rFonts w:hint="eastAsia"/>
          <w:lang w:eastAsia="zh-CN"/>
        </w:rPr>
        <w:t>，全球市场规模，按应用细分，</w:t>
      </w:r>
      <w:r>
        <w:rPr>
          <w:rFonts w:ascii="Book Antiqua" w:hAnsi="Book Antiqua" w:cs="宋体"/>
          <w:sz w:val="22"/>
          <w:lang w:eastAsia="zh-CN"/>
        </w:rPr>
        <w:t>ADAS摄像头</w:t>
      </w:r>
      <w:r>
        <w:rPr>
          <w:rFonts w:hint="eastAsia"/>
          <w:lang w:eastAsia="zh-CN"/>
        </w:rPr>
        <w:t>是最大的下游市场</w:t>
      </w:r>
    </w:p>
    <w:p w14:paraId="4CF26C22">
      <w:pPr>
        <w:widowControl/>
        <w:topLinePunct w:val="0"/>
        <w:spacing w:after="0"/>
        <w:jc w:val="left"/>
        <w:rPr>
          <w:rFonts w:hint="eastAsia"/>
          <w:lang w:eastAsia="zh-CN"/>
        </w:rPr>
      </w:pPr>
      <w:r>
        <w:drawing>
          <wp:inline distT="0" distB="0" distL="0" distR="0">
            <wp:extent cx="6188710" cy="2922270"/>
            <wp:effectExtent l="0" t="0" r="2540" b="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Pr>
          <w:rFonts w:hint="eastAsia"/>
          <w:lang w:eastAsia="zh-CN"/>
        </w:rPr>
        <w:t>来源：QYResearch 电子半导体研究中心</w:t>
      </w:r>
    </w:p>
    <w:p w14:paraId="2AD64CE3">
      <w:pPr>
        <w:widowControl/>
        <w:topLinePunct w:val="0"/>
        <w:spacing w:after="0"/>
        <w:jc w:val="left"/>
        <w:rPr>
          <w:rFonts w:hint="eastAsia"/>
          <w:lang w:eastAsia="zh-CN"/>
        </w:rPr>
      </w:pPr>
    </w:p>
    <w:p w14:paraId="55916E77">
      <w:pPr>
        <w:widowControl/>
        <w:topLinePunct w:val="0"/>
        <w:spacing w:after="0"/>
        <w:rPr>
          <w:rFonts w:ascii="Book Antiqua" w:hAnsi="Book Antiqua" w:cs="宋体"/>
          <w:kern w:val="0"/>
          <w:sz w:val="22"/>
          <w:szCs w:val="22"/>
        </w:rPr>
      </w:pPr>
      <w:r>
        <w:rPr>
          <w:rFonts w:ascii="Book Antiqua" w:hAnsi="Book Antiqua" w:cs="宋体"/>
          <w:kern w:val="0"/>
          <w:sz w:val="22"/>
          <w:szCs w:val="22"/>
        </w:rPr>
        <w:t>就产品应用而言，目前ADAS摄像头是最主要的需求来源，占据大约67.4%的份额。</w:t>
      </w:r>
    </w:p>
    <w:p w14:paraId="21E23D3B">
      <w:pPr>
        <w:pStyle w:val="143"/>
        <w:rPr>
          <w:lang w:eastAsia="zh-CN"/>
        </w:rPr>
      </w:pPr>
    </w:p>
    <w:p w14:paraId="0CD10F4E">
      <w:pPr>
        <w:pStyle w:val="148"/>
        <w:numPr>
          <w:ilvl w:val="0"/>
          <w:numId w:val="0"/>
        </w:numPr>
        <w:ind w:leftChars="0"/>
        <w:rPr>
          <w:lang w:eastAsia="zh-CN"/>
        </w:rPr>
      </w:pPr>
      <w:r>
        <w:rPr>
          <w:rFonts w:hint="eastAsia"/>
          <w:lang w:eastAsia="zh-CN"/>
        </w:rPr>
        <w:t>全球主要市场</w:t>
      </w:r>
      <w:r>
        <w:rPr>
          <w:lang w:eastAsia="zh-CN"/>
        </w:rPr>
        <w:t>汽车同轴供电(PoC)电感器</w:t>
      </w:r>
      <w:r>
        <w:rPr>
          <w:rFonts w:hint="eastAsia"/>
          <w:lang w:eastAsia="zh-CN"/>
        </w:rPr>
        <w:t>规模</w:t>
      </w:r>
    </w:p>
    <w:p w14:paraId="35550B6D">
      <w:pPr>
        <w:pStyle w:val="145"/>
        <w:rPr>
          <w:rFonts w:hint="eastAsia"/>
          <w:lang w:eastAsia="zh-CN"/>
        </w:rPr>
      </w:pPr>
      <w:r>
        <w:rPr>
          <w:lang w:val="en-US" w:eastAsia="zh-CN"/>
        </w:rPr>
        <w:drawing>
          <wp:inline distT="0" distB="0" distL="0" distR="0">
            <wp:extent cx="6188710" cy="2922270"/>
            <wp:effectExtent l="0" t="0" r="2540"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rPr>
          <w:rFonts w:hint="eastAsia"/>
          <w:lang w:eastAsia="zh-CN"/>
        </w:rPr>
        <w:t>来源：QYResearch 电子半导体研究中心</w:t>
      </w:r>
    </w:p>
    <w:p w14:paraId="4E58D7F5">
      <w:pPr>
        <w:pStyle w:val="145"/>
        <w:rPr>
          <w:rFonts w:hint="eastAsia"/>
          <w:lang w:eastAsia="zh-CN"/>
        </w:rPr>
      </w:pPr>
    </w:p>
    <w:p w14:paraId="405F648E">
      <w:pPr>
        <w:pStyle w:val="145"/>
        <w:rPr>
          <w:rFonts w:hint="eastAsia"/>
          <w:lang w:eastAsia="zh-CN"/>
        </w:rPr>
      </w:pPr>
    </w:p>
    <w:p w14:paraId="18276373">
      <w:pPr>
        <w:pStyle w:val="145"/>
        <w:rPr>
          <w:lang w:eastAsia="zh-CN"/>
        </w:rPr>
      </w:pPr>
      <w:r>
        <w:rPr>
          <w:rFonts w:hint="eastAsia"/>
          <w:lang w:eastAsia="zh-CN"/>
        </w:rPr>
        <w:t>发展趋势：</w:t>
      </w:r>
    </w:p>
    <w:p w14:paraId="3A1EF76A">
      <w:pPr>
        <w:pStyle w:val="145"/>
        <w:rPr>
          <w:lang w:eastAsia="zh-CN"/>
        </w:rPr>
      </w:pPr>
      <w:r>
        <w:rPr>
          <w:rFonts w:hint="eastAsia"/>
          <w:lang w:eastAsia="zh-CN"/>
        </w:rPr>
        <w:t>高效率和高可靠性：用于汽车PoC应用的电感器必须满足对效率和可靠性的严格要求。目前的趋势是开发能够承受极端温度、振动和电磁干扰的电感器。</w:t>
      </w:r>
    </w:p>
    <w:p w14:paraId="51065FAB">
      <w:pPr>
        <w:pStyle w:val="145"/>
        <w:rPr>
          <w:lang w:eastAsia="zh-CN"/>
        </w:rPr>
      </w:pPr>
      <w:r>
        <w:rPr>
          <w:rFonts w:hint="eastAsia"/>
          <w:lang w:eastAsia="zh-CN"/>
        </w:rPr>
        <w:t>材料创新：材料科学的进步推动了具有更好性能特点的电感器的开发。例如，使用高磁导率材料和先进的磁芯材料可以使电感器体积更小、效率更高。</w:t>
      </w:r>
    </w:p>
    <w:p w14:paraId="7C910BDE">
      <w:pPr>
        <w:pStyle w:val="145"/>
        <w:rPr>
          <w:lang w:eastAsia="zh-CN"/>
        </w:rPr>
      </w:pPr>
      <w:r>
        <w:rPr>
          <w:rFonts w:hint="eastAsia"/>
          <w:lang w:eastAsia="zh-CN"/>
        </w:rPr>
        <w:t>集成解决方案：将电感器、电容器和变压器等多个元件集成到单个封装中的趋势日益明显。这可以减少 PoC 系统的总体占地面积并提高性能。</w:t>
      </w:r>
    </w:p>
    <w:p w14:paraId="6381414D">
      <w:pPr>
        <w:pStyle w:val="145"/>
        <w:rPr>
          <w:lang w:eastAsia="zh-CN"/>
        </w:rPr>
      </w:pPr>
      <w:r>
        <w:rPr>
          <w:rFonts w:hint="eastAsia"/>
          <w:lang w:eastAsia="zh-CN"/>
        </w:rPr>
        <w:t>无线功率传输 (WPT)：电动汽车感应充电系统的发展也催生了对能够高效传输能量的专用电感器的需求。这包括静态充电系统和动态（移动）充电解决方案。</w:t>
      </w:r>
    </w:p>
    <w:p w14:paraId="70B31856">
      <w:pPr>
        <w:pStyle w:val="145"/>
        <w:rPr>
          <w:lang w:eastAsia="zh-CN"/>
        </w:rPr>
      </w:pPr>
      <w:r>
        <w:rPr>
          <w:rFonts w:hint="eastAsia"/>
          <w:lang w:eastAsia="zh-CN"/>
        </w:rPr>
        <w:t>汽车级认证：汽车应用中使用的电感器需要符合特定的质量标准，如 AEC-Q200。人们越来越重视对元件进行认证，以确保其符合汽车行业的严格要求。</w:t>
      </w:r>
    </w:p>
    <w:p w14:paraId="21B994A1">
      <w:pPr>
        <w:pStyle w:val="145"/>
        <w:rPr>
          <w:lang w:eastAsia="zh-CN"/>
        </w:rPr>
      </w:pPr>
      <w:r>
        <w:rPr>
          <w:rFonts w:hint="eastAsia"/>
          <w:lang w:eastAsia="zh-CN"/>
        </w:rPr>
        <w:t>5G 集成：随着5G技术的出现，对能够支持下一代汽车通信系统所需的高数据速率和低延迟的高频电感器的需求日益增加。</w:t>
      </w:r>
    </w:p>
    <w:p w14:paraId="6787A1DA">
      <w:pPr>
        <w:pStyle w:val="145"/>
        <w:rPr>
          <w:lang w:eastAsia="zh-CN"/>
        </w:rPr>
      </w:pPr>
      <w:r>
        <w:rPr>
          <w:rFonts w:hint="eastAsia"/>
          <w:lang w:eastAsia="zh-CN"/>
        </w:rPr>
        <w:t>环境问题：随着汽车行业朝着可持续发展和减少碳足迹的方向发展，人们正在推动使用环保材料和制造工艺生产电感器。</w:t>
      </w:r>
    </w:p>
    <w:p w14:paraId="59591F54">
      <w:pPr>
        <w:pStyle w:val="145"/>
        <w:rPr>
          <w:lang w:eastAsia="zh-CN"/>
        </w:rPr>
      </w:pPr>
      <w:r>
        <w:rPr>
          <w:rFonts w:hint="eastAsia"/>
          <w:lang w:eastAsia="zh-CN"/>
        </w:rPr>
        <w:t>总体而言，随着汽车工业的发展和先进电子系统集成度的不断提高，同轴电缆车载电源电感器市场预计将实现增长。重点将继续放在提高效率、小型化和可靠性上，同时还要应对汽车环境所带来的独特挑战。</w:t>
      </w:r>
    </w:p>
    <w:bookmarkEnd w:id="0"/>
    <w:bookmarkEnd w:id="1"/>
    <w:bookmarkEnd w:id="2"/>
    <w:bookmarkEnd w:id="3"/>
    <w:bookmarkEnd w:id="4"/>
    <w:bookmarkEnd w:id="5"/>
    <w:bookmarkEnd w:id="6"/>
    <w:bookmarkEnd w:id="7"/>
    <w:bookmarkEnd w:id="8"/>
    <w:bookmarkEnd w:id="9"/>
    <w:bookmarkEnd w:id="10"/>
    <w:bookmarkEnd w:id="11"/>
    <w:bookmarkEnd w:id="12"/>
    <w:p w14:paraId="324F585D">
      <w:pPr>
        <w:pStyle w:val="145"/>
        <w:rPr>
          <w:rFonts w:hint="eastAsia"/>
          <w:lang w:eastAsia="zh-CN"/>
        </w:rPr>
      </w:pPr>
    </w:p>
    <w:p w14:paraId="2949F152">
      <w:pPr>
        <w:pStyle w:val="145"/>
        <w:rPr>
          <w:rFonts w:hint="eastAsia"/>
          <w:lang w:eastAsia="zh-CN"/>
        </w:rPr>
      </w:pPr>
    </w:p>
    <w:p w14:paraId="74641357">
      <w:pPr>
        <w:pStyle w:val="145"/>
        <w:rPr>
          <w:lang w:eastAsia="zh-CN"/>
        </w:rPr>
      </w:pPr>
      <w:bookmarkStart w:id="13" w:name="_GoBack"/>
      <w:bookmarkEnd w:id="13"/>
      <w:r>
        <w:rPr>
          <w:rFonts w:hint="eastAsia"/>
          <w:lang w:eastAsia="zh-CN"/>
        </w:rPr>
        <w:t>QYResearch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14:paraId="07A95001">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3360"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4384"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4384;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4144;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5168;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CD5"/>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2D3"/>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85"/>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8A9"/>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9E2"/>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CE5"/>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5E70"/>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BC"/>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3E9"/>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3E8A"/>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9C6"/>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B6"/>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6FEF"/>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47F"/>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632"/>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41B"/>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6CD"/>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3CD1"/>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56"/>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9E4"/>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8A5"/>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C96"/>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4A1"/>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494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7D"/>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575"/>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56E"/>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BC6"/>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24F"/>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E3"/>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E4"/>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122"/>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CD"/>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36A"/>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774"/>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27"/>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57"/>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020"/>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D2D"/>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A33"/>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7CD"/>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AA2"/>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791"/>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910"/>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5D4E"/>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98E"/>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84C"/>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C7E36"/>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11"/>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06C"/>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4AB"/>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2C7"/>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11F"/>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A77"/>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29A"/>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65E"/>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7FF"/>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1BE"/>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0AF"/>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4B18163A"/>
    <w:rsid w:val="6B5578C9"/>
    <w:rsid w:val="79623E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目录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chart" Target="charts/chart5.xml"/><Relationship Id="rId12" Type="http://schemas.openxmlformats.org/officeDocument/2006/relationships/chart" Target="charts/chart4.xml"/><Relationship Id="rId11" Type="http://schemas.openxmlformats.org/officeDocument/2006/relationships/chart" Target="charts/chart3.xml"/><Relationship Id="rId10" Type="http://schemas.openxmlformats.org/officeDocument/2006/relationships/chart" Target="charts/chart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3.xml"/><Relationship Id="rId3" Type="http://schemas.microsoft.com/office/2011/relationships/chartStyle" Target="style3.xml"/><Relationship Id="rId2" Type="http://schemas.openxmlformats.org/officeDocument/2006/relationships/chartUserShapes" Target="../drawings/drawing1.xml"/><Relationship Id="rId1" Type="http://schemas.openxmlformats.org/officeDocument/2006/relationships/oleObject" Target="file:///C:\Users\lenovo\Desktop\&#23459;&#20256;&#26448;&#26009;\&#23459;&#20256;&#26448;&#26009;%20&#27169;&#26495;Word%2020240903\&#35266;&#28857;&#25968;&#25454;&#22270;&#34920;&#27169;&#26495;-&#27169;&#26495;%2020240612%20&#20026;&#20934;.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lenovo\Desktop\&#23459;&#20256;&#26448;&#26009;\&#23459;&#20256;&#26448;&#26009;%20&#27169;&#26495;Word%2020240903\&#35266;&#28857;&#25968;&#25454;&#22270;&#34920;&#27169;&#26495;-&#27169;&#26495;%2020240612%20&#20026;&#20934;.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lenovo\Desktop\&#23459;&#20256;&#26448;&#26009;\&#23459;&#20256;&#26448;&#26009;%20&#27169;&#26495;Word%2020240903\&#35266;&#28857;&#25968;&#25454;&#22270;&#34920;&#27169;&#26495;-&#27169;&#26495;%2020240612%20&#20026;&#20934;.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lenovo\Desktop\&#23459;&#20256;&#26448;&#26009;\&#23459;&#20256;&#26448;&#26009;%20&#27169;&#26495;Word%2020240903\&#35266;&#28857;&#25968;&#25454;&#22270;&#34920;&#27169;&#26495;-&#27169;&#26495;%2020240612%20&#20026;&#20934;.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lenovo\Desktop\&#23459;&#20256;&#26448;&#26009;\&#23459;&#20256;&#26448;&#26009;%20&#27169;&#26495;Word%2020240903\&#35266;&#28857;&#25968;&#25454;&#22270;&#34920;&#27169;&#26495;-&#27169;&#26495;%2020240612%20&#20026;&#2093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Global Market Size ($ Mn)</a:t>
            </a:r>
            <a:endParaRPr lang="en-US"/>
          </a:p>
        </c:rich>
      </c:tx>
      <c:layout/>
      <c:overlay val="0"/>
      <c:spPr>
        <a:noFill/>
        <a:ln>
          <a:noFill/>
        </a:ln>
        <a:effectLst/>
      </c:spPr>
    </c:title>
    <c:autoTitleDeleted val="0"/>
    <c:plotArea>
      <c:layout>
        <c:manualLayout>
          <c:layoutTarget val="inner"/>
          <c:xMode val="edge"/>
          <c:yMode val="edge"/>
          <c:x val="0.0333680629718612"/>
          <c:y val="0.131440849673203"/>
          <c:w val="0.937283950617284"/>
          <c:h val="0.793030392156863"/>
        </c:manualLayout>
      </c:layout>
      <c:barChart>
        <c:barDir val="col"/>
        <c:grouping val="stacked"/>
        <c:varyColors val="0"/>
        <c:ser>
          <c:idx val="0"/>
          <c:order val="0"/>
          <c:tx>
            <c:strRef>
              <c:f>全球总体!$R$7</c:f>
              <c:strCache>
                <c:ptCount val="1"/>
                <c:pt idx="0">
                  <c:v>Global Market Size ($ Mn)</c:v>
                </c:pt>
              </c:strCache>
            </c:strRef>
          </c:tx>
          <c:spPr>
            <a:solidFill>
              <a:srgbClr val="002060"/>
            </a:solidFill>
            <a:ln>
              <a:noFill/>
            </a:ln>
            <a:effectLst/>
          </c:spPr>
          <c:invertIfNegative val="0"/>
          <c:dLbls>
            <c:delete val="1"/>
          </c:dLbls>
          <c:cat>
            <c:numRef>
              <c:f>全球总体!$S$6:$U$6</c:f>
              <c:numCache>
                <c:formatCode>General</c:formatCode>
                <c:ptCount val="3"/>
                <c:pt idx="0">
                  <c:v>2019</c:v>
                </c:pt>
                <c:pt idx="1">
                  <c:v>2024</c:v>
                </c:pt>
                <c:pt idx="2">
                  <c:v>2030</c:v>
                </c:pt>
              </c:numCache>
            </c:numRef>
          </c:cat>
          <c:val>
            <c:numRef>
              <c:f>全球总体!$S$7:$U$7</c:f>
              <c:numCache>
                <c:formatCode>#,##0_ </c:formatCode>
                <c:ptCount val="3"/>
                <c:pt idx="0">
                  <c:v>81.11</c:v>
                </c:pt>
                <c:pt idx="1">
                  <c:v>182.97</c:v>
                </c:pt>
                <c:pt idx="2">
                  <c:v>407.11</c:v>
                </c:pt>
              </c:numCache>
            </c:numRef>
          </c:val>
        </c:ser>
        <c:dLbls>
          <c:showLegendKey val="0"/>
          <c:showVal val="0"/>
          <c:showCatName val="0"/>
          <c:showSerName val="0"/>
          <c:showPercent val="0"/>
          <c:showBubbleSize val="0"/>
        </c:dLbls>
        <c:gapWidth val="219"/>
        <c:overlap val="100"/>
        <c:serLines>
          <c:spPr>
            <a:ln w="15875" cap="sq" cmpd="sng" algn="ctr">
              <a:solidFill>
                <a:srgbClr val="002060"/>
              </a:solidFill>
              <a:round/>
              <a:headEnd type="triangle"/>
            </a:ln>
            <a:effectLst/>
          </c:spPr>
        </c:serLines>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19571343"/>
        <c:crosses val="autoZero"/>
        <c:crossBetween val="between"/>
      </c:valAx>
      <c:spPr>
        <a:noFill/>
        <a:ln>
          <a:noFill/>
        </a:ln>
        <a:effectLst/>
      </c:spPr>
    </c:plotArea>
    <c:plotVisOnly val="1"/>
    <c:dispBlanksAs val="gap"/>
    <c:showDLblsOverMax val="0"/>
    <c:extLst>
      <c:ext uri="{0b15fc19-7d7d-44ad-8c2d-2c3a37ce22c3}">
        <chartProps xmlns="https://web.wps.cn/et/2018/main" chartId="{ad04cb2f-8374-4f29-9376-4e297ac89b9c}"/>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宋体" panose="02010600030101010101" charset="-122"/>
                <a:cs typeface="+mn-cs"/>
              </a:defRPr>
            </a:pPr>
            <a:r>
              <a:rPr lang="zh-CN" sz="1100"/>
              <a:t>全球市场主要企业排名</a:t>
            </a:r>
            <a:endParaRPr lang="en-US" sz="1100"/>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企业收入!$I$1</c:f>
              <c:strCache>
                <c:ptCount val="1"/>
                <c:pt idx="0">
                  <c:v>2023</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Lbls>
            <c:delete val="1"/>
          </c:dLbls>
          <c:cat>
            <c:strRef>
              <c:f>企业收入!$H$2:$H$6</c:f>
              <c:strCache>
                <c:ptCount val="5"/>
                <c:pt idx="0">
                  <c:v>TDK</c:v>
                </c:pt>
                <c:pt idx="1">
                  <c:v>Murata</c:v>
                </c:pt>
                <c:pt idx="2">
                  <c:v>Eaton</c:v>
                </c:pt>
                <c:pt idx="3">
                  <c:v>顺络电子</c:v>
                </c:pt>
                <c:pt idx="4">
                  <c:v>岑科</c:v>
                </c:pt>
              </c:strCache>
            </c:strRef>
          </c:cat>
          <c:val>
            <c:numRef>
              <c:f>企业收入!$I$2:$I$6</c:f>
              <c:numCache>
                <c:formatCode>0.0%</c:formatCode>
                <c:ptCount val="5"/>
                <c:pt idx="0">
                  <c:v>0.340139064475348</c:v>
                </c:pt>
                <c:pt idx="1">
                  <c:v>0.261820480404551</c:v>
                </c:pt>
                <c:pt idx="2">
                  <c:v>0.0585335018963338</c:v>
                </c:pt>
                <c:pt idx="3">
                  <c:v>0.0475979772439949</c:v>
                </c:pt>
                <c:pt idx="4">
                  <c:v>0.0197218710493047</c:v>
                </c:pt>
              </c:numCache>
            </c:numRef>
          </c:val>
        </c:ser>
        <c:dLbls>
          <c:showLegendKey val="0"/>
          <c:showVal val="0"/>
          <c:showCatName val="0"/>
          <c:showSerName val="0"/>
          <c:showPercent val="0"/>
          <c:showBubbleSize val="0"/>
        </c:dLbls>
        <c:gapWidth val="45"/>
        <c:axId val="1272139183"/>
        <c:axId val="1326546959"/>
      </c:barChart>
      <c:catAx>
        <c:axId val="12721391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272139183"/>
        <c:crosses val="autoZero"/>
        <c:crossBetween val="between"/>
      </c:valAx>
      <c:spPr>
        <a:noFill/>
        <a:ln>
          <a:noFill/>
        </a:ln>
        <a:effectLst/>
      </c:spPr>
    </c:plotArea>
    <c:plotVisOnly val="1"/>
    <c:dispBlanksAs val="gap"/>
    <c:showDLblsOverMax val="0"/>
    <c:extLst>
      <c:ext uri="{0b15fc19-7d7d-44ad-8c2d-2c3a37ce22c3}">
        <chartProps xmlns="https://web.wps.cn/et/2018/main" chartId="{3af58fa4-4826-4663-86e4-1eae7f358af0}"/>
      </c:ext>
    </c:extLst>
  </c:chart>
  <c:spPr>
    <a:solidFill>
      <a:schemeClr val="bg1"/>
    </a:solidFill>
    <a:ln w="9525" cap="flat" cmpd="sng" algn="ctr">
      <a:noFill/>
      <a:round/>
    </a:ln>
    <a:effectLst/>
  </c:spPr>
  <c:txPr>
    <a:bodyPr/>
    <a:lstStyle/>
    <a:p>
      <a:pPr>
        <a:defRPr lang="zh-CN" baseline="0">
          <a:latin typeface="Times New Roman" panose="02020603050405020304" charset="0"/>
          <a:ea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299878086419753"/>
          <c:y val="0.0211666666666667"/>
          <c:w val="0.936207098765432"/>
          <c:h val="0.755441666666667"/>
        </c:manualLayout>
      </c:layout>
      <c:barChart>
        <c:barDir val="col"/>
        <c:grouping val="stacked"/>
        <c:varyColors val="0"/>
        <c:ser>
          <c:idx val="0"/>
          <c:order val="0"/>
          <c:tx>
            <c:strRef>
              <c:f>分类!$A$2</c:f>
              <c:strCache>
                <c:ptCount val="1"/>
                <c:pt idx="0">
                  <c:v>绕线铁氧体磁芯类型</c:v>
                </c:pt>
              </c:strCache>
            </c:strRef>
          </c:tx>
          <c:spPr>
            <a:solidFill>
              <a:srgbClr val="002060"/>
            </a:solidFill>
            <a:ln>
              <a:noFill/>
            </a:ln>
            <a:effectLst/>
          </c:spPr>
          <c:invertIfNegative val="0"/>
          <c:dLbls>
            <c:delete val="1"/>
          </c:dLbls>
          <c:cat>
            <c:numRef>
              <c:f>分类!$B$1:$M$1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分类!$B$2:$M$2</c:f>
              <c:numCache>
                <c:formatCode>#,##0_);[Red]\(#,##0\)</c:formatCode>
                <c:ptCount val="12"/>
                <c:pt idx="0">
                  <c:v>56.47</c:v>
                </c:pt>
                <c:pt idx="1">
                  <c:v>59.78</c:v>
                </c:pt>
                <c:pt idx="2">
                  <c:v>67.27</c:v>
                </c:pt>
                <c:pt idx="3">
                  <c:v>76.53</c:v>
                </c:pt>
                <c:pt idx="4">
                  <c:v>97.13</c:v>
                </c:pt>
                <c:pt idx="5">
                  <c:v>110.21</c:v>
                </c:pt>
                <c:pt idx="6">
                  <c:v>122.49</c:v>
                </c:pt>
                <c:pt idx="7">
                  <c:v>138.52</c:v>
                </c:pt>
                <c:pt idx="8">
                  <c:v>155.85</c:v>
                </c:pt>
                <c:pt idx="9">
                  <c:v>174.83</c:v>
                </c:pt>
                <c:pt idx="10">
                  <c:v>194.01</c:v>
                </c:pt>
                <c:pt idx="11">
                  <c:v>212.95</c:v>
                </c:pt>
              </c:numCache>
            </c:numRef>
          </c:val>
        </c:ser>
        <c:ser>
          <c:idx val="1"/>
          <c:order val="1"/>
          <c:tx>
            <c:strRef>
              <c:f>分类!$A$3</c:f>
              <c:strCache>
                <c:ptCount val="1"/>
                <c:pt idx="0">
                  <c:v>多层类型</c:v>
                </c:pt>
              </c:strCache>
            </c:strRef>
          </c:tx>
          <c:spPr>
            <a:solidFill>
              <a:schemeClr val="bg1">
                <a:lumMod val="50000"/>
              </a:schemeClr>
            </a:solidFill>
            <a:ln>
              <a:noFill/>
            </a:ln>
            <a:effectLst/>
          </c:spPr>
          <c:invertIfNegative val="0"/>
          <c:dLbls>
            <c:delete val="1"/>
          </c:dLbls>
          <c:cat>
            <c:numRef>
              <c:f>分类!$B$1:$M$1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分类!$B$3:$M$3</c:f>
              <c:numCache>
                <c:formatCode>#,##0_);[Red]\(#,##0\)</c:formatCode>
                <c:ptCount val="12"/>
                <c:pt idx="0">
                  <c:v>19.79</c:v>
                </c:pt>
                <c:pt idx="1">
                  <c:v>22.37</c:v>
                </c:pt>
                <c:pt idx="2">
                  <c:v>27.34</c:v>
                </c:pt>
                <c:pt idx="3">
                  <c:v>34.4</c:v>
                </c:pt>
                <c:pt idx="4">
                  <c:v>39.14</c:v>
                </c:pt>
                <c:pt idx="5">
                  <c:v>43.63</c:v>
                </c:pt>
                <c:pt idx="6">
                  <c:v>49.33</c:v>
                </c:pt>
                <c:pt idx="7">
                  <c:v>55.74</c:v>
                </c:pt>
                <c:pt idx="8">
                  <c:v>64.58</c:v>
                </c:pt>
                <c:pt idx="9">
                  <c:v>70.73</c:v>
                </c:pt>
                <c:pt idx="10">
                  <c:v>77.64</c:v>
                </c:pt>
                <c:pt idx="11">
                  <c:v>84.25</c:v>
                </c:pt>
              </c:numCache>
            </c:numRef>
          </c:val>
        </c:ser>
        <c:ser>
          <c:idx val="2"/>
          <c:order val="2"/>
          <c:tx>
            <c:strRef>
              <c:f>分类!$A$4</c:f>
              <c:strCache>
                <c:ptCount val="1"/>
                <c:pt idx="0">
                  <c:v>其他</c:v>
                </c:pt>
              </c:strCache>
            </c:strRef>
          </c:tx>
          <c:spPr>
            <a:solidFill>
              <a:schemeClr val="accent3"/>
            </a:solidFill>
            <a:ln>
              <a:noFill/>
            </a:ln>
            <a:effectLst/>
          </c:spPr>
          <c:invertIfNegative val="0"/>
          <c:dLbls>
            <c:delete val="1"/>
          </c:dLbls>
          <c:cat>
            <c:numRef>
              <c:f>分类!$B$1:$M$1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分类!$B$4:$M$4</c:f>
              <c:numCache>
                <c:formatCode>#,##0_);[Red]\(#,##0\)</c:formatCode>
                <c:ptCount val="12"/>
                <c:pt idx="0">
                  <c:v>2.93</c:v>
                </c:pt>
                <c:pt idx="1">
                  <c:v>3.04</c:v>
                </c:pt>
                <c:pt idx="2">
                  <c:v>3.42</c:v>
                </c:pt>
                <c:pt idx="3">
                  <c:v>3.88</c:v>
                </c:pt>
                <c:pt idx="4">
                  <c:v>4.51</c:v>
                </c:pt>
                <c:pt idx="5">
                  <c:v>5</c:v>
                </c:pt>
                <c:pt idx="6">
                  <c:v>5.28</c:v>
                </c:pt>
                <c:pt idx="7">
                  <c:v>5.8</c:v>
                </c:pt>
                <c:pt idx="8">
                  <c:v>6.24</c:v>
                </c:pt>
                <c:pt idx="9">
                  <c:v>6.61</c:v>
                </c:pt>
                <c:pt idx="10">
                  <c:v>6.8</c:v>
                </c:pt>
                <c:pt idx="11">
                  <c:v>7.15</c:v>
                </c:pt>
              </c:numCache>
            </c:numRef>
          </c:val>
        </c:ser>
        <c:dLbls>
          <c:showLegendKey val="0"/>
          <c:showVal val="0"/>
          <c:showCatName val="0"/>
          <c:showSerName val="0"/>
          <c:showPercent val="0"/>
          <c:showBubbleSize val="0"/>
        </c:dLbls>
        <c:gapWidth val="25"/>
        <c:overlap val="100"/>
        <c:axId val="2101581920"/>
        <c:axId val="2101559456"/>
      </c:bar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spPr>
        <a:noFill/>
        <a:ln>
          <a:noFill/>
        </a:ln>
        <a:effectLst/>
      </c:spPr>
    </c:plotArea>
    <c:legend>
      <c:legendPos val="b"/>
      <c:layout>
        <c:manualLayout>
          <c:xMode val="edge"/>
          <c:yMode val="edge"/>
          <c:x val="0.108745987654321"/>
          <c:y val="0.869652614379085"/>
          <c:w val="0.678679012345679"/>
          <c:h val="0.0865980392156863"/>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352df393-0871-4118-a6da-f3d5a7c04533}"/>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91853448275862"/>
          <c:y val="0.03175"/>
          <c:w val="0.893089814814815"/>
          <c:h val="0.701487581699346"/>
        </c:manualLayout>
      </c:layout>
      <c:barChart>
        <c:barDir val="col"/>
        <c:grouping val="stacked"/>
        <c:varyColors val="0"/>
        <c:ser>
          <c:idx val="0"/>
          <c:order val="0"/>
          <c:tx>
            <c:strRef>
              <c:f>应用!$A$2</c:f>
              <c:strCache>
                <c:ptCount val="1"/>
                <c:pt idx="0">
                  <c:v>ADAS摄像头</c:v>
                </c:pt>
              </c:strCache>
            </c:strRef>
          </c:tx>
          <c:spPr>
            <a:solidFill>
              <a:srgbClr val="002060"/>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应用!$B$2:$M$2</c:f>
              <c:numCache>
                <c:formatCode>#,##0_);[Red]\(#,##0\)</c:formatCode>
                <c:ptCount val="12"/>
                <c:pt idx="0">
                  <c:v>60.6897789</c:v>
                </c:pt>
                <c:pt idx="1">
                  <c:v>64.5729762380177</c:v>
                </c:pt>
                <c:pt idx="2">
                  <c:v>73.0232408776894</c:v>
                </c:pt>
                <c:pt idx="3">
                  <c:v>81.2010631735353</c:v>
                </c:pt>
                <c:pt idx="4">
                  <c:v>94.9493830771512</c:v>
                </c:pt>
                <c:pt idx="5">
                  <c:v>106.227910914688</c:v>
                </c:pt>
                <c:pt idx="6">
                  <c:v>114.64460520944</c:v>
                </c:pt>
                <c:pt idx="7">
                  <c:v>121.918090199781</c:v>
                </c:pt>
                <c:pt idx="8">
                  <c:v>130.351021290005</c:v>
                </c:pt>
                <c:pt idx="9">
                  <c:v>136.707540910282</c:v>
                </c:pt>
                <c:pt idx="10">
                  <c:v>142.058135253417</c:v>
                </c:pt>
                <c:pt idx="11">
                  <c:v>148.96189150899</c:v>
                </c:pt>
              </c:numCache>
            </c:numRef>
          </c:val>
        </c:ser>
        <c:ser>
          <c:idx val="1"/>
          <c:order val="1"/>
          <c:tx>
            <c:strRef>
              <c:f>应用!$A$3</c:f>
              <c:strCache>
                <c:ptCount val="1"/>
                <c:pt idx="0">
                  <c:v>自动驾驶</c:v>
                </c:pt>
              </c:strCache>
            </c:strRef>
          </c:tx>
          <c:spPr>
            <a:solidFill>
              <a:schemeClr val="bg1">
                <a:lumMod val="5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应用!$B$3:$M$3</c:f>
              <c:numCache>
                <c:formatCode>#,##0_);[Red]\(#,##0\)</c:formatCode>
                <c:ptCount val="12"/>
                <c:pt idx="0">
                  <c:v>10.7793713</c:v>
                </c:pt>
                <c:pt idx="1">
                  <c:v>12.4517775285355</c:v>
                </c:pt>
                <c:pt idx="2">
                  <c:v>15.9849848304638</c:v>
                </c:pt>
                <c:pt idx="3">
                  <c:v>23.6447359446015</c:v>
                </c:pt>
                <c:pt idx="4">
                  <c:v>33.9385528384882</c:v>
                </c:pt>
                <c:pt idx="5">
                  <c:v>39.3569737961289</c:v>
                </c:pt>
                <c:pt idx="6">
                  <c:v>48.1286250505479</c:v>
                </c:pt>
                <c:pt idx="7">
                  <c:v>62.3960017805158</c:v>
                </c:pt>
                <c:pt idx="8">
                  <c:v>78.9824996185038</c:v>
                </c:pt>
                <c:pt idx="9">
                  <c:v>96.59217100888</c:v>
                </c:pt>
                <c:pt idx="10">
                  <c:v>116.037096938588</c:v>
                </c:pt>
                <c:pt idx="11">
                  <c:v>133.697309322158</c:v>
                </c:pt>
              </c:numCache>
            </c:numRef>
          </c:val>
        </c:ser>
        <c:ser>
          <c:idx val="2"/>
          <c:order val="2"/>
          <c:tx>
            <c:strRef>
              <c:f>应用!$A$4</c:f>
              <c:strCache>
                <c:ptCount val="1"/>
                <c:pt idx="0">
                  <c:v>其他</c:v>
                </c:pt>
              </c:strCache>
            </c:strRef>
          </c:tx>
          <c:spPr>
            <a:solidFill>
              <a:schemeClr val="accent6">
                <a:lumMod val="75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应用!$B$4:$M$4</c:f>
              <c:numCache>
                <c:formatCode>#,##0_);[Red]\(#,##0\)</c:formatCode>
                <c:ptCount val="12"/>
                <c:pt idx="0">
                  <c:v>7.7208498</c:v>
                </c:pt>
                <c:pt idx="1">
                  <c:v>8.16524623344678</c:v>
                </c:pt>
                <c:pt idx="2">
                  <c:v>9.02177429184679</c:v>
                </c:pt>
                <c:pt idx="3">
                  <c:v>9.96420088186315</c:v>
                </c:pt>
                <c:pt idx="4">
                  <c:v>11.8920640843606</c:v>
                </c:pt>
                <c:pt idx="5">
                  <c:v>13.2551152891833</c:v>
                </c:pt>
                <c:pt idx="6">
                  <c:v>14.3267697400119</c:v>
                </c:pt>
                <c:pt idx="7">
                  <c:v>15.7459080197033</c:v>
                </c:pt>
                <c:pt idx="8">
                  <c:v>17.336479091491</c:v>
                </c:pt>
                <c:pt idx="9">
                  <c:v>18.8702880808383</c:v>
                </c:pt>
                <c:pt idx="10">
                  <c:v>20.3547678079947</c:v>
                </c:pt>
                <c:pt idx="11">
                  <c:v>21.6907991688526</c:v>
                </c:pt>
              </c:numCache>
            </c:numRef>
          </c:val>
        </c:ser>
        <c:dLbls>
          <c:showLegendKey val="0"/>
          <c:showVal val="0"/>
          <c:showCatName val="0"/>
          <c:showSerName val="0"/>
          <c:showPercent val="0"/>
          <c:showBubbleSize val="0"/>
        </c:dLbls>
        <c:gapWidth val="25"/>
        <c:overlap val="100"/>
        <c:axId val="2101581920"/>
        <c:axId val="2101559456"/>
      </c:bar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spPr>
        <a:noFill/>
        <a:ln>
          <a:noFill/>
        </a:ln>
        <a:effectLst/>
      </c:spPr>
    </c:plotArea>
    <c:legend>
      <c:legendPos val="b"/>
      <c:layout>
        <c:manualLayout>
          <c:xMode val="edge"/>
          <c:yMode val="edge"/>
          <c:x val="0.0695485312899106"/>
          <c:y val="0.865502222222222"/>
          <c:w val="0.844311419753086"/>
          <c:h val="0.13449771241830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1b3c8bdc-e08c-493a-ab66-8aff0069e2fb}"/>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Book Antiqua" panose="02040602050305030304" pitchFamily="1" charset="0"/>
                <a:ea typeface="+mn-ea"/>
                <a:cs typeface="+mn-cs"/>
              </a:defRPr>
            </a:pPr>
            <a:r>
              <a:rPr lang="en-US" altLang="zh-CN" sz="1200">
                <a:latin typeface="Book Antiqua" panose="02040602050305030304" pitchFamily="1" charset="0"/>
              </a:rPr>
              <a:t>Market Size By Region, 2019 Vs 2024 VS 2030</a:t>
            </a:r>
            <a:endParaRPr lang="zh-CN" altLang="en-US" sz="12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'地区-消费'!$AE$1</c:f>
              <c:strCache>
                <c:ptCount val="1"/>
                <c:pt idx="0">
                  <c:v>2019</c:v>
                </c:pt>
              </c:strCache>
            </c:strRef>
          </c:tx>
          <c:spPr>
            <a:solidFill>
              <a:srgbClr val="FFC000"/>
            </a:solidFill>
            <a:ln>
              <a:noFill/>
            </a:ln>
            <a:effectLst/>
          </c:spPr>
          <c:invertIfNegative val="0"/>
          <c:dLbls>
            <c:delete val="1"/>
          </c:dLbls>
          <c:cat>
            <c:strRef>
              <c:f>'地区-消费'!$AD$2:$AD$6</c:f>
              <c:strCache>
                <c:ptCount val="5"/>
                <c:pt idx="0">
                  <c:v>North America</c:v>
                </c:pt>
                <c:pt idx="1">
                  <c:v>Europe</c:v>
                </c:pt>
                <c:pt idx="2">
                  <c:v>Asia-Pacific</c:v>
                </c:pt>
                <c:pt idx="3">
                  <c:v>South America</c:v>
                </c:pt>
                <c:pt idx="4">
                  <c:v>Middle East &amp; Africa</c:v>
                </c:pt>
              </c:strCache>
            </c:strRef>
          </c:cat>
          <c:val>
            <c:numRef>
              <c:f>'地区-消费'!$AE$2:$AE$6</c:f>
              <c:numCache>
                <c:formatCode>#,##0_);[Red]\(#,##0\)</c:formatCode>
                <c:ptCount val="5"/>
                <c:pt idx="0">
                  <c:v>16.0684806071264</c:v>
                </c:pt>
                <c:pt idx="1">
                  <c:v>18.7754028</c:v>
                </c:pt>
                <c:pt idx="2">
                  <c:v>39.9295322954204</c:v>
                </c:pt>
                <c:pt idx="3">
                  <c:v>2.0445282</c:v>
                </c:pt>
                <c:pt idx="4">
                  <c:v>2.37205609745326</c:v>
                </c:pt>
              </c:numCache>
            </c:numRef>
          </c:val>
        </c:ser>
        <c:ser>
          <c:idx val="1"/>
          <c:order val="1"/>
          <c:tx>
            <c:strRef>
              <c:f>'地区-消费'!$AF$1</c:f>
              <c:strCache>
                <c:ptCount val="1"/>
                <c:pt idx="0">
                  <c:v>2023</c:v>
                </c:pt>
              </c:strCache>
            </c:strRef>
          </c:tx>
          <c:spPr>
            <a:solidFill>
              <a:schemeClr val="bg1">
                <a:lumMod val="50000"/>
              </a:schemeClr>
            </a:solidFill>
            <a:ln>
              <a:noFill/>
            </a:ln>
            <a:effectLst/>
          </c:spPr>
          <c:invertIfNegative val="0"/>
          <c:dLbls>
            <c:delete val="1"/>
          </c:dLbls>
          <c:cat>
            <c:strRef>
              <c:f>'地区-消费'!$AD$2:$AD$6</c:f>
              <c:strCache>
                <c:ptCount val="5"/>
                <c:pt idx="0">
                  <c:v>North America</c:v>
                </c:pt>
                <c:pt idx="1">
                  <c:v>Europe</c:v>
                </c:pt>
                <c:pt idx="2">
                  <c:v>Asia-Pacific</c:v>
                </c:pt>
                <c:pt idx="3">
                  <c:v>South America</c:v>
                </c:pt>
                <c:pt idx="4">
                  <c:v>Middle East &amp; Africa</c:v>
                </c:pt>
              </c:strCache>
            </c:strRef>
          </c:cat>
          <c:val>
            <c:numRef>
              <c:f>'地区-消费'!$AF$2:$AF$6</c:f>
              <c:numCache>
                <c:formatCode>#,##0_);[Red]\(#,##0\)</c:formatCode>
                <c:ptCount val="5"/>
                <c:pt idx="0">
                  <c:v>25.4887079781491</c:v>
                </c:pt>
                <c:pt idx="1">
                  <c:v>32.6568344339593</c:v>
                </c:pt>
                <c:pt idx="2">
                  <c:v>75.9039841276832</c:v>
                </c:pt>
                <c:pt idx="3">
                  <c:v>2.93331027953928</c:v>
                </c:pt>
                <c:pt idx="4">
                  <c:v>3.79716318066919</c:v>
                </c:pt>
              </c:numCache>
            </c:numRef>
          </c:val>
        </c:ser>
        <c:ser>
          <c:idx val="2"/>
          <c:order val="2"/>
          <c:tx>
            <c:strRef>
              <c:f>'地区-消费'!$AG$1</c:f>
              <c:strCache>
                <c:ptCount val="1"/>
                <c:pt idx="0">
                  <c:v>2030</c:v>
                </c:pt>
              </c:strCache>
            </c:strRef>
          </c:tx>
          <c:spPr>
            <a:solidFill>
              <a:srgbClr val="002060"/>
            </a:solidFill>
            <a:ln>
              <a:noFill/>
            </a:ln>
            <a:effectLst/>
          </c:spPr>
          <c:invertIfNegative val="0"/>
          <c:dLbls>
            <c:delete val="1"/>
          </c:dLbls>
          <c:cat>
            <c:strRef>
              <c:f>'地区-消费'!$AD$2:$AD$6</c:f>
              <c:strCache>
                <c:ptCount val="5"/>
                <c:pt idx="0">
                  <c:v>North America</c:v>
                </c:pt>
                <c:pt idx="1">
                  <c:v>Europe</c:v>
                </c:pt>
                <c:pt idx="2">
                  <c:v>Asia-Pacific</c:v>
                </c:pt>
                <c:pt idx="3">
                  <c:v>South America</c:v>
                </c:pt>
                <c:pt idx="4">
                  <c:v>Middle East &amp; Africa</c:v>
                </c:pt>
              </c:strCache>
            </c:strRef>
          </c:cat>
          <c:val>
            <c:numRef>
              <c:f>'地区-消费'!$AG$2:$AG$6</c:f>
              <c:numCache>
                <c:formatCode>#,##0_);[Red]\(#,##0\)</c:formatCode>
                <c:ptCount val="5"/>
                <c:pt idx="0">
                  <c:v>47.21</c:v>
                </c:pt>
                <c:pt idx="1">
                  <c:v>60.38</c:v>
                </c:pt>
                <c:pt idx="2">
                  <c:v>184.6</c:v>
                </c:pt>
                <c:pt idx="3">
                  <c:v>5.19</c:v>
                </c:pt>
                <c:pt idx="4">
                  <c:v>6.97</c:v>
                </c:pt>
              </c:numCache>
            </c:numRef>
          </c:val>
        </c:ser>
        <c:dLbls>
          <c:showLegendKey val="0"/>
          <c:showVal val="0"/>
          <c:showCatName val="0"/>
          <c:showSerName val="0"/>
          <c:showPercent val="0"/>
          <c:showBubbleSize val="0"/>
        </c:dLbls>
        <c:gapWidth val="75"/>
        <c:axId val="25844928"/>
        <c:axId val="1875643855"/>
      </c:barChart>
      <c:catAx>
        <c:axId val="25844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875643855"/>
        <c:crosses val="autoZero"/>
        <c:auto val="1"/>
        <c:lblAlgn val="ctr"/>
        <c:lblOffset val="100"/>
        <c:noMultiLvlLbl val="0"/>
      </c:catAx>
      <c:valAx>
        <c:axId val="1875643855"/>
        <c:scaling>
          <c:orientation val="minMax"/>
        </c:scaling>
        <c:delete val="0"/>
        <c:axPos val="l"/>
        <c:majorGridlines>
          <c:spPr>
            <a:ln w="9525" cap="flat" cmpd="sng" algn="ctr">
              <a:noFill/>
              <a:round/>
            </a:ln>
            <a:effectLst/>
          </c:spPr>
        </c:majorGridlines>
        <c:numFmt formatCode="#,##0_);[Red]\(#,##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2584492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legend>
    <c:plotVisOnly val="1"/>
    <c:dispBlanksAs val="gap"/>
    <c:showDLblsOverMax val="0"/>
    <c:extLst>
      <c:ext uri="{0b15fc19-7d7d-44ad-8c2d-2c3a37ce22c3}">
        <chartProps xmlns="https://web.wps.cn/et/2018/main" chartId="{bd77d27b-2013-4b41-b5ee-fbf16e56b65f}"/>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0.60793</cdr:x>
      <cdr:y>0.27494</cdr:y>
    </cdr:from>
    <cdr:to>
      <cdr:x>0.7304</cdr:x>
      <cdr:y>0.38082</cdr:y>
    </cdr:to>
    <cdr:sp>
      <cdr:nvSpPr>
        <cdr:cNvPr id="2" name="椭圆 1"/>
        <cdr:cNvSpPr/>
      </cdr:nvSpPr>
      <cdr:spPr xmlns:a="http://schemas.openxmlformats.org/drawingml/2006/main">
        <a:xfrm xmlns:a="http://schemas.openxmlformats.org/drawingml/2006/main" rot="21480000">
          <a:off x="3895614" y="841307"/>
          <a:ext cx="784800" cy="324000"/>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endParaRPr lang="zh-CN" sz="800" baseline="0">
            <a:solidFill>
              <a:srgbClr val="002060"/>
            </a:solidFill>
            <a:latin typeface="Times New Roman" panose="02020603050405020304" charset="0"/>
            <a:ea typeface="宋体" panose="02010600030101010101" charset="-122"/>
            <a:cs typeface="Times New Roman" panose="02020603050405020304" charset="0"/>
          </a:endParaRPr>
        </a:p>
      </cdr:txBody>
    </cdr:sp>
  </cdr:relSizeAnchor>
  <cdr:relSizeAnchor xmlns:cdr="http://schemas.openxmlformats.org/drawingml/2006/chartDrawing">
    <cdr:from>
      <cdr:x>0.27574</cdr:x>
      <cdr:y>0.47252</cdr:y>
    </cdr:from>
    <cdr:to>
      <cdr:x>0.39821</cdr:x>
      <cdr:y>0.57891</cdr:y>
    </cdr:to>
    <cdr:sp>
      <cdr:nvSpPr>
        <cdr:cNvPr id="3" name="椭圆 2"/>
        <cdr:cNvSpPr/>
      </cdr:nvSpPr>
      <cdr:spPr xmlns:a="http://schemas.openxmlformats.org/drawingml/2006/main">
        <a:xfrm xmlns:a="http://schemas.openxmlformats.org/drawingml/2006/main" rot="21480000">
          <a:off x="1766911" y="1445911"/>
          <a:ext cx="784824" cy="325542"/>
        </a:xfrm>
        <a:prstGeom xmlns:a="http://schemas.openxmlformats.org/drawingml/2006/main" prst="ellipse">
          <a:avLst/>
        </a:prstGeom>
        <a:solidFill>
          <a:srgbClr val="FFC000"/>
        </a:solidFill>
        <a:ln>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endParaRPr lang="zh-CN" sz="900" baseline="0">
            <a:solidFill>
              <a:srgbClr val="002060"/>
            </a:solidFill>
            <a:latin typeface="Times New Roman" panose="02020603050405020304" charset="0"/>
            <a:ea typeface="宋体" panose="02010600030101010101" charset="-122"/>
            <a:cs typeface="Times New Roman" panose="02020603050405020304" charset="0"/>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899C55F-607E-4D04-A1F4-EDAF4B67218D}">
  <ds:schemaRefs/>
</ds:datastoreItem>
</file>

<file path=docProps/app.xml><?xml version="1.0" encoding="utf-8"?>
<Properties xmlns="http://schemas.openxmlformats.org/officeDocument/2006/extended-properties" xmlns:vt="http://schemas.openxmlformats.org/officeDocument/2006/docPropsVTypes">
  <Template>Normal</Template>
  <Pages>6</Pages>
  <Words>2658</Words>
  <Characters>2992</Characters>
  <Lines>22</Lines>
  <Paragraphs>6</Paragraphs>
  <TotalTime>7</TotalTime>
  <ScaleCrop>false</ScaleCrop>
  <LinksUpToDate>false</LinksUpToDate>
  <CharactersWithSpaces>3024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2024-11-27T01:53:00Z</dcterms:created>
  <dc:creator>yangj</dc:creator>
  <cp:lastModifiedBy>鼕鼕</cp:lastModifiedBy>
  <dcterms:modified xsi:type="dcterms:W3CDTF">2025-03-20T09:23:01Z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2052-12.1.0.20305</vt:lpwstr>
  </property>
  <property fmtid="{D5CDD505-2E9C-101B-9397-08002B2CF9AE}" pid="4" name="ICV">
    <vt:lpwstr>7FD840375D6E476E887BFB13DFA1EF0D_13</vt:lpwstr>
  </property>
</Properties>
</file>