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F54C4">
      <w:pPr>
        <w:pStyle w:val="167"/>
        <w:rPr>
          <w:lang w:eastAsia="zh-CN"/>
        </w:rPr>
      </w:pPr>
      <w:bookmarkStart w:id="0" w:name="_Toc481801204"/>
      <w:bookmarkStart w:id="1" w:name="OLE_LINK15"/>
      <w:bookmarkStart w:id="2" w:name="_Toc415818939"/>
      <w:bookmarkStart w:id="3" w:name="OLE_LINK13"/>
      <w:bookmarkStart w:id="4" w:name="_Toc438987549"/>
      <w:bookmarkStart w:id="5" w:name="_Toc453597319"/>
      <w:bookmarkStart w:id="6" w:name="_Toc517262917"/>
      <w:bookmarkStart w:id="7" w:name="_Toc418070112"/>
      <w:bookmarkStart w:id="8" w:name="_Toc415143481"/>
      <w:bookmarkStart w:id="9" w:name="_Toc415142861"/>
      <w:bookmarkStart w:id="10" w:name="OLE_LINK40"/>
      <w:bookmarkStart w:id="11" w:name="OLE_LINK39"/>
      <w:bookmarkStart w:id="12" w:name="OLE_LINK24"/>
      <w:r>
        <w:rPr>
          <w:rFonts w:hint="eastAsia"/>
          <w:lang w:eastAsia="zh-CN"/>
        </w:rPr>
        <w:t>PVA海绵刷全球市场总体规模</w:t>
      </w:r>
    </w:p>
    <w:p w14:paraId="1E79FC08">
      <w:pPr>
        <w:pStyle w:val="145"/>
        <w:ind w:firstLine="420" w:firstLineChars="200"/>
        <w:rPr>
          <w:lang w:eastAsia="zh-CN"/>
        </w:rPr>
      </w:pPr>
      <w:r>
        <w:rPr>
          <w:rFonts w:hint="eastAsia"/>
          <w:lang w:eastAsia="zh-CN"/>
        </w:rPr>
        <w:t>聚乙烯醇（PVA）海绵刷，又称PVA刷，是一种采用聚乙烯醇（PVA）材料制成的清洁工具。这种合成聚合物以其卓越的吸水性、柔软度和耐用性而著称。与传统海绵或刷具不同，PVA刷具有光滑无磨损的表面特性，使其特别适用于精密表面处理和精细清洁领域。</w:t>
      </w:r>
    </w:p>
    <w:p w14:paraId="03BC81A2">
      <w:pPr>
        <w:pStyle w:val="145"/>
        <w:ind w:firstLine="420" w:firstLineChars="200"/>
        <w:rPr>
          <w:lang w:eastAsia="zh-CN"/>
        </w:rPr>
      </w:pPr>
      <w:r>
        <w:rPr>
          <w:rFonts w:hint="eastAsia"/>
          <w:lang w:eastAsia="zh-CN"/>
        </w:rPr>
        <w:t>该类型刷具在半导体制造、电子工业和光学器件等对无刮痕超净表面有严格要求的行业中得到广泛应用。凭借其高保水性和无尘絮特性，PVA刷能有效清除颗粒物和残留杂质，同时避免对工件表面造成污染或损伤。</w:t>
      </w:r>
    </w:p>
    <w:p w14:paraId="502CE8CE">
      <w:pPr>
        <w:pStyle w:val="145"/>
        <w:ind w:firstLine="420" w:firstLineChars="200"/>
        <w:rPr>
          <w:lang w:eastAsia="zh-CN"/>
        </w:rPr>
      </w:pPr>
      <w:r>
        <w:rPr>
          <w:rFonts w:hint="eastAsia"/>
          <w:lang w:eastAsia="zh-CN"/>
        </w:rPr>
        <w:t>在医疗、实验室和无尘车间环境中，PVA刷同样展现其独特价值。其耐化学腐蚀特性及可控液体吸附释放能力，使之同时适用于湿式和干式清洁流程。根据应用场景需求，PVA刷可设计成滚筒式、平板式或块状等不同形态。</w:t>
      </w:r>
    </w:p>
    <w:p w14:paraId="0C30B486">
      <w:pPr>
        <w:pStyle w:val="145"/>
        <w:ind w:firstLine="420" w:firstLineChars="200"/>
        <w:rPr>
          <w:lang w:eastAsia="zh-CN"/>
        </w:rPr>
      </w:pPr>
      <w:r>
        <w:rPr>
          <w:rFonts w:hint="eastAsia"/>
          <w:lang w:eastAsia="zh-CN"/>
        </w:rPr>
        <w:t>总体而言，PVA刷集轻柔接触与强劲清洁效能于一身，在清洁度与表面保护要求严苛的环境中，成为值得信赖的高效精密清洁工具。</w:t>
      </w:r>
    </w:p>
    <w:p w14:paraId="63AEA775">
      <w:pPr>
        <w:pStyle w:val="148"/>
        <w:pBdr>
          <w:bottom w:val="none" w:color="auto" w:sz="0" w:space="0"/>
        </w:pBdr>
        <w:spacing w:after="160" w:line="259" w:lineRule="auto"/>
        <w:ind w:left="0" w:firstLine="0"/>
        <w:jc w:val="both"/>
        <w:rPr>
          <w:lang w:eastAsia="zh-CN"/>
        </w:rPr>
      </w:pPr>
      <w:bookmarkStart w:id="13" w:name="_Toc24028878"/>
      <w:bookmarkStart w:id="14" w:name="_Toc153725300"/>
      <w:bookmarkStart w:id="15" w:name="_Toc153726125"/>
      <w:bookmarkStart w:id="16" w:name="_Toc26779984"/>
      <w:r>
        <w:rPr>
          <w:rFonts w:hint="eastAsia" w:ascii="宋体" w:hAnsi="宋体"/>
          <w:szCs w:val="24"/>
          <w:lang w:eastAsia="zh-CN"/>
        </w:rPr>
        <w:t>PVA海绵刷</w:t>
      </w:r>
      <w:r>
        <w:rPr>
          <w:rFonts w:hint="eastAsia"/>
          <w:lang w:eastAsia="zh-CN"/>
        </w:rPr>
        <w:t>产品图片</w:t>
      </w:r>
      <w:bookmarkEnd w:id="13"/>
      <w:bookmarkEnd w:id="14"/>
      <w:bookmarkEnd w:id="15"/>
      <w:bookmarkEnd w:id="16"/>
    </w:p>
    <w:p w14:paraId="7A8707D1">
      <w:r>
        <w:rPr>
          <w:rFonts w:ascii="Times New Roman" w:hAnsi="Times New Roman" w:cs="Times New Roman"/>
        </w:rPr>
        <w:drawing>
          <wp:inline distT="0" distB="0" distL="0" distR="0">
            <wp:extent cx="3524250" cy="22237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3528781" cy="2226726"/>
                    </a:xfrm>
                    <a:prstGeom prst="rect">
                      <a:avLst/>
                    </a:prstGeom>
                  </pic:spPr>
                </pic:pic>
              </a:graphicData>
            </a:graphic>
          </wp:inline>
        </w:drawing>
      </w:r>
    </w:p>
    <w:p w14:paraId="27640E27">
      <w:pPr>
        <w:pStyle w:val="143"/>
        <w:rPr>
          <w:lang w:eastAsia="zh-CN"/>
        </w:rPr>
      </w:pPr>
      <w:r>
        <w:rPr>
          <w:lang w:eastAsia="zh-CN"/>
        </w:rPr>
        <w:t>资料来源：第三方资料及QYResearch整理研究，202</w:t>
      </w:r>
      <w:r>
        <w:rPr>
          <w:rFonts w:hint="eastAsia"/>
          <w:lang w:eastAsia="zh-CN"/>
        </w:rPr>
        <w:t>5</w:t>
      </w:r>
      <w:r>
        <w:rPr>
          <w:lang w:eastAsia="zh-CN"/>
        </w:rPr>
        <w:t>年</w:t>
      </w:r>
      <w:bookmarkStart w:id="17" w:name="OLE_LINK2"/>
    </w:p>
    <w:p w14:paraId="13E8220C">
      <w:pPr>
        <w:ind w:firstLine="420" w:firstLineChars="200"/>
        <w:rPr>
          <w:rFonts w:hint="eastAsia"/>
        </w:rPr>
      </w:pPr>
      <w:r>
        <w:rPr>
          <w:rFonts w:hint="eastAsia"/>
        </w:rPr>
        <w:t>中国PVA刷市场正迎来快速增长，其主要驱动力来自半导体行业，同时光伏和显示面板领域的需求依然强劲。作为全球半导体产能扩张最快的国家，中国新建的晶圆厂对高端PVA刷产生了爆发性需求，特别是在14纳米及以下先进制程的晶圆清洗环节，这些应用要求刷具具备卓越的纳米级清洁能力和材料兼容性。目前高端市场主要由美日企业垄断，其中美国Aion公司在中国市场份额最高。在2023年之前，Aion与美国ITW Rippey在中国市场份额相当。但随着中美贸易摩擦加剧，ITW Rippey逐步收缩在华业务，Aion借机扩大市场份额。受2025年关税政策影响，预计ITW Rippey和Entegris在华的份额将进一步下滑。</w:t>
      </w:r>
    </w:p>
    <w:p w14:paraId="4B6EDEC8">
      <w:pPr>
        <w:ind w:firstLine="420" w:firstLineChars="200"/>
      </w:pPr>
    </w:p>
    <w:p w14:paraId="77656FE0">
      <w:pPr>
        <w:ind w:firstLine="420" w:firstLineChars="200"/>
        <w:rPr>
          <w:rFonts w:hint="eastAsia"/>
        </w:rPr>
      </w:pPr>
      <w:r>
        <w:rPr>
          <w:rFonts w:hint="eastAsia"/>
        </w:rPr>
        <w:t>尽管中国已成为全球最大的光伏用PVA刷应用市场（主要用于硅片切割和电池片清洗），且显示面板领域随着京东方、TCL华星G10.5产线投产，对大尺寸、高洁净度刷具需求持续增长，但这两个领域的市场规模和技术门槛仍远低于半导体应用。</w:t>
      </w:r>
    </w:p>
    <w:p w14:paraId="0981E0AF">
      <w:pPr>
        <w:ind w:firstLine="420" w:firstLineChars="200"/>
      </w:pPr>
    </w:p>
    <w:p w14:paraId="56955A3C">
      <w:pPr>
        <w:ind w:firstLine="420" w:firstLineChars="200"/>
        <w:rPr>
          <w:rFonts w:hint="eastAsia"/>
        </w:rPr>
      </w:pPr>
      <w:r>
        <w:rPr>
          <w:rFonts w:hint="eastAsia"/>
        </w:rPr>
        <w:t>虽然中国半导体快速扩张带动了市场繁荣，但本土企业在核心技术方面突破有限，尚未形成有竞争力的供应商体系。这种对进口产品的严重依赖，与中国半导体设备国产化的战略目标形成鲜明对比。值得注意的是，在"十四五"规划将半导体设备列为重点发展领域的背景下，部分国内企业已开始切入PVA刷市场，但主要集中在中低端产品。未来几年，随着中国半导体产能持续扩张，PVA刷市场预计将继续增长，但能否实现进口替代将取决于国内企业在材料配方、精密加工等核心技术方面的突破进度。从当前市场格局来看，在可预见的未来，美国供应商仍将主导中国高端PVA刷市场。</w:t>
      </w:r>
    </w:p>
    <w:bookmarkEnd w:id="17"/>
    <w:p w14:paraId="3F6C2722">
      <w:pPr>
        <w:pStyle w:val="148"/>
        <w:rPr>
          <w:lang w:eastAsia="zh-CN"/>
        </w:rPr>
      </w:pPr>
      <w:r>
        <w:rPr>
          <w:lang w:eastAsia="zh-CN"/>
        </w:rPr>
        <w:t>PVA海绵刷</w:t>
      </w:r>
      <w:r>
        <w:rPr>
          <w:rFonts w:hint="eastAsia"/>
          <w:lang w:eastAsia="zh-CN"/>
        </w:rPr>
        <w:t>，中国市场总体规模</w:t>
      </w:r>
    </w:p>
    <w:p w14:paraId="0C08A1DA">
      <w:pPr>
        <w:pStyle w:val="145"/>
        <w:rPr>
          <w:lang w:eastAsia="zh-CN"/>
        </w:rPr>
      </w:pPr>
      <w:r>
        <w:drawing>
          <wp:inline distT="0" distB="0" distL="0" distR="0">
            <wp:extent cx="6095365" cy="3096260"/>
            <wp:effectExtent l="0" t="0" r="635" b="8890"/>
            <wp:docPr id="105494634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hint="eastAsia"/>
          <w:lang w:eastAsia="zh-CN"/>
        </w:rPr>
        <w:t>来源：QYResearc</w:t>
      </w:r>
      <w:r>
        <w:rPr>
          <w:lang w:eastAsia="zh-CN"/>
        </w:rPr>
        <w:t>h</w:t>
      </w:r>
      <w:r>
        <w:rPr>
          <w:rFonts w:hint="eastAsia"/>
          <w:lang w:eastAsia="zh-CN"/>
        </w:rPr>
        <w:t>电子研究中心</w:t>
      </w:r>
    </w:p>
    <w:p w14:paraId="720E31E2">
      <w:pPr>
        <w:pStyle w:val="148"/>
        <w:rPr>
          <w:lang w:eastAsia="zh-CN"/>
        </w:rPr>
      </w:pPr>
      <w:r>
        <w:rPr>
          <w:rFonts w:hint="eastAsia"/>
          <w:lang w:eastAsia="zh-CN"/>
        </w:rPr>
        <w:t>中国</w:t>
      </w:r>
      <w:r>
        <w:rPr>
          <w:lang w:eastAsia="zh-CN"/>
        </w:rPr>
        <w:t>PVA海绵刷</w:t>
      </w:r>
      <w:r>
        <w:rPr>
          <w:rFonts w:hint="eastAsia"/>
          <w:lang w:eastAsia="zh-CN"/>
        </w:rPr>
        <w:t>市场前4强生产商排名及市场占有率（基于2</w:t>
      </w:r>
      <w:r>
        <w:rPr>
          <w:lang w:eastAsia="zh-CN"/>
        </w:rPr>
        <w:t>02</w:t>
      </w:r>
      <w:r>
        <w:rPr>
          <w:rFonts w:hint="eastAsia"/>
          <w:lang w:eastAsia="zh-CN"/>
        </w:rPr>
        <w:t>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4304030" cy="5694045"/>
            <wp:effectExtent l="0" t="0" r="1270" b="1905"/>
            <wp:docPr id="9675230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523010"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304030" cy="5694045"/>
                    </a:xfrm>
                    <a:prstGeom prst="rect">
                      <a:avLst/>
                    </a:prstGeom>
                    <a:noFill/>
                  </pic:spPr>
                </pic:pic>
              </a:graphicData>
            </a:graphic>
          </wp:inline>
        </w:drawing>
      </w:r>
    </w:p>
    <w:p w14:paraId="04A43543">
      <w:pPr>
        <w:pStyle w:val="143"/>
        <w:rPr>
          <w:lang w:eastAsia="zh-CN"/>
        </w:rPr>
      </w:pPr>
      <w:r>
        <w:rPr>
          <w:rFonts w:hint="eastAsia"/>
          <w:lang w:eastAsia="zh-CN"/>
        </w:rPr>
        <w:t>来源：QYResearch电子研究中心。行业处于不断变动之中，最新数据请联系QYResearch咨询。</w:t>
      </w:r>
    </w:p>
    <w:p w14:paraId="39055BB9">
      <w:pPr>
        <w:widowControl/>
        <w:topLinePunct w:val="0"/>
        <w:spacing w:after="0"/>
        <w:rPr>
          <w:rFonts w:ascii="Times New Roman" w:hAnsi="Times New Roman" w:cs="Times New Roman"/>
          <w:kern w:val="0"/>
          <w:sz w:val="22"/>
          <w:szCs w:val="22"/>
        </w:rPr>
      </w:pPr>
    </w:p>
    <w:p w14:paraId="2750F3DF">
      <w:pPr>
        <w:widowControl/>
        <w:topLinePunct w:val="0"/>
        <w:spacing w:after="0"/>
        <w:ind w:firstLine="440" w:firstLineChars="200"/>
        <w:rPr>
          <w:rFonts w:ascii="Times New Roman" w:hAnsi="Times New Roman" w:cs="Times New Roman"/>
          <w:kern w:val="0"/>
          <w:sz w:val="22"/>
          <w:szCs w:val="22"/>
        </w:rPr>
      </w:pPr>
      <w:r>
        <w:rPr>
          <w:rFonts w:ascii="Times New Roman" w:hAnsi="Times New Roman" w:cs="Times New Roman"/>
          <w:kern w:val="0"/>
          <w:sz w:val="22"/>
          <w:szCs w:val="22"/>
        </w:rPr>
        <w:t>根据QYResearch头部企业研究中心调研，</w:t>
      </w:r>
      <w:r>
        <w:rPr>
          <w:rFonts w:hint="eastAsia" w:ascii="Times New Roman" w:hAnsi="Times New Roman" w:cs="Times New Roman"/>
          <w:kern w:val="0"/>
          <w:sz w:val="22"/>
          <w:szCs w:val="22"/>
        </w:rPr>
        <w:t>中国</w:t>
      </w:r>
      <w:r>
        <w:rPr>
          <w:rFonts w:ascii="Times New Roman" w:hAnsi="Times New Roman" w:cs="Times New Roman"/>
          <w:kern w:val="0"/>
          <w:sz w:val="22"/>
          <w:szCs w:val="22"/>
        </w:rPr>
        <w:t>范围内PVA海绵刷生产商主要包括Aion、ITW Rippey、Entegris等。2024年，</w:t>
      </w:r>
      <w:r>
        <w:rPr>
          <w:rFonts w:hint="eastAsia" w:ascii="Times New Roman" w:hAnsi="Times New Roman" w:cs="Times New Roman"/>
          <w:kern w:val="0"/>
          <w:sz w:val="22"/>
          <w:szCs w:val="22"/>
        </w:rPr>
        <w:t>中国</w:t>
      </w:r>
      <w:r>
        <w:rPr>
          <w:rFonts w:ascii="Times New Roman" w:hAnsi="Times New Roman" w:cs="Times New Roman"/>
          <w:kern w:val="0"/>
          <w:sz w:val="22"/>
          <w:szCs w:val="22"/>
        </w:rPr>
        <w:t>前三大厂商占有</w:t>
      </w:r>
      <w:r>
        <w:rPr>
          <w:rFonts w:hint="eastAsia" w:ascii="Times New Roman" w:hAnsi="Times New Roman" w:cs="Times New Roman"/>
          <w:kern w:val="0"/>
          <w:sz w:val="22"/>
          <w:szCs w:val="22"/>
        </w:rPr>
        <w:t>98</w:t>
      </w:r>
      <w:r>
        <w:rPr>
          <w:rFonts w:ascii="Times New Roman" w:hAnsi="Times New Roman" w:cs="Times New Roman"/>
          <w:kern w:val="0"/>
          <w:sz w:val="22"/>
          <w:szCs w:val="22"/>
        </w:rPr>
        <w:t>%的市场份额。</w:t>
      </w:r>
    </w:p>
    <w:p w14:paraId="3E6DE9A8">
      <w:pPr>
        <w:pStyle w:val="148"/>
        <w:rPr>
          <w:lang w:eastAsia="zh-CN"/>
        </w:rPr>
      </w:pPr>
      <w:r>
        <w:rPr>
          <w:lang w:eastAsia="zh-CN"/>
        </w:rPr>
        <w:t>PVA海绵刷</w:t>
      </w:r>
      <w:r>
        <w:rPr>
          <w:rFonts w:hint="eastAsia"/>
          <w:lang w:eastAsia="zh-CN"/>
        </w:rPr>
        <w:t>，中国市场规模，按产品类型细分，卷状PVA海绵刷处于主导地位</w:t>
      </w:r>
    </w:p>
    <w:p w14:paraId="3E0AE9A5">
      <w:pPr>
        <w:pStyle w:val="145"/>
        <w:rPr>
          <w:lang w:val="en-US" w:eastAsia="zh-CN"/>
        </w:rPr>
      </w:pPr>
      <w:r>
        <w:rPr>
          <w:lang w:val="en-US" w:eastAsia="zh-CN"/>
        </w:rPr>
        <w:drawing>
          <wp:inline distT="0" distB="0" distL="0" distR="0">
            <wp:extent cx="6139180" cy="3048000"/>
            <wp:effectExtent l="0" t="0" r="0" b="0"/>
            <wp:docPr id="5834675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467561"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139180" cy="3048000"/>
                    </a:xfrm>
                    <a:prstGeom prst="rect">
                      <a:avLst/>
                    </a:prstGeom>
                    <a:noFill/>
                  </pic:spPr>
                </pic:pic>
              </a:graphicData>
            </a:graphic>
          </wp:inline>
        </w:drawing>
      </w:r>
    </w:p>
    <w:p w14:paraId="39AE0722">
      <w:pPr>
        <w:pStyle w:val="143"/>
        <w:rPr>
          <w:lang w:eastAsia="zh-CN"/>
        </w:rPr>
      </w:pPr>
      <w:r>
        <w:rPr>
          <w:rFonts w:hint="eastAsia"/>
          <w:lang w:eastAsia="zh-CN"/>
        </w:rPr>
        <w:t>来源：QYResearch电子研究中心</w:t>
      </w:r>
    </w:p>
    <w:p w14:paraId="380D9802">
      <w:pPr>
        <w:widowControl/>
        <w:topLinePunct w:val="0"/>
        <w:spacing w:after="0"/>
        <w:rPr>
          <w:rFonts w:ascii="Book Antiqua" w:hAnsi="Book Antiqua" w:cs="宋体"/>
          <w:kern w:val="0"/>
          <w:sz w:val="22"/>
          <w:szCs w:val="22"/>
        </w:rPr>
      </w:pPr>
    </w:p>
    <w:p w14:paraId="0F7D749A">
      <w:pPr>
        <w:ind w:firstLine="420" w:firstLineChars="200"/>
      </w:pPr>
      <w:r>
        <w:rPr>
          <w:rFonts w:hint="eastAsia"/>
        </w:rPr>
        <w:t>就产品类型而言，目前卷状PVA海绵刷是最主要的细分产品，占据85.54%的份额。</w:t>
      </w:r>
    </w:p>
    <w:p w14:paraId="60736854">
      <w:pPr>
        <w:widowControl/>
        <w:topLinePunct w:val="0"/>
        <w:spacing w:after="0"/>
        <w:jc w:val="left"/>
        <w:rPr>
          <w:rFonts w:ascii="Book Antiqua" w:hAnsi="Book Antiqua" w:cs="宋体"/>
          <w:kern w:val="0"/>
          <w:sz w:val="22"/>
          <w:szCs w:val="22"/>
        </w:rPr>
      </w:pPr>
      <w:r>
        <w:rPr>
          <w:rFonts w:ascii="Book Antiqua" w:hAnsi="Book Antiqua" w:cs="宋体"/>
          <w:kern w:val="0"/>
          <w:sz w:val="22"/>
          <w:szCs w:val="22"/>
        </w:rPr>
        <w:br w:type="page"/>
      </w:r>
    </w:p>
    <w:p w14:paraId="0B069045">
      <w:pPr>
        <w:pStyle w:val="148"/>
        <w:rPr>
          <w:lang w:eastAsia="zh-CN"/>
        </w:rPr>
      </w:pPr>
      <w:r>
        <w:rPr>
          <w:lang w:eastAsia="zh-CN"/>
        </w:rPr>
        <w:t>PVA海绵刷</w:t>
      </w:r>
      <w:r>
        <w:rPr>
          <w:rFonts w:hint="eastAsia"/>
          <w:lang w:eastAsia="zh-CN"/>
        </w:rPr>
        <w:t>，中国市场规模，按应用细分，半导体是最大的下游市场，占有93.62</w:t>
      </w:r>
      <w:r>
        <w:rPr>
          <w:lang w:eastAsia="zh-CN"/>
        </w:rPr>
        <w:t>%</w:t>
      </w:r>
      <w:r>
        <w:rPr>
          <w:rFonts w:hint="eastAsia"/>
          <w:lang w:eastAsia="zh-CN"/>
        </w:rPr>
        <w:t>的份额。</w:t>
      </w:r>
    </w:p>
    <w:p w14:paraId="676937AA">
      <w:pPr>
        <w:widowControl/>
        <w:topLinePunct w:val="0"/>
        <w:spacing w:after="0"/>
        <w:jc w:val="left"/>
        <w:rPr>
          <w:rFonts w:hint="eastAsia" w:ascii="宋体" w:hAnsi="宋体" w:cs="宋体"/>
          <w:kern w:val="0"/>
          <w:sz w:val="24"/>
          <w:szCs w:val="24"/>
        </w:rPr>
      </w:pPr>
      <w:r>
        <w:rPr>
          <w:rFonts w:hint="eastAsia" w:ascii="宋体" w:hAnsi="宋体" w:cs="宋体"/>
          <w:kern w:val="0"/>
          <w:sz w:val="24"/>
          <w:szCs w:val="24"/>
        </w:rPr>
        <w:drawing>
          <wp:inline distT="0" distB="0" distL="0" distR="0">
            <wp:extent cx="6279515" cy="2816860"/>
            <wp:effectExtent l="0" t="0" r="6985" b="2540"/>
            <wp:docPr id="17613773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377349"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279515" cy="2816860"/>
                    </a:xfrm>
                    <a:prstGeom prst="rect">
                      <a:avLst/>
                    </a:prstGeom>
                    <a:noFill/>
                  </pic:spPr>
                </pic:pic>
              </a:graphicData>
            </a:graphic>
          </wp:inline>
        </w:drawing>
      </w:r>
      <w:bookmarkStart w:id="18" w:name="_GoBack"/>
      <w:bookmarkEnd w:id="18"/>
    </w:p>
    <w:p w14:paraId="1753BDFC">
      <w:pPr>
        <w:pStyle w:val="143"/>
        <w:rPr>
          <w:lang w:eastAsia="zh-CN"/>
        </w:rPr>
      </w:pPr>
      <w:r>
        <w:rPr>
          <w:rFonts w:hint="eastAsia"/>
          <w:lang w:eastAsia="zh-CN"/>
        </w:rPr>
        <w:t>来源：QYResearch电子研究中心</w:t>
      </w:r>
    </w:p>
    <w:p w14:paraId="5AF35C27">
      <w:pPr>
        <w:pStyle w:val="143"/>
        <w:rPr>
          <w:lang w:val="en-US" w:eastAsia="zh-CN"/>
        </w:rPr>
      </w:pPr>
    </w:p>
    <w:p w14:paraId="5ECC8E38">
      <w:pPr>
        <w:ind w:firstLine="420" w:firstLineChars="200"/>
      </w:pPr>
      <w:r>
        <w:rPr>
          <w:rFonts w:hint="eastAsia"/>
        </w:rPr>
        <w:t>就产品应用而言，目前半导体是最主要的需求来源，占据93.62%的份额。</w:t>
      </w:r>
    </w:p>
    <w:p w14:paraId="6C34163A">
      <w:pPr>
        <w:widowControl/>
        <w:topLinePunct w:val="0"/>
        <w:spacing w:after="0"/>
        <w:jc w:val="left"/>
      </w:pPr>
      <w:r>
        <w:br w:type="page"/>
      </w:r>
    </w:p>
    <w:p w14:paraId="4677FC25">
      <w:pPr>
        <w:pStyle w:val="167"/>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51"/>
        <w:gridCol w:w="7511"/>
      </w:tblGrid>
      <w:tr w14:paraId="430D8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trPr>
        <w:tc>
          <w:tcPr>
            <w:tcW w:w="1117" w:type="pct"/>
            <w:vMerge w:val="restart"/>
          </w:tcPr>
          <w:p w14:paraId="1880547C">
            <w:pPr>
              <w:rPr>
                <w:rFonts w:cs="Times New Roman"/>
                <w:kern w:val="0"/>
                <w:sz w:val="20"/>
                <w:szCs w:val="20"/>
              </w:rPr>
            </w:pPr>
            <w:r>
              <w:rPr>
                <w:rFonts w:cs="Times New Roman"/>
                <w:kern w:val="0"/>
                <w:sz w:val="20"/>
                <w:szCs w:val="20"/>
              </w:rPr>
              <w:drawing>
                <wp:inline distT="0" distB="0" distL="0" distR="0">
                  <wp:extent cx="1419225" cy="1985010"/>
                  <wp:effectExtent l="0" t="0" r="0" b="0"/>
                  <wp:docPr id="19" name="图片 19" descr="D:\Program Files\QQ\1147699495\Image\C2C\Image8\_101770509__c9e25a4bf0465a06422bd740162e5ba9_-1689845895_mmexport1693883519297_0_wifi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Program Files\QQ\1147699495\Image\C2C\Image8\_101770509__c9e25a4bf0465a06422bd740162e5ba9_-1689845895_mmexport1693883519297_0_wifi_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443917" cy="2019660"/>
                          </a:xfrm>
                          <a:prstGeom prst="rect">
                            <a:avLst/>
                          </a:prstGeom>
                          <a:noFill/>
                          <a:ln>
                            <a:noFill/>
                          </a:ln>
                        </pic:spPr>
                      </pic:pic>
                    </a:graphicData>
                  </a:graphic>
                </wp:inline>
              </w:drawing>
            </w:r>
          </w:p>
        </w:tc>
        <w:tc>
          <w:tcPr>
            <w:tcW w:w="3883" w:type="pct"/>
            <w:vAlign w:val="center"/>
          </w:tcPr>
          <w:p w14:paraId="0E35DA8A">
            <w:pPr>
              <w:rPr>
                <w:rFonts w:cs="Times New Roman"/>
                <w:kern w:val="0"/>
                <w:sz w:val="20"/>
                <w:szCs w:val="20"/>
              </w:rPr>
            </w:pPr>
          </w:p>
        </w:tc>
      </w:tr>
      <w:tr w14:paraId="7C4FC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4" w:hRule="atLeast"/>
        </w:trPr>
        <w:tc>
          <w:tcPr>
            <w:tcW w:w="1117" w:type="pct"/>
            <w:vMerge w:val="continue"/>
          </w:tcPr>
          <w:p w14:paraId="797A69A3">
            <w:pPr>
              <w:rPr>
                <w:rFonts w:cs="Times New Roman"/>
                <w:kern w:val="0"/>
                <w:sz w:val="20"/>
                <w:szCs w:val="20"/>
              </w:rPr>
            </w:pPr>
          </w:p>
        </w:tc>
        <w:tc>
          <w:tcPr>
            <w:tcW w:w="3883" w:type="pct"/>
            <w:vAlign w:val="center"/>
          </w:tcPr>
          <w:p w14:paraId="68338022">
            <w:pPr>
              <w:rPr>
                <w:rFonts w:cstheme="minorBidi"/>
                <w:color w:val="0D0D0D" w:themeColor="text1" w:themeTint="F2"/>
                <w:kern w:val="0"/>
                <w:sz w:val="21"/>
                <w:szCs w:val="22"/>
                <w:lang w:val="en-IN"/>
                <w14:textFill>
                  <w14:solidFill>
                    <w14:schemeClr w14:val="tx1">
                      <w14:lumMod w14:val="95000"/>
                      <w14:lumOff w14:val="5000"/>
                    </w14:schemeClr>
                  </w14:solidFill>
                </w14:textFill>
              </w:rPr>
            </w:pPr>
            <w:r>
              <w:rPr>
                <w:rFonts w:hint="eastAsia" w:cstheme="minorBidi"/>
                <w:color w:val="0D0D0D" w:themeColor="text1" w:themeTint="F2"/>
                <w:kern w:val="0"/>
                <w:sz w:val="21"/>
                <w:szCs w:val="22"/>
                <w:lang w:val="en-IN"/>
                <w14:textFill>
                  <w14:solidFill>
                    <w14:schemeClr w14:val="tx1">
                      <w14:lumMod w14:val="95000"/>
                      <w14:lumOff w14:val="5000"/>
                    </w14:schemeClr>
                  </w14:solidFill>
                </w14:textFill>
              </w:rPr>
              <w:t>秦伟——本文主要分析师</w:t>
            </w:r>
          </w:p>
          <w:p w14:paraId="1AC7842D">
            <w:pPr>
              <w:rPr>
                <w:rFonts w:cstheme="minorBidi"/>
                <w:color w:val="0D0D0D" w:themeColor="text1" w:themeTint="F2"/>
                <w:kern w:val="0"/>
                <w:sz w:val="21"/>
                <w:szCs w:val="22"/>
                <w:lang w:val="en-IN"/>
                <w14:textFill>
                  <w14:solidFill>
                    <w14:schemeClr w14:val="tx1">
                      <w14:lumMod w14:val="95000"/>
                      <w14:lumOff w14:val="5000"/>
                    </w14:schemeClr>
                  </w14:solidFill>
                </w14:textFill>
              </w:rPr>
            </w:pPr>
            <w:r>
              <w:rPr>
                <w:rFonts w:cstheme="minorBidi"/>
                <w:color w:val="0D0D0D" w:themeColor="text1" w:themeTint="F2"/>
                <w:kern w:val="0"/>
                <w:sz w:val="21"/>
                <w:szCs w:val="22"/>
                <w:lang w:val="en-IN"/>
                <w14:textFill>
                  <w14:solidFill>
                    <w14:schemeClr w14:val="tx1">
                      <w14:lumMod w14:val="95000"/>
                      <w14:lumOff w14:val="5000"/>
                    </w14:schemeClr>
                  </w14:solidFill>
                </w14:textFill>
              </w:rPr>
              <w:t>qinwei@qyresearch.com</w:t>
            </w:r>
          </w:p>
          <w:p w14:paraId="7326746E">
            <w:pPr>
              <w:rPr>
                <w:rFonts w:cstheme="minorBidi"/>
                <w:color w:val="0D0D0D" w:themeColor="text1" w:themeTint="F2"/>
                <w:kern w:val="0"/>
                <w:sz w:val="21"/>
                <w:szCs w:val="22"/>
                <w:lang w:val="en-IN"/>
                <w14:textFill>
                  <w14:solidFill>
                    <w14:schemeClr w14:val="tx1">
                      <w14:lumMod w14:val="95000"/>
                      <w14:lumOff w14:val="5000"/>
                    </w14:schemeClr>
                  </w14:solidFill>
                </w14:textFill>
              </w:rPr>
            </w:pPr>
          </w:p>
          <w:p w14:paraId="254DA81C">
            <w:pPr>
              <w:rPr>
                <w:rFonts w:cstheme="minorBidi"/>
                <w:color w:val="0D0D0D" w:themeColor="text1" w:themeTint="F2"/>
                <w:kern w:val="0"/>
                <w:sz w:val="21"/>
                <w:szCs w:val="22"/>
                <w:lang w:val="en-IN"/>
                <w14:textFill>
                  <w14:solidFill>
                    <w14:schemeClr w14:val="tx1">
                      <w14:lumMod w14:val="95000"/>
                      <w14:lumOff w14:val="5000"/>
                    </w14:schemeClr>
                  </w14:solidFill>
                </w14:textFill>
              </w:rPr>
            </w:pPr>
            <w:r>
              <w:rPr>
                <w:rFonts w:hint="eastAsia" w:cstheme="minorBidi"/>
                <w:color w:val="0D0D0D" w:themeColor="text1" w:themeTint="F2"/>
                <w:kern w:val="0"/>
                <w:sz w:val="21"/>
                <w:szCs w:val="22"/>
                <w:lang w:val="en-IN"/>
                <w14:textFill>
                  <w14:solidFill>
                    <w14:schemeClr w14:val="tx1">
                      <w14:lumMod w14:val="95000"/>
                      <w14:lumOff w14:val="5000"/>
                    </w14:schemeClr>
                  </w14:solidFill>
                </w14:textFill>
              </w:rPr>
              <w:t>拥有</w:t>
            </w:r>
            <w:r>
              <w:rPr>
                <w:rFonts w:cstheme="minorBidi"/>
                <w:color w:val="0D0D0D" w:themeColor="text1" w:themeTint="F2"/>
                <w:kern w:val="0"/>
                <w:sz w:val="21"/>
                <w:szCs w:val="22"/>
                <w:lang w:val="en-IN"/>
                <w14:textFill>
                  <w14:solidFill>
                    <w14:schemeClr w14:val="tx1">
                      <w14:lumMod w14:val="95000"/>
                      <w14:lumOff w14:val="5000"/>
                    </w14:schemeClr>
                  </w14:solidFill>
                </w14:textFill>
              </w:rPr>
              <w:t>10</w:t>
            </w:r>
            <w:r>
              <w:rPr>
                <w:rFonts w:hint="eastAsia" w:cstheme="minorBidi"/>
                <w:color w:val="0D0D0D" w:themeColor="text1" w:themeTint="F2"/>
                <w:kern w:val="0"/>
                <w:sz w:val="21"/>
                <w:szCs w:val="22"/>
                <w:lang w:val="en-IN"/>
                <w14:textFill>
                  <w14:solidFill>
                    <w14:schemeClr w14:val="tx1">
                      <w14:lumMod w14:val="95000"/>
                      <w14:lumOff w14:val="5000"/>
                    </w14:schemeClr>
                  </w14:solidFill>
                </w14:textFill>
              </w:rPr>
              <w:t>年以上行业数据分析经验，专注于电子及通信领域。</w:t>
            </w:r>
          </w:p>
          <w:p w14:paraId="2F36EF4C">
            <w:pPr>
              <w:rPr>
                <w:rFonts w:cstheme="minorBidi"/>
                <w:color w:val="0D0D0D" w:themeColor="text1" w:themeTint="F2"/>
                <w:kern w:val="0"/>
                <w:sz w:val="21"/>
                <w:szCs w:val="22"/>
                <w:lang w:val="en-IN"/>
                <w14:textFill>
                  <w14:solidFill>
                    <w14:schemeClr w14:val="tx1">
                      <w14:lumMod w14:val="95000"/>
                      <w14:lumOff w14:val="5000"/>
                    </w14:schemeClr>
                  </w14:solidFill>
                </w14:textFill>
              </w:rPr>
            </w:pPr>
            <w:r>
              <w:rPr>
                <w:rFonts w:hint="eastAsia" w:cstheme="minorBidi"/>
                <w:color w:val="0D0D0D" w:themeColor="text1" w:themeTint="F2"/>
                <w:kern w:val="0"/>
                <w:sz w:val="21"/>
                <w:szCs w:val="22"/>
                <w:lang w:val="en-IN"/>
                <w14:textFill>
                  <w14:solidFill>
                    <w14:schemeClr w14:val="tx1">
                      <w14:lumMod w14:val="95000"/>
                      <w14:lumOff w14:val="5000"/>
                    </w14:schemeClr>
                  </w14:solidFill>
                </w14:textFill>
              </w:rPr>
              <w:t>主要负责收集、整理和分析电子及通信行业市场数据，为公司制定市场战略提供数据支持；进行市场调研，撰写市场分析报告，为新产品立项提供依据；跟踪产品销售数据，分析销售趋势，预测市场前景，通过对市场数据的深入分析，为企业制定市场战略、优化产品线提供支持。</w:t>
            </w:r>
          </w:p>
          <w:p w14:paraId="69870821">
            <w:pPr>
              <w:rPr>
                <w:rFonts w:cstheme="minorBidi"/>
                <w:color w:val="0D0D0D" w:themeColor="text1" w:themeTint="F2"/>
                <w:kern w:val="0"/>
                <w:sz w:val="21"/>
                <w:szCs w:val="22"/>
                <w:lang w:val="en-IN"/>
                <w14:textFill>
                  <w14:solidFill>
                    <w14:schemeClr w14:val="tx1">
                      <w14:lumMod w14:val="95000"/>
                      <w14:lumOff w14:val="5000"/>
                    </w14:schemeClr>
                  </w14:solidFill>
                </w14:textFill>
              </w:rPr>
            </w:pPr>
            <w:r>
              <w:rPr>
                <w:rFonts w:hint="eastAsia" w:cstheme="minorBidi"/>
                <w:color w:val="0D0D0D" w:themeColor="text1" w:themeTint="F2"/>
                <w:kern w:val="0"/>
                <w:sz w:val="21"/>
                <w:szCs w:val="22"/>
                <w:lang w:val="en-IN"/>
                <w14:textFill>
                  <w14:solidFill>
                    <w14:schemeClr w14:val="tx1">
                      <w14:lumMod w14:val="95000"/>
                      <w14:lumOff w14:val="5000"/>
                    </w14:schemeClr>
                  </w14:solidFill>
                </w14:textFill>
              </w:rPr>
              <w:t>凭借坚实的电气工程基础和对新兴技术的热情，多年来一直在研究和分析该行业的关键领域，包括半导体、无线通信系统、消费电子产品和物联网 (IoT)。</w:t>
            </w:r>
          </w:p>
        </w:tc>
      </w:tr>
    </w:tbl>
    <w:p w14:paraId="4116935C">
      <w:pPr>
        <w:pStyle w:val="145"/>
        <w:rPr>
          <w:lang w:eastAsia="zh-CN"/>
        </w:rPr>
      </w:pPr>
    </w:p>
    <w:p w14:paraId="3E62B825">
      <w:pPr>
        <w:widowControl/>
        <w:topLinePunct w:val="0"/>
        <w:spacing w:after="0"/>
        <w:jc w:val="left"/>
        <w:rPr>
          <w:rFonts w:cs="Calibri"/>
          <w:b/>
          <w:color w:val="FF8200"/>
          <w:spacing w:val="-3"/>
          <w:kern w:val="0"/>
          <w:sz w:val="24"/>
          <w:szCs w:val="40"/>
        </w:rPr>
      </w:pPr>
      <w:r>
        <w:br w:type="page"/>
      </w: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5"/>
                    <a:stretch>
                      <a:fillRect/>
                    </a:stretch>
                  </pic:blipFill>
                  <pic:spPr>
                    <a:xfrm>
                      <a:off x="0" y="0"/>
                      <a:ext cx="1219048" cy="552381"/>
                    </a:xfrm>
                    <a:prstGeom prst="rect">
                      <a:avLst/>
                    </a:prstGeom>
                  </pic:spPr>
                </pic:pic>
              </a:graphicData>
            </a:graphic>
          </wp:inline>
        </w:drawing>
      </w:r>
    </w:p>
    <w:p w14:paraId="3055D25F">
      <w:pPr>
        <w:pStyle w:val="145"/>
        <w:rPr>
          <w:lang w:eastAsia="zh-CN"/>
        </w:rPr>
      </w:pPr>
      <w:r>
        <w:rPr>
          <w:lang w:eastAsia="zh-CN"/>
        </w:rPr>
        <w:t>https://www.qyresearch.com</w:t>
      </w:r>
    </w:p>
    <w:p w14:paraId="044563DD">
      <w:pPr>
        <w:pStyle w:val="145"/>
        <w:rPr>
          <w:lang w:eastAsia="zh-CN"/>
        </w:rPr>
      </w:pPr>
      <w:r>
        <w:rPr>
          <w:rFonts w:hint="eastAsia"/>
          <w:lang w:eastAsia="zh-CN"/>
        </w:rPr>
        <w:t>QYResearch（北京恒州博智国际信息咨询有限公司）成立于2007年，总部位于美国洛杉矶和中国北京。QYResearch专注为企业提供专业的市场调查报告、行业研究报告、可行性研究、IPO咨询（数据被国内招股说明书或年报大量引用）、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南宁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Book Antiqua">
    <w:panose1 w:val="02040602050305030304"/>
    <w:charset w:val="01"/>
    <w:family w:val="auto"/>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中国市场研究报告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中国市场研究报告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064"/>
    <w:rsid w:val="00035858"/>
    <w:rsid w:val="00035DD2"/>
    <w:rsid w:val="000361A6"/>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BF9"/>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63B"/>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816"/>
    <w:rsid w:val="00082CAC"/>
    <w:rsid w:val="00082D3E"/>
    <w:rsid w:val="00082EAE"/>
    <w:rsid w:val="0008345E"/>
    <w:rsid w:val="0008353C"/>
    <w:rsid w:val="00083794"/>
    <w:rsid w:val="00083A84"/>
    <w:rsid w:val="00083BBA"/>
    <w:rsid w:val="00083D9E"/>
    <w:rsid w:val="0008427D"/>
    <w:rsid w:val="000843AA"/>
    <w:rsid w:val="000845D0"/>
    <w:rsid w:val="0008468A"/>
    <w:rsid w:val="000846FB"/>
    <w:rsid w:val="00084739"/>
    <w:rsid w:val="000847B8"/>
    <w:rsid w:val="00084C40"/>
    <w:rsid w:val="00084CE6"/>
    <w:rsid w:val="0008540C"/>
    <w:rsid w:val="0008573F"/>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E7E"/>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AA8"/>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3D04"/>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6D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2EC"/>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5E4"/>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65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4DA"/>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63F"/>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337"/>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54A"/>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C4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AB8"/>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8B2"/>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5C3"/>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3D3"/>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E45"/>
    <w:rsid w:val="003B2F2D"/>
    <w:rsid w:val="003B311E"/>
    <w:rsid w:val="003B32F1"/>
    <w:rsid w:val="003B347E"/>
    <w:rsid w:val="003B3709"/>
    <w:rsid w:val="003B39DC"/>
    <w:rsid w:val="003B3B53"/>
    <w:rsid w:val="003B3BA0"/>
    <w:rsid w:val="003B3E05"/>
    <w:rsid w:val="003B4503"/>
    <w:rsid w:val="003B450C"/>
    <w:rsid w:val="003B46C8"/>
    <w:rsid w:val="003B46D7"/>
    <w:rsid w:val="003B4A1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62B"/>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A51"/>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30A"/>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A63"/>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50"/>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7D3"/>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A4F"/>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0CE"/>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259"/>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72"/>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73F"/>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5E7"/>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6DF"/>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48A7"/>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4F36"/>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A98"/>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2F0"/>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DBE"/>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A7A"/>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1F9E"/>
    <w:rsid w:val="009720CB"/>
    <w:rsid w:val="00972C60"/>
    <w:rsid w:val="0097311B"/>
    <w:rsid w:val="009733AB"/>
    <w:rsid w:val="009735DA"/>
    <w:rsid w:val="009735EC"/>
    <w:rsid w:val="009738BE"/>
    <w:rsid w:val="00974063"/>
    <w:rsid w:val="00974173"/>
    <w:rsid w:val="00974579"/>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2CF"/>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316"/>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C54"/>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0D79"/>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35"/>
    <w:rsid w:val="00A51D80"/>
    <w:rsid w:val="00A51DB8"/>
    <w:rsid w:val="00A5231A"/>
    <w:rsid w:val="00A52367"/>
    <w:rsid w:val="00A52392"/>
    <w:rsid w:val="00A529A4"/>
    <w:rsid w:val="00A52F7F"/>
    <w:rsid w:val="00A52FAB"/>
    <w:rsid w:val="00A537F2"/>
    <w:rsid w:val="00A53B86"/>
    <w:rsid w:val="00A53C60"/>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3BA"/>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D42"/>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9E3"/>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6FF7"/>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8B4"/>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23C"/>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5C7D"/>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1D"/>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4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348"/>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AB"/>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2B5"/>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27EF5"/>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66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5B9"/>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AB3"/>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40"/>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C9E"/>
    <w:rsid w:val="00FC2E80"/>
    <w:rsid w:val="00FC3115"/>
    <w:rsid w:val="00FC36CA"/>
    <w:rsid w:val="00FC389B"/>
    <w:rsid w:val="00FC3936"/>
    <w:rsid w:val="00FC3949"/>
    <w:rsid w:val="00FC3B75"/>
    <w:rsid w:val="00FC3BF6"/>
    <w:rsid w:val="00FC409E"/>
    <w:rsid w:val="00FC428D"/>
    <w:rsid w:val="00FC445C"/>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02"/>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5FDB"/>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13E65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png"/><Relationship Id="rId14" Type="http://schemas.openxmlformats.org/officeDocument/2006/relationships/image" Target="media/image7.jpe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11476\Desktop\&#23459;&#20256;&#25991;&#20214;\&#23459;&#20256;&#26448;&#26009;%20&#27169;&#26495;Word%2020240903\&#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solidFill>
                <a:latin typeface="Times New Roman" panose="02020603050405020304" charset="0"/>
                <a:ea typeface="+mn-ea"/>
                <a:cs typeface="Times New Roman" panose="02020603050405020304" charset="0"/>
              </a:defRPr>
            </a:pPr>
            <a:r>
              <a:rPr lang="zh-CN" altLang="en-US" sz="1100" b="0" i="0" u="none" strike="noStrike" kern="1200" spc="0" baseline="0">
                <a:solidFill>
                  <a:schemeClr val="tx1"/>
                </a:solidFill>
                <a:latin typeface="Times New Roman" panose="02020603050405020304" charset="0"/>
                <a:cs typeface="Times New Roman" panose="02020603050405020304" charset="0"/>
              </a:rPr>
              <a:t>中国市场规模 </a:t>
            </a:r>
            <a:r>
              <a:rPr lang="en-US" altLang="zh-CN" sz="1100" b="0" i="0" u="none" strike="noStrike" kern="1200" spc="0" baseline="0">
                <a:solidFill>
                  <a:schemeClr val="tx1"/>
                </a:solidFill>
                <a:latin typeface="Times New Roman" panose="02020603050405020304" charset="0"/>
                <a:cs typeface="Times New Roman" panose="02020603050405020304" charset="0"/>
              </a:rPr>
              <a:t>(</a:t>
            </a:r>
            <a:r>
              <a:rPr lang="zh-CN" altLang="en-US" sz="1100" b="0" i="0" u="none" strike="noStrike" kern="1200" spc="0" baseline="0">
                <a:solidFill>
                  <a:schemeClr val="tx1"/>
                </a:solidFill>
                <a:latin typeface="Times New Roman" panose="02020603050405020304" charset="0"/>
                <a:cs typeface="Times New Roman" panose="02020603050405020304" charset="0"/>
              </a:rPr>
              <a:t>百万美元</a:t>
            </a:r>
            <a:r>
              <a:rPr lang="en-US" altLang="zh-CN" sz="1100" b="0" i="0" u="none" strike="noStrike" kern="1200" spc="0" baseline="0">
                <a:solidFill>
                  <a:schemeClr val="tx1"/>
                </a:solidFill>
                <a:latin typeface="Times New Roman" panose="02020603050405020304" charset="0"/>
                <a:cs typeface="Times New Roman" panose="02020603050405020304" charset="0"/>
              </a:rPr>
              <a:t>), </a:t>
            </a:r>
            <a:r>
              <a:rPr lang="en-US" baseline="0">
                <a:solidFill>
                  <a:schemeClr val="tx1"/>
                </a:solidFill>
              </a:rPr>
              <a:t>2024 VS 2031</a:t>
            </a:r>
            <a:endParaRPr lang="en-US" baseline="0">
              <a:solidFill>
                <a:schemeClr val="tx1"/>
              </a:solidFill>
            </a:endParaRPr>
          </a:p>
        </c:rich>
      </c:tx>
      <c:layout/>
      <c:overlay val="0"/>
      <c:spPr>
        <a:noFill/>
        <a:ln>
          <a:noFill/>
        </a:ln>
        <a:effectLst/>
      </c:spPr>
    </c:title>
    <c:autoTitleDeleted val="0"/>
    <c:plotArea>
      <c:layout>
        <c:manualLayout>
          <c:layoutTarget val="inner"/>
          <c:xMode val="edge"/>
          <c:yMode val="edge"/>
          <c:x val="0.0254783950617284"/>
          <c:y val="0.139741503267974"/>
          <c:w val="0.956882716049383"/>
          <c:h val="0.7639781045751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全球总体!$T$6:$U$6</c:f>
              <c:numCache>
                <c:formatCode>General</c:formatCode>
                <c:ptCount val="2"/>
                <c:pt idx="0">
                  <c:v>2024</c:v>
                </c:pt>
                <c:pt idx="1">
                  <c:v>2031</c:v>
                </c:pt>
              </c:numCache>
            </c:numRef>
          </c:cat>
          <c:val>
            <c:numRef>
              <c:f>全球总体!$T$7:$U$7</c:f>
              <c:numCache>
                <c:formatCode>#,##0_ </c:formatCode>
                <c:ptCount val="2"/>
                <c:pt idx="0">
                  <c:v>212.03</c:v>
                </c:pt>
                <c:pt idx="1">
                  <c:v>337.39</c:v>
                </c:pt>
              </c:numCache>
            </c:numRef>
          </c:val>
        </c:ser>
        <c:dLbls>
          <c:showLegendKey val="0"/>
          <c:showVal val="0"/>
          <c:showCatName val="0"/>
          <c:showSerName val="0"/>
          <c:showPercent val="0"/>
          <c:showBubbleSize val="0"/>
        </c:dLbls>
        <c:gapWidth val="219"/>
        <c:overlap val="100"/>
        <c:serLines>
          <c:spPr>
            <a:ln w="15875" cap="flat"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a318045f-fbb2-47c4-89b2-e7fba72bf74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0.43661</cdr:x>
      <cdr:y>0.29825</cdr:y>
    </cdr:from>
    <cdr:to>
      <cdr:x>0.56834</cdr:x>
      <cdr:y>0.41076</cdr:y>
    </cdr:to>
    <cdr:sp>
      <cdr:nvSpPr>
        <cdr:cNvPr id="2" name="椭圆 1"/>
        <cdr:cNvSpPr/>
      </cdr:nvSpPr>
      <cdr:spPr xmlns:a="http://schemas.openxmlformats.org/drawingml/2006/main">
        <a:xfrm xmlns:a="http://schemas.openxmlformats.org/drawingml/2006/main" rot="20847704">
          <a:off x="2797794" y="912652"/>
          <a:ext cx="844098" cy="34427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en-US" sz="1100" b="0" i="0" u="none" strike="noStrike" baseline="0">
              <a:solidFill>
                <a:srgbClr val="000000"/>
              </a:solidFill>
              <a:latin typeface="Book Antiqua" panose="02040602050305030304"/>
              <a:ea typeface="宋体" panose="02010600030101010101" charset="-122"/>
              <a:cs typeface="Times New Roman" panose="02020603050405020304" charset="0"/>
            </a:rPr>
            <a:t>8.48%</a:t>
          </a:r>
          <a:endParaRPr lang="zh-CN" sz="1000" baseline="0">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CB353A-418F-4C14-A2B7-C8DA569F40D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2099</Words>
  <Characters>2406</Characters>
  <Lines>17</Lines>
  <Paragraphs>4</Paragraphs>
  <TotalTime>811</TotalTime>
  <ScaleCrop>false</ScaleCrop>
  <LinksUpToDate>false</LinksUpToDate>
  <CharactersWithSpaces>2411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2025-09-29T09:14:15Z</dcterms:modified>
  <cp:revision>974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FB2AF48E567444479DD1545876A2A427_12</vt:lpwstr>
  </property>
</Properties>
</file>