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960255" w14:textId="77777777" w:rsidR="00E500B7" w:rsidRDefault="00000000">
      <w:pPr>
        <w:pStyle w:val="3"/>
        <w:widowControl/>
        <w:shd w:val="clear" w:color="auto" w:fill="FFFFFF"/>
        <w:spacing w:before="384" w:beforeAutospacing="0" w:after="192" w:afterAutospacing="0" w:line="360" w:lineRule="atLeast"/>
        <w:jc w:val="center"/>
        <w:rPr>
          <w:rFonts w:ascii="Segoe UI" w:hAnsi="Segoe UI" w:cs="Segoe UI" w:hint="default"/>
          <w:color w:val="0F1115"/>
          <w:sz w:val="24"/>
          <w:szCs w:val="24"/>
        </w:rPr>
      </w:pPr>
      <w:r>
        <w:rPr>
          <w:rStyle w:val="a4"/>
          <w:rFonts w:ascii="Segoe UI" w:eastAsia="Segoe UI" w:hAnsi="Segoe UI" w:cs="Segoe UI" w:hint="default"/>
          <w:b/>
          <w:color w:val="0F1115"/>
          <w:sz w:val="24"/>
          <w:szCs w:val="24"/>
          <w:shd w:val="clear" w:color="auto" w:fill="FFFFFF"/>
        </w:rPr>
        <w:t>并网点在电流互感器前</w:t>
      </w:r>
      <w:r>
        <w:rPr>
          <w:rStyle w:val="a4"/>
          <w:rFonts w:ascii="Segoe UI" w:hAnsi="Segoe UI" w:cs="Segoe UI"/>
          <w:b/>
          <w:color w:val="0F1115"/>
          <w:sz w:val="24"/>
          <w:szCs w:val="24"/>
          <w:shd w:val="clear" w:color="auto" w:fill="FFFFFF"/>
        </w:rPr>
        <w:t>，如何</w:t>
      </w:r>
      <w:r>
        <w:rPr>
          <w:rStyle w:val="a4"/>
          <w:rFonts w:ascii="Segoe UI" w:eastAsia="Segoe UI" w:hAnsi="Segoe UI" w:cs="Segoe UI" w:hint="default"/>
          <w:b/>
          <w:color w:val="0F1115"/>
          <w:sz w:val="24"/>
          <w:szCs w:val="24"/>
          <w:shd w:val="clear" w:color="auto" w:fill="FFFFFF"/>
        </w:rPr>
        <w:t>提升功率因数</w:t>
      </w:r>
      <w:r>
        <w:rPr>
          <w:rStyle w:val="a4"/>
          <w:rFonts w:ascii="Segoe UI" w:hAnsi="Segoe UI" w:cs="Segoe UI"/>
          <w:b/>
          <w:color w:val="0F1115"/>
          <w:sz w:val="24"/>
          <w:szCs w:val="24"/>
          <w:shd w:val="clear" w:color="auto" w:fill="FFFFFF"/>
        </w:rPr>
        <w:t>？</w:t>
      </w:r>
    </w:p>
    <w:p w14:paraId="24E46B78" w14:textId="77777777" w:rsidR="00E500B7" w:rsidRPr="00C65CBC" w:rsidRDefault="00000000" w:rsidP="00077DB1">
      <w:pPr>
        <w:pStyle w:val="a3"/>
        <w:widowControl/>
        <w:shd w:val="clear" w:color="auto" w:fill="FFFFFF"/>
        <w:spacing w:before="192" w:after="192"/>
        <w:rPr>
          <w:rFonts w:asciiTheme="minorEastAsia" w:hAnsiTheme="minorEastAsia" w:cs="Segoe UI" w:hint="eastAsia"/>
          <w:color w:val="0F1115"/>
          <w:shd w:val="clear" w:color="auto" w:fill="FFFFFF"/>
        </w:rPr>
      </w:pPr>
      <w:r w:rsidRPr="00C65CBC">
        <w:rPr>
          <w:rFonts w:asciiTheme="minorEastAsia" w:hAnsiTheme="minorEastAsia" w:cs="Segoe UI"/>
          <w:color w:val="0F1115"/>
          <w:shd w:val="clear" w:color="auto" w:fill="FFFFFF"/>
        </w:rPr>
        <w:t>在工厂或企业的配电管理中，功率因数是供电部门重点考核的电费指标之一。</w:t>
      </w:r>
      <w:proofErr w:type="gramStart"/>
      <w:r w:rsidRPr="00C65CBC">
        <w:rPr>
          <w:rFonts w:asciiTheme="minorEastAsia" w:hAnsiTheme="minorEastAsia" w:cs="Segoe UI"/>
          <w:color w:val="0F1115"/>
          <w:shd w:val="clear" w:color="auto" w:fill="FFFFFF"/>
        </w:rPr>
        <w:t>若功</w:t>
      </w:r>
      <w:proofErr w:type="gramEnd"/>
      <w:r w:rsidRPr="00C65CBC">
        <w:rPr>
          <w:rFonts w:asciiTheme="minorEastAsia" w:hAnsiTheme="minorEastAsia" w:cs="Segoe UI"/>
          <w:color w:val="0F1115"/>
          <w:shd w:val="clear" w:color="auto" w:fill="FFFFFF"/>
        </w:rPr>
        <w:t>率因数偏低，说明系统中不做功的无功功率占比过高，不仅降低电网效率，还可能因供电局罚款而增加用电成本。在实际应用中，一个常见难题是：光</w:t>
      </w:r>
      <w:proofErr w:type="gramStart"/>
      <w:r w:rsidRPr="00C65CBC">
        <w:rPr>
          <w:rFonts w:asciiTheme="minorEastAsia" w:hAnsiTheme="minorEastAsia" w:cs="Segoe UI"/>
          <w:color w:val="0F1115"/>
          <w:shd w:val="clear" w:color="auto" w:fill="FFFFFF"/>
        </w:rPr>
        <w:t>伏系统</w:t>
      </w:r>
      <w:proofErr w:type="gramEnd"/>
      <w:r w:rsidRPr="00C65CBC">
        <w:rPr>
          <w:rFonts w:asciiTheme="minorEastAsia" w:hAnsiTheme="minorEastAsia" w:cs="Segoe UI"/>
          <w:color w:val="0F1115"/>
          <w:shd w:val="clear" w:color="auto" w:fill="FFFFFF"/>
        </w:rPr>
        <w:t>的并网点位于无功补偿装置的电流互感器之前。这种布置导致无功补偿控制器无法准确采集电网侧的真实有功与无功电流，因而不能正确投切补偿电容。即便投入补偿，也往往效果有限，功率因数仍然难以达标，电费成本依旧居高不下</w:t>
      </w:r>
      <w:r w:rsidRPr="00C65CBC">
        <w:rPr>
          <w:rFonts w:asciiTheme="minorEastAsia" w:hAnsiTheme="minorEastAsia" w:cs="Segoe UI" w:hint="eastAsia"/>
          <w:color w:val="0F1115"/>
          <w:shd w:val="clear" w:color="auto" w:fill="FFFFFF"/>
        </w:rPr>
        <w:t>。</w:t>
      </w:r>
    </w:p>
    <w:p w14:paraId="69FBA658" w14:textId="5D9459C0" w:rsidR="00E500B7" w:rsidRPr="00C65CBC" w:rsidRDefault="00000000" w:rsidP="00077DB1">
      <w:pPr>
        <w:pStyle w:val="a3"/>
        <w:widowControl/>
        <w:shd w:val="clear" w:color="auto" w:fill="FFFFFF"/>
        <w:spacing w:before="192" w:after="192"/>
        <w:rPr>
          <w:rFonts w:asciiTheme="minorEastAsia" w:hAnsiTheme="minorEastAsia" w:cs="Segoe UI" w:hint="eastAsia"/>
          <w:color w:val="0F1115"/>
          <w:shd w:val="clear" w:color="auto" w:fill="FFFFFF"/>
        </w:rPr>
      </w:pPr>
      <w:r w:rsidRPr="00C65CBC">
        <w:rPr>
          <w:rFonts w:asciiTheme="minorEastAsia" w:hAnsiTheme="minorEastAsia" w:cs="Segoe UI"/>
          <w:color w:val="0F1115"/>
          <w:shd w:val="clear" w:color="auto" w:fill="FFFFFF"/>
        </w:rPr>
        <w:t>最直接的解决方案是停电，改造线路，将补偿装置的电流互感器移至供电局计量互感器之前。但这意味着生产线停工，造成经济损失，且审批和施工流程复杂。那么，有没有不停电的解决方案？</w:t>
      </w:r>
    </w:p>
    <w:p w14:paraId="7629704E" w14:textId="77777777" w:rsidR="00E500B7" w:rsidRPr="00C65CBC" w:rsidRDefault="00000000" w:rsidP="00077DB1">
      <w:pPr>
        <w:widowControl/>
        <w:spacing w:beforeAutospacing="1" w:afterAutospacing="1"/>
        <w:rPr>
          <w:rFonts w:asciiTheme="minorEastAsia" w:hAnsiTheme="minorEastAsia" w:cs="Segoe UI" w:hint="eastAsia"/>
          <w:color w:val="0F1115"/>
          <w:sz w:val="24"/>
          <w:shd w:val="clear" w:color="auto" w:fill="FFFFFF"/>
        </w:rPr>
      </w:pPr>
      <w:r w:rsidRPr="00C65CBC">
        <w:rPr>
          <w:rFonts w:asciiTheme="minorEastAsia" w:hAnsiTheme="minorEastAsia" w:cs="Segoe UI" w:hint="eastAsia"/>
          <w:color w:val="0F1115"/>
          <w:sz w:val="24"/>
          <w:shd w:val="clear" w:color="auto" w:fill="FFFFFF"/>
        </w:rPr>
        <w:t>针对上述情况可以选择两种解决方案：</w:t>
      </w:r>
    </w:p>
    <w:p w14:paraId="0C8093BA" w14:textId="2C46EA8E" w:rsidR="00E500B7" w:rsidRPr="00C65CBC" w:rsidRDefault="00077DB1" w:rsidP="00077DB1">
      <w:pPr>
        <w:widowControl/>
        <w:spacing w:beforeAutospacing="1" w:afterAutospacing="1"/>
        <w:rPr>
          <w:rFonts w:asciiTheme="minorEastAsia" w:hAnsiTheme="minorEastAsia" w:cs="Segoe UI" w:hint="eastAsia"/>
          <w:color w:val="0F1115"/>
          <w:sz w:val="24"/>
          <w:shd w:val="clear" w:color="auto" w:fill="FFFFFF"/>
        </w:rPr>
      </w:pPr>
      <w:r w:rsidRPr="00C65CBC">
        <w:rPr>
          <w:rFonts w:asciiTheme="minorEastAsia" w:hAnsiTheme="minorEastAsia" w:cs="微软雅黑" w:hint="eastAsia"/>
          <w:color w:val="0F1115"/>
          <w:sz w:val="24"/>
          <w:shd w:val="clear" w:color="auto" w:fill="FFFFFF"/>
        </w:rPr>
        <w:t>（1）将计量侧的电流互感器接入无功补偿控制器的电流采样端子。当控制器检测到功率因数下降时，会迅速投入电容器组，从源头上补偿无功功率，使功率因数即刻提升至设定目标值（例如</w:t>
      </w:r>
      <w:r w:rsidRPr="00C65CBC">
        <w:rPr>
          <w:rFonts w:asciiTheme="minorEastAsia" w:hAnsiTheme="minorEastAsia" w:cs="Segoe UI"/>
          <w:color w:val="0F1115"/>
          <w:sz w:val="24"/>
          <w:shd w:val="clear" w:color="auto" w:fill="FFFFFF"/>
        </w:rPr>
        <w:t>0.95</w:t>
      </w:r>
      <w:r w:rsidRPr="00C65CBC">
        <w:rPr>
          <w:rFonts w:asciiTheme="minorEastAsia" w:hAnsiTheme="minorEastAsia" w:cs="微软雅黑" w:hint="eastAsia"/>
          <w:color w:val="0F1115"/>
          <w:sz w:val="24"/>
          <w:shd w:val="clear" w:color="auto" w:fill="FFFFFF"/>
        </w:rPr>
        <w:t>以上）。</w:t>
      </w:r>
    </w:p>
    <w:p w14:paraId="151A1B3E" w14:textId="69023CF1" w:rsidR="00077DB1" w:rsidRPr="00C65CBC" w:rsidRDefault="00C65CBC" w:rsidP="00C65CBC">
      <w:pPr>
        <w:widowControl/>
        <w:tabs>
          <w:tab w:val="left" w:pos="312"/>
          <w:tab w:val="left" w:pos="840"/>
        </w:tabs>
        <w:spacing w:beforeAutospacing="1" w:afterAutospacing="1"/>
        <w:jc w:val="center"/>
        <w:rPr>
          <w:rFonts w:asciiTheme="minorEastAsia" w:hAnsiTheme="minorEastAsia" w:hint="eastAsia"/>
          <w:sz w:val="24"/>
        </w:rPr>
      </w:pPr>
      <w:r>
        <w:rPr>
          <w:rFonts w:asciiTheme="minorEastAsia" w:hAnsiTheme="minorEastAsia" w:hint="eastAsia"/>
          <w:noProof/>
          <w:sz w:val="24"/>
        </w:rPr>
        <w:drawing>
          <wp:inline distT="0" distB="0" distL="0" distR="0" wp14:anchorId="15E8CD5C" wp14:editId="0E70D786">
            <wp:extent cx="3383573" cy="2499577"/>
            <wp:effectExtent l="0" t="0" r="7620" b="0"/>
            <wp:docPr id="14438865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886539" name="图片 1443886539"/>
                    <pic:cNvPicPr/>
                  </pic:nvPicPr>
                  <pic:blipFill>
                    <a:blip r:embed="rId7">
                      <a:extLst>
                        <a:ext uri="{28A0092B-C50C-407E-A947-70E740481C1C}">
                          <a14:useLocalDpi xmlns:a14="http://schemas.microsoft.com/office/drawing/2010/main" val="0"/>
                        </a:ext>
                      </a:extLst>
                    </a:blip>
                    <a:stretch>
                      <a:fillRect/>
                    </a:stretch>
                  </pic:blipFill>
                  <pic:spPr>
                    <a:xfrm>
                      <a:off x="0" y="0"/>
                      <a:ext cx="3383573" cy="2499577"/>
                    </a:xfrm>
                    <a:prstGeom prst="rect">
                      <a:avLst/>
                    </a:prstGeom>
                  </pic:spPr>
                </pic:pic>
              </a:graphicData>
            </a:graphic>
          </wp:inline>
        </w:drawing>
      </w:r>
    </w:p>
    <w:p w14:paraId="11216775" w14:textId="1AB3B855" w:rsidR="00077DB1" w:rsidRPr="00C65CBC" w:rsidRDefault="00077DB1" w:rsidP="00077DB1">
      <w:pPr>
        <w:widowControl/>
        <w:tabs>
          <w:tab w:val="left" w:pos="840"/>
        </w:tabs>
        <w:spacing w:beforeAutospacing="1" w:afterAutospacing="1"/>
        <w:rPr>
          <w:rFonts w:asciiTheme="minorEastAsia" w:hAnsiTheme="minorEastAsia" w:cs="Segoe UI" w:hint="eastAsia"/>
          <w:color w:val="0F1115"/>
          <w:sz w:val="24"/>
          <w:shd w:val="clear" w:color="auto" w:fill="FFFFFF"/>
        </w:rPr>
      </w:pPr>
      <w:r w:rsidRPr="00C65CBC">
        <w:rPr>
          <w:rFonts w:asciiTheme="minorEastAsia" w:hAnsiTheme="minorEastAsia" w:cs="Segoe UI" w:hint="eastAsia"/>
          <w:color w:val="0F1115"/>
          <w:sz w:val="24"/>
          <w:shd w:val="clear" w:color="auto" w:fill="FFFFFF"/>
        </w:rPr>
        <w:t>（2）选用支持可以计算无功功率的</w:t>
      </w:r>
      <w:r w:rsidRPr="00C65CBC">
        <w:rPr>
          <w:rFonts w:asciiTheme="minorEastAsia" w:hAnsiTheme="minorEastAsia" w:cs="Segoe UI"/>
          <w:color w:val="0F1115"/>
          <w:sz w:val="24"/>
          <w:shd w:val="clear" w:color="auto" w:fill="FFFFFF"/>
        </w:rPr>
        <w:t>控制器直接计算该设备实时消耗的无功功率，并据此投切电容器，实现精准的无功功率就地平衡。</w:t>
      </w:r>
    </w:p>
    <w:p w14:paraId="4A240389" w14:textId="130B318F" w:rsidR="00077DB1" w:rsidRPr="00C65CBC" w:rsidRDefault="00C65CBC" w:rsidP="00C65CBC">
      <w:pPr>
        <w:widowControl/>
        <w:tabs>
          <w:tab w:val="left" w:pos="840"/>
        </w:tabs>
        <w:spacing w:beforeAutospacing="1" w:afterAutospacing="1"/>
        <w:jc w:val="center"/>
        <w:rPr>
          <w:rFonts w:asciiTheme="minorEastAsia" w:hAnsiTheme="minorEastAsia" w:hint="eastAsia"/>
          <w:sz w:val="24"/>
        </w:rPr>
      </w:pPr>
      <w:r>
        <w:rPr>
          <w:rFonts w:asciiTheme="minorEastAsia" w:hAnsiTheme="minorEastAsia" w:hint="eastAsia"/>
          <w:noProof/>
          <w:sz w:val="24"/>
        </w:rPr>
        <w:lastRenderedPageBreak/>
        <w:drawing>
          <wp:inline distT="0" distB="0" distL="0" distR="0" wp14:anchorId="2F78E762" wp14:editId="27A098AC">
            <wp:extent cx="3596952" cy="2408129"/>
            <wp:effectExtent l="0" t="0" r="3810" b="0"/>
            <wp:docPr id="159465353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653536" name="图片 1594653536"/>
                    <pic:cNvPicPr/>
                  </pic:nvPicPr>
                  <pic:blipFill>
                    <a:blip r:embed="rId8">
                      <a:extLst>
                        <a:ext uri="{28A0092B-C50C-407E-A947-70E740481C1C}">
                          <a14:useLocalDpi xmlns:a14="http://schemas.microsoft.com/office/drawing/2010/main" val="0"/>
                        </a:ext>
                      </a:extLst>
                    </a:blip>
                    <a:stretch>
                      <a:fillRect/>
                    </a:stretch>
                  </pic:blipFill>
                  <pic:spPr>
                    <a:xfrm>
                      <a:off x="0" y="0"/>
                      <a:ext cx="3596952" cy="2408129"/>
                    </a:xfrm>
                    <a:prstGeom prst="rect">
                      <a:avLst/>
                    </a:prstGeom>
                  </pic:spPr>
                </pic:pic>
              </a:graphicData>
            </a:graphic>
          </wp:inline>
        </w:drawing>
      </w:r>
    </w:p>
    <w:p w14:paraId="6982CB3E" w14:textId="77777777" w:rsidR="00E500B7" w:rsidRPr="00C65CBC" w:rsidRDefault="00000000">
      <w:pPr>
        <w:widowControl/>
        <w:spacing w:beforeAutospacing="1" w:afterAutospacing="1"/>
        <w:rPr>
          <w:rFonts w:asciiTheme="minorEastAsia" w:hAnsiTheme="minorEastAsia" w:hint="eastAsia"/>
          <w:sz w:val="24"/>
        </w:rPr>
      </w:pPr>
      <w:r w:rsidRPr="00C65CBC">
        <w:rPr>
          <w:rStyle w:val="a4"/>
          <w:rFonts w:asciiTheme="minorEastAsia" w:hAnsiTheme="minorEastAsia" w:cs="Segoe UI"/>
          <w:bCs/>
          <w:color w:val="0F1115"/>
          <w:sz w:val="24"/>
          <w:shd w:val="clear" w:color="auto" w:fill="FFFFFF"/>
        </w:rPr>
        <w:t>方案优势：</w:t>
      </w:r>
    </w:p>
    <w:p w14:paraId="59BC0A40" w14:textId="77777777" w:rsidR="00E500B7" w:rsidRPr="00C65CBC" w:rsidRDefault="00000000">
      <w:pPr>
        <w:pStyle w:val="a3"/>
        <w:widowControl/>
        <w:rPr>
          <w:rFonts w:asciiTheme="minorEastAsia" w:hAnsiTheme="minorEastAsia" w:hint="eastAsia"/>
        </w:rPr>
      </w:pPr>
      <w:r w:rsidRPr="00C65CBC">
        <w:rPr>
          <w:rStyle w:val="a4"/>
          <w:rFonts w:asciiTheme="minorEastAsia" w:hAnsiTheme="minorEastAsia" w:cs="Segoe UI"/>
          <w:bCs/>
          <w:color w:val="0F1115"/>
          <w:shd w:val="clear" w:color="auto" w:fill="FFFFFF"/>
        </w:rPr>
        <w:t>无需停电改造：</w:t>
      </w:r>
      <w:r w:rsidRPr="00C65CBC">
        <w:rPr>
          <w:rFonts w:asciiTheme="minorEastAsia" w:hAnsiTheme="minorEastAsia" w:cs="Segoe UI"/>
          <w:color w:val="0F1115"/>
          <w:shd w:val="clear" w:color="auto" w:fill="FFFFFF"/>
        </w:rPr>
        <w:t> 这是最大的优点。所有工作均在低压侧进行，不影响高压线路和总进线结构。</w:t>
      </w:r>
    </w:p>
    <w:p w14:paraId="1DE21557" w14:textId="77777777" w:rsidR="00E500B7" w:rsidRPr="00C65CBC" w:rsidRDefault="00000000">
      <w:pPr>
        <w:pStyle w:val="a3"/>
        <w:widowControl/>
        <w:rPr>
          <w:rFonts w:asciiTheme="minorEastAsia" w:hAnsiTheme="minorEastAsia" w:hint="eastAsia"/>
        </w:rPr>
      </w:pPr>
      <w:r w:rsidRPr="00C65CBC">
        <w:rPr>
          <w:rStyle w:val="a4"/>
          <w:rFonts w:asciiTheme="minorEastAsia" w:hAnsiTheme="minorEastAsia" w:cs="Segoe UI"/>
          <w:bCs/>
          <w:color w:val="0F1115"/>
          <w:shd w:val="clear" w:color="auto" w:fill="FFFFFF"/>
        </w:rPr>
        <w:t>补偿效率更高：</w:t>
      </w:r>
      <w:r w:rsidRPr="00C65CBC">
        <w:rPr>
          <w:rFonts w:asciiTheme="minorEastAsia" w:hAnsiTheme="minorEastAsia" w:cs="Segoe UI"/>
          <w:color w:val="0F1115"/>
          <w:shd w:val="clear" w:color="auto" w:fill="FFFFFF"/>
        </w:rPr>
        <w:t> 实现了“谁产生无功，谁就地补偿”，减少了无功电流在线路中的流动，从而降低了线路和变压器的损耗，提升了供电质量。</w:t>
      </w:r>
    </w:p>
    <w:p w14:paraId="05596727" w14:textId="77777777" w:rsidR="00E500B7" w:rsidRPr="00C65CBC" w:rsidRDefault="00000000">
      <w:pPr>
        <w:pStyle w:val="a3"/>
        <w:widowControl/>
        <w:rPr>
          <w:rFonts w:asciiTheme="minorEastAsia" w:hAnsiTheme="minorEastAsia" w:hint="eastAsia"/>
        </w:rPr>
      </w:pPr>
      <w:r w:rsidRPr="00C65CBC">
        <w:rPr>
          <w:rStyle w:val="a4"/>
          <w:rFonts w:asciiTheme="minorEastAsia" w:hAnsiTheme="minorEastAsia" w:cs="Segoe UI"/>
          <w:bCs/>
          <w:color w:val="0F1115"/>
          <w:shd w:val="clear" w:color="auto" w:fill="FFFFFF"/>
        </w:rPr>
        <w:t>效果立竿见影：</w:t>
      </w:r>
      <w:r w:rsidRPr="00C65CBC">
        <w:rPr>
          <w:rFonts w:asciiTheme="minorEastAsia" w:hAnsiTheme="minorEastAsia" w:cs="Segoe UI"/>
          <w:color w:val="0F1115"/>
          <w:shd w:val="clear" w:color="auto" w:fill="FFFFFF"/>
        </w:rPr>
        <w:t> 由于补偿直接针对大功率设备，总进线上的无功功率会显著下降，供电局计量点处的功率因数将得到有效提升，避免罚款。</w:t>
      </w:r>
    </w:p>
    <w:p w14:paraId="51D6EDA7" w14:textId="77777777" w:rsidR="00E500B7" w:rsidRPr="00C65CBC" w:rsidRDefault="00000000">
      <w:pPr>
        <w:pStyle w:val="a3"/>
        <w:widowControl/>
        <w:rPr>
          <w:rFonts w:asciiTheme="minorEastAsia" w:hAnsiTheme="minorEastAsia" w:cs="Segoe UI" w:hint="eastAsia"/>
          <w:color w:val="0F1115"/>
          <w:shd w:val="clear" w:color="auto" w:fill="FFFFFF"/>
        </w:rPr>
      </w:pPr>
      <w:r w:rsidRPr="00C65CBC">
        <w:rPr>
          <w:rStyle w:val="a4"/>
          <w:rFonts w:asciiTheme="minorEastAsia" w:hAnsiTheme="minorEastAsia" w:cs="Segoe UI"/>
          <w:bCs/>
          <w:color w:val="0F1115"/>
          <w:shd w:val="clear" w:color="auto" w:fill="FFFFFF"/>
        </w:rPr>
        <w:t>投资回报快：</w:t>
      </w:r>
      <w:r w:rsidRPr="00C65CBC">
        <w:rPr>
          <w:rFonts w:asciiTheme="minorEastAsia" w:hAnsiTheme="minorEastAsia" w:cs="Segoe UI"/>
          <w:color w:val="0F1115"/>
          <w:shd w:val="clear" w:color="auto" w:fill="FFFFFF"/>
        </w:rPr>
        <w:t> 相较于停产改造带来的损失，分散补偿的投资成本往往能通过节省的电费在较短时间内收回。</w:t>
      </w:r>
    </w:p>
    <w:p w14:paraId="774433FE" w14:textId="77777777" w:rsidR="00077DB1" w:rsidRPr="00C65CBC" w:rsidRDefault="00077DB1" w:rsidP="00077DB1">
      <w:pPr>
        <w:spacing w:line="360" w:lineRule="auto"/>
        <w:rPr>
          <w:rFonts w:asciiTheme="minorEastAsia" w:hAnsiTheme="minorEastAsia" w:hint="eastAsia"/>
          <w:b/>
          <w:bCs/>
          <w:sz w:val="24"/>
        </w:rPr>
      </w:pPr>
    </w:p>
    <w:p w14:paraId="6F775454" w14:textId="164885DD" w:rsidR="00915E96" w:rsidRPr="00C65CBC" w:rsidRDefault="00915E96" w:rsidP="00077DB1">
      <w:pPr>
        <w:spacing w:line="360" w:lineRule="auto"/>
        <w:rPr>
          <w:rFonts w:asciiTheme="minorEastAsia" w:hAnsiTheme="minorEastAsia" w:hint="eastAsia"/>
          <w:b/>
          <w:bCs/>
          <w:sz w:val="24"/>
        </w:rPr>
      </w:pPr>
      <w:r w:rsidRPr="00C65CBC">
        <w:rPr>
          <w:rFonts w:asciiTheme="minorEastAsia" w:hAnsiTheme="minorEastAsia" w:hint="eastAsia"/>
          <w:b/>
          <w:bCs/>
          <w:sz w:val="24"/>
        </w:rPr>
        <w:t>前期精彩推荐：</w:t>
      </w:r>
    </w:p>
    <w:p w14:paraId="4FEB0EBB" w14:textId="77777777" w:rsidR="00915E96" w:rsidRPr="00C65CBC" w:rsidRDefault="00915E96" w:rsidP="00077DB1">
      <w:pPr>
        <w:spacing w:line="360" w:lineRule="auto"/>
        <w:rPr>
          <w:rFonts w:asciiTheme="minorEastAsia" w:hAnsiTheme="minorEastAsia" w:hint="eastAsia"/>
          <w:sz w:val="24"/>
        </w:rPr>
      </w:pPr>
      <w:r w:rsidRPr="00C65CBC">
        <w:rPr>
          <w:rFonts w:asciiTheme="minorEastAsia" w:hAnsiTheme="minorEastAsia" w:hint="eastAsia"/>
          <w:sz w:val="24"/>
        </w:rPr>
        <w:t>光伏发电后无功补偿控制器如何解决力调电费罚款的问题</w:t>
      </w:r>
    </w:p>
    <w:p w14:paraId="07A0EB49" w14:textId="77777777" w:rsidR="00915E96" w:rsidRPr="00C65CBC" w:rsidRDefault="00915E96" w:rsidP="00077DB1">
      <w:pPr>
        <w:spacing w:line="360" w:lineRule="auto"/>
        <w:rPr>
          <w:rFonts w:asciiTheme="minorEastAsia" w:hAnsiTheme="minorEastAsia" w:hint="eastAsia"/>
          <w:sz w:val="24"/>
        </w:rPr>
      </w:pPr>
      <w:r w:rsidRPr="00C65CBC">
        <w:rPr>
          <w:rFonts w:asciiTheme="minorEastAsia" w:hAnsiTheme="minorEastAsia" w:hint="eastAsia"/>
          <w:sz w:val="24"/>
        </w:rPr>
        <w:t>无功补偿控制器显示功率因数0.99，可还是被罚款了，这到底是怎么回事？</w:t>
      </w:r>
    </w:p>
    <w:p w14:paraId="436F10B5" w14:textId="77777777" w:rsidR="00915E96" w:rsidRPr="00C65CBC" w:rsidRDefault="00915E96" w:rsidP="00077DB1">
      <w:pPr>
        <w:spacing w:line="360" w:lineRule="auto"/>
        <w:rPr>
          <w:rFonts w:asciiTheme="minorEastAsia" w:hAnsiTheme="minorEastAsia" w:hint="eastAsia"/>
          <w:sz w:val="24"/>
        </w:rPr>
      </w:pPr>
      <w:r w:rsidRPr="00C65CBC">
        <w:rPr>
          <w:rFonts w:asciiTheme="minorEastAsia" w:hAnsiTheme="minorEastAsia" w:hint="eastAsia"/>
          <w:sz w:val="24"/>
        </w:rPr>
        <w:t>安装新的无功补偿控制器后有力调电费产生？—无功</w:t>
      </w:r>
      <w:proofErr w:type="gramStart"/>
      <w:r w:rsidRPr="00C65CBC">
        <w:rPr>
          <w:rFonts w:asciiTheme="minorEastAsia" w:hAnsiTheme="minorEastAsia" w:hint="eastAsia"/>
          <w:sz w:val="24"/>
        </w:rPr>
        <w:t>补偿器欠流保护</w:t>
      </w:r>
      <w:proofErr w:type="gramEnd"/>
      <w:r w:rsidRPr="00C65CBC">
        <w:rPr>
          <w:rFonts w:asciiTheme="minorEastAsia" w:hAnsiTheme="minorEastAsia" w:hint="eastAsia"/>
          <w:sz w:val="24"/>
        </w:rPr>
        <w:t>案例分享</w:t>
      </w:r>
    </w:p>
    <w:p w14:paraId="16E0CAA5" w14:textId="77777777" w:rsidR="00915E96" w:rsidRPr="00C65CBC" w:rsidRDefault="00915E96" w:rsidP="00077DB1">
      <w:pPr>
        <w:spacing w:line="360" w:lineRule="auto"/>
        <w:rPr>
          <w:rFonts w:asciiTheme="minorEastAsia" w:hAnsiTheme="minorEastAsia" w:hint="eastAsia"/>
          <w:sz w:val="24"/>
        </w:rPr>
      </w:pPr>
      <w:r w:rsidRPr="00C65CBC">
        <w:rPr>
          <w:rFonts w:asciiTheme="minorEastAsia" w:hAnsiTheme="minorEastAsia" w:hint="eastAsia"/>
          <w:sz w:val="24"/>
        </w:rPr>
        <w:t>谐波对功率因数有何影响？谐波影响下功率因数的补偿上限设置问题</w:t>
      </w:r>
    </w:p>
    <w:p w14:paraId="48CADC14" w14:textId="77777777" w:rsidR="00915E96" w:rsidRPr="00C65CBC" w:rsidRDefault="00915E96" w:rsidP="00077DB1">
      <w:pPr>
        <w:spacing w:line="360" w:lineRule="auto"/>
        <w:rPr>
          <w:rFonts w:asciiTheme="minorEastAsia" w:hAnsiTheme="minorEastAsia" w:hint="eastAsia"/>
          <w:sz w:val="24"/>
        </w:rPr>
      </w:pPr>
      <w:r w:rsidRPr="00C65CBC">
        <w:rPr>
          <w:rFonts w:asciiTheme="minorEastAsia" w:hAnsiTheme="minorEastAsia" w:hint="eastAsia"/>
          <w:sz w:val="24"/>
        </w:rPr>
        <w:t>无功补偿控制器投</w:t>
      </w:r>
      <w:proofErr w:type="gramStart"/>
      <w:r w:rsidRPr="00C65CBC">
        <w:rPr>
          <w:rFonts w:asciiTheme="minorEastAsia" w:hAnsiTheme="minorEastAsia" w:hint="eastAsia"/>
          <w:sz w:val="24"/>
        </w:rPr>
        <w:t>切时间</w:t>
      </w:r>
      <w:proofErr w:type="gramEnd"/>
      <w:r w:rsidRPr="00C65CBC">
        <w:rPr>
          <w:rFonts w:asciiTheme="minorEastAsia" w:hAnsiTheme="minorEastAsia" w:hint="eastAsia"/>
          <w:sz w:val="24"/>
        </w:rPr>
        <w:t>讲解</w:t>
      </w:r>
    </w:p>
    <w:p w14:paraId="2969D7B0" w14:textId="77777777" w:rsidR="00915E96" w:rsidRPr="00C65CBC" w:rsidRDefault="00915E96" w:rsidP="00077DB1">
      <w:pPr>
        <w:spacing w:line="360" w:lineRule="auto"/>
        <w:rPr>
          <w:rFonts w:asciiTheme="minorEastAsia" w:hAnsiTheme="minorEastAsia" w:hint="eastAsia"/>
          <w:sz w:val="24"/>
        </w:rPr>
      </w:pPr>
      <w:r w:rsidRPr="00C65CBC">
        <w:rPr>
          <w:rFonts w:asciiTheme="minorEastAsia" w:hAnsiTheme="minorEastAsia" w:hint="eastAsia"/>
          <w:sz w:val="24"/>
        </w:rPr>
        <w:t>功率因数PF与功率因数cosФ的区别</w:t>
      </w:r>
    </w:p>
    <w:p w14:paraId="5C844E68" w14:textId="77777777" w:rsidR="00915E96" w:rsidRPr="00C65CBC" w:rsidRDefault="00915E96" w:rsidP="00077DB1">
      <w:pPr>
        <w:spacing w:line="360" w:lineRule="auto"/>
        <w:rPr>
          <w:rFonts w:asciiTheme="minorEastAsia" w:hAnsiTheme="minorEastAsia" w:hint="eastAsia"/>
          <w:sz w:val="24"/>
        </w:rPr>
      </w:pPr>
      <w:r w:rsidRPr="00C65CBC">
        <w:rPr>
          <w:rFonts w:asciiTheme="minorEastAsia" w:hAnsiTheme="minorEastAsia" w:hint="eastAsia"/>
          <w:sz w:val="24"/>
        </w:rPr>
        <w:t>案例分析：无功补偿控制器电容投满功率因数还不达标？</w:t>
      </w:r>
    </w:p>
    <w:p w14:paraId="5AC0D2F5" w14:textId="77777777" w:rsidR="00915E96" w:rsidRPr="00C65CBC" w:rsidRDefault="00915E96" w:rsidP="00077DB1">
      <w:pPr>
        <w:spacing w:line="360" w:lineRule="auto"/>
        <w:rPr>
          <w:rFonts w:asciiTheme="minorEastAsia" w:hAnsiTheme="minorEastAsia" w:hint="eastAsia"/>
          <w:sz w:val="24"/>
        </w:rPr>
      </w:pPr>
      <w:r w:rsidRPr="00C65CBC">
        <w:rPr>
          <w:rFonts w:asciiTheme="minorEastAsia" w:hAnsiTheme="minorEastAsia" w:hint="eastAsia"/>
          <w:sz w:val="24"/>
        </w:rPr>
        <w:t>光伏并网接入点与无功补偿（功率因数）的影响</w:t>
      </w:r>
    </w:p>
    <w:p w14:paraId="3269DF6A" w14:textId="77777777" w:rsidR="00915E96" w:rsidRPr="00C65CBC" w:rsidRDefault="00915E96" w:rsidP="00077DB1">
      <w:pPr>
        <w:spacing w:line="360" w:lineRule="auto"/>
        <w:rPr>
          <w:rFonts w:asciiTheme="minorEastAsia" w:hAnsiTheme="minorEastAsia" w:hint="eastAsia"/>
          <w:sz w:val="24"/>
        </w:rPr>
      </w:pPr>
      <w:r w:rsidRPr="00C65CBC">
        <w:rPr>
          <w:rFonts w:asciiTheme="minorEastAsia" w:hAnsiTheme="minorEastAsia" w:hint="eastAsia"/>
          <w:sz w:val="24"/>
        </w:rPr>
        <w:t>充电桩昼夜负载不均导致功率因数不达标案例分享</w:t>
      </w:r>
    </w:p>
    <w:p w14:paraId="22ACBA41" w14:textId="77777777" w:rsidR="00915E96" w:rsidRPr="00C65CBC" w:rsidRDefault="00915E96" w:rsidP="00077DB1">
      <w:pPr>
        <w:spacing w:line="360" w:lineRule="auto"/>
        <w:rPr>
          <w:rFonts w:asciiTheme="minorEastAsia" w:hAnsiTheme="minorEastAsia" w:hint="eastAsia"/>
          <w:sz w:val="24"/>
        </w:rPr>
      </w:pPr>
      <w:r w:rsidRPr="00C65CBC">
        <w:rPr>
          <w:rFonts w:asciiTheme="minorEastAsia" w:hAnsiTheme="minorEastAsia" w:hint="eastAsia"/>
          <w:sz w:val="24"/>
        </w:rPr>
        <w:t>充电桩引发力调电费问题的解决方案-空载直补</w:t>
      </w:r>
    </w:p>
    <w:p w14:paraId="577213CC" w14:textId="77777777" w:rsidR="00915E96" w:rsidRPr="00C65CBC" w:rsidRDefault="00915E96" w:rsidP="00077DB1">
      <w:pPr>
        <w:spacing w:line="360" w:lineRule="auto"/>
        <w:rPr>
          <w:rFonts w:asciiTheme="minorEastAsia" w:hAnsiTheme="minorEastAsia" w:hint="eastAsia"/>
          <w:sz w:val="24"/>
        </w:rPr>
      </w:pPr>
      <w:proofErr w:type="gramStart"/>
      <w:r w:rsidRPr="00C65CBC">
        <w:rPr>
          <w:rFonts w:asciiTheme="minorEastAsia" w:hAnsiTheme="minorEastAsia" w:hint="eastAsia"/>
          <w:sz w:val="24"/>
        </w:rPr>
        <w:t>揭秘光</w:t>
      </w:r>
      <w:proofErr w:type="gramEnd"/>
      <w:r w:rsidRPr="00C65CBC">
        <w:rPr>
          <w:rFonts w:asciiTheme="minorEastAsia" w:hAnsiTheme="minorEastAsia" w:hint="eastAsia"/>
          <w:sz w:val="24"/>
        </w:rPr>
        <w:t>伏并网后功率因数降低之谜！</w:t>
      </w:r>
    </w:p>
    <w:p w14:paraId="0F21433D" w14:textId="2594FE7C" w:rsidR="00915E96" w:rsidRPr="00C65CBC" w:rsidRDefault="00915E96" w:rsidP="00077DB1">
      <w:pPr>
        <w:spacing w:line="360" w:lineRule="auto"/>
        <w:rPr>
          <w:rFonts w:asciiTheme="minorEastAsia" w:hAnsiTheme="minorEastAsia" w:hint="eastAsia"/>
          <w:sz w:val="24"/>
        </w:rPr>
      </w:pPr>
      <w:r w:rsidRPr="00C65CBC">
        <w:rPr>
          <w:rFonts w:asciiTheme="minorEastAsia" w:hAnsiTheme="minorEastAsia" w:hint="eastAsia"/>
          <w:sz w:val="24"/>
        </w:rPr>
        <w:t xml:space="preserve">无功补偿选 SVG 还是电容？年电费差出 2.9 万！选错多花 10 </w:t>
      </w:r>
      <w:proofErr w:type="gramStart"/>
      <w:r w:rsidRPr="00C65CBC">
        <w:rPr>
          <w:rFonts w:asciiTheme="minorEastAsia" w:hAnsiTheme="minorEastAsia" w:hint="eastAsia"/>
          <w:sz w:val="24"/>
        </w:rPr>
        <w:t>倍</w:t>
      </w:r>
      <w:proofErr w:type="gramEnd"/>
      <w:r w:rsidRPr="00C65CBC">
        <w:rPr>
          <w:rFonts w:asciiTheme="minorEastAsia" w:hAnsiTheme="minorEastAsia" w:hint="eastAsia"/>
          <w:sz w:val="24"/>
        </w:rPr>
        <w:t>钱</w:t>
      </w:r>
    </w:p>
    <w:p w14:paraId="35D690B8" w14:textId="336B69D1" w:rsidR="00077DB1" w:rsidRPr="00C65CBC" w:rsidRDefault="00915E96" w:rsidP="00077DB1">
      <w:pPr>
        <w:spacing w:line="360" w:lineRule="auto"/>
        <w:rPr>
          <w:rFonts w:asciiTheme="minorEastAsia" w:hAnsiTheme="minorEastAsia" w:hint="eastAsia"/>
          <w:sz w:val="24"/>
        </w:rPr>
      </w:pPr>
      <w:r w:rsidRPr="00C65CBC">
        <w:rPr>
          <w:rFonts w:asciiTheme="minorEastAsia" w:hAnsiTheme="minorEastAsia" w:hint="eastAsia"/>
          <w:sz w:val="24"/>
        </w:rPr>
        <w:lastRenderedPageBreak/>
        <w:t>#无功补偿控制器  #</w:t>
      </w:r>
      <w:proofErr w:type="gramStart"/>
      <w:r w:rsidRPr="00C65CBC">
        <w:rPr>
          <w:rFonts w:asciiTheme="minorEastAsia" w:hAnsiTheme="minorEastAsia" w:hint="eastAsia"/>
          <w:sz w:val="24"/>
        </w:rPr>
        <w:t>光伏四象限</w:t>
      </w:r>
      <w:proofErr w:type="gramEnd"/>
      <w:r w:rsidRPr="00C65CBC">
        <w:rPr>
          <w:rFonts w:asciiTheme="minorEastAsia" w:hAnsiTheme="minorEastAsia" w:hint="eastAsia"/>
          <w:sz w:val="24"/>
        </w:rPr>
        <w:t> </w:t>
      </w:r>
      <w:r w:rsidR="00077DB1" w:rsidRPr="00C65CBC">
        <w:rPr>
          <w:rFonts w:asciiTheme="minorEastAsia" w:hAnsiTheme="minorEastAsia" w:hint="eastAsia"/>
          <w:sz w:val="24"/>
        </w:rPr>
        <w:t xml:space="preserve"> </w:t>
      </w:r>
      <w:r w:rsidRPr="00C65CBC">
        <w:rPr>
          <w:rFonts w:asciiTheme="minorEastAsia" w:hAnsiTheme="minorEastAsia" w:hint="eastAsia"/>
          <w:sz w:val="24"/>
        </w:rPr>
        <w:t>#抗谐波 #力调电费罚款   </w:t>
      </w:r>
    </w:p>
    <w:p w14:paraId="4E6E5E30" w14:textId="6A4E083C" w:rsidR="00915E96" w:rsidRPr="00C65CBC" w:rsidRDefault="00915E96" w:rsidP="00077DB1">
      <w:pPr>
        <w:spacing w:line="360" w:lineRule="auto"/>
        <w:rPr>
          <w:rFonts w:asciiTheme="minorEastAsia" w:hAnsiTheme="minorEastAsia" w:hint="eastAsia"/>
          <w:sz w:val="24"/>
        </w:rPr>
      </w:pPr>
      <w:r w:rsidRPr="00C65CBC">
        <w:rPr>
          <w:rFonts w:asciiTheme="minorEastAsia" w:hAnsiTheme="minorEastAsia" w:hint="eastAsia"/>
          <w:sz w:val="24"/>
        </w:rPr>
        <w:t xml:space="preserve">#功率因数不达标   </w:t>
      </w:r>
      <w:r w:rsidR="00077DB1" w:rsidRPr="00C65CBC">
        <w:rPr>
          <w:rFonts w:asciiTheme="minorEastAsia" w:hAnsiTheme="minorEastAsia" w:hint="eastAsia"/>
          <w:sz w:val="24"/>
        </w:rPr>
        <w:t xml:space="preserve"> </w:t>
      </w:r>
      <w:r w:rsidRPr="00C65CBC">
        <w:rPr>
          <w:rFonts w:asciiTheme="minorEastAsia" w:hAnsiTheme="minorEastAsia"/>
          <w:sz w:val="24"/>
        </w:rPr>
        <w:t>#</w:t>
      </w:r>
      <w:proofErr w:type="gramStart"/>
      <w:r w:rsidRPr="00C65CBC">
        <w:rPr>
          <w:rFonts w:asciiTheme="minorEastAsia" w:hAnsiTheme="minorEastAsia"/>
          <w:sz w:val="24"/>
        </w:rPr>
        <w:t>高采低补</w:t>
      </w:r>
      <w:proofErr w:type="gramEnd"/>
      <w:r w:rsidRPr="00C65CBC">
        <w:rPr>
          <w:rFonts w:asciiTheme="minorEastAsia" w:hAnsiTheme="minorEastAsia"/>
          <w:sz w:val="24"/>
        </w:rPr>
        <w:t xml:space="preserve"> </w:t>
      </w:r>
      <w:r w:rsidRPr="00C65CBC">
        <w:rPr>
          <w:rFonts w:asciiTheme="minorEastAsia" w:hAnsiTheme="minorEastAsia" w:hint="eastAsia"/>
          <w:sz w:val="24"/>
        </w:rPr>
        <w:t xml:space="preserve">   </w:t>
      </w:r>
      <w:r w:rsidR="00077DB1" w:rsidRPr="00C65CBC">
        <w:rPr>
          <w:rFonts w:asciiTheme="minorEastAsia" w:hAnsiTheme="minorEastAsia" w:hint="eastAsia"/>
          <w:sz w:val="24"/>
        </w:rPr>
        <w:t xml:space="preserve"> </w:t>
      </w:r>
      <w:r w:rsidRPr="00C65CBC">
        <w:rPr>
          <w:rFonts w:asciiTheme="minorEastAsia" w:hAnsiTheme="minorEastAsia"/>
          <w:sz w:val="24"/>
        </w:rPr>
        <w:t>#</w:t>
      </w:r>
      <w:r w:rsidRPr="00C65CBC">
        <w:rPr>
          <w:rFonts w:asciiTheme="minorEastAsia" w:hAnsiTheme="minorEastAsia" w:hint="eastAsia"/>
          <w:sz w:val="24"/>
        </w:rPr>
        <w:t>空载直补</w:t>
      </w:r>
    </w:p>
    <w:p w14:paraId="41AEC051" w14:textId="07FFC895" w:rsidR="00915E96" w:rsidRPr="00C65CBC" w:rsidRDefault="00915E96" w:rsidP="00721C5A">
      <w:pPr>
        <w:spacing w:line="360" w:lineRule="auto"/>
        <w:rPr>
          <w:rFonts w:asciiTheme="minorEastAsia" w:hAnsiTheme="minorEastAsia" w:hint="eastAsia"/>
          <w:sz w:val="24"/>
        </w:rPr>
      </w:pPr>
      <w:r w:rsidRPr="00C65CBC">
        <w:rPr>
          <w:rFonts w:asciiTheme="minorEastAsia" w:hAnsiTheme="minorEastAsia"/>
          <w:sz w:val="24"/>
        </w:rPr>
        <w:t>欢迎光临</w:t>
      </w:r>
      <w:r w:rsidRPr="00C65CBC">
        <w:rPr>
          <w:rFonts w:asciiTheme="minorEastAsia" w:hAnsiTheme="minorEastAsia" w:hint="eastAsia"/>
          <w:sz w:val="24"/>
        </w:rPr>
        <w:t>TB</w:t>
      </w:r>
      <w:r w:rsidRPr="00C65CBC">
        <w:rPr>
          <w:rFonts w:asciiTheme="minorEastAsia" w:hAnsiTheme="minorEastAsia"/>
          <w:sz w:val="24"/>
        </w:rPr>
        <w:t>店铺：</w:t>
      </w:r>
      <w:r w:rsidRPr="00C65CBC">
        <w:rPr>
          <w:rFonts w:asciiTheme="minorEastAsia" w:hAnsiTheme="minorEastAsia" w:hint="eastAsia"/>
          <w:sz w:val="24"/>
        </w:rPr>
        <w:t>电力控制仪表行</w:t>
      </w:r>
      <w:r w:rsidRPr="00C65CBC">
        <w:rPr>
          <w:rFonts w:asciiTheme="minorEastAsia" w:hAnsiTheme="minorEastAsia"/>
          <w:sz w:val="24"/>
        </w:rPr>
        <w:t>，</w:t>
      </w:r>
      <w:r w:rsidRPr="00C65CBC">
        <w:rPr>
          <w:rFonts w:asciiTheme="minorEastAsia" w:hAnsiTheme="minorEastAsia" w:hint="eastAsia"/>
          <w:sz w:val="24"/>
        </w:rPr>
        <w:t>原厂</w:t>
      </w:r>
      <w:r w:rsidRPr="00C65CBC">
        <w:rPr>
          <w:rFonts w:asciiTheme="minorEastAsia" w:hAnsiTheme="minorEastAsia"/>
          <w:sz w:val="24"/>
        </w:rPr>
        <w:t>现货供应</w:t>
      </w:r>
      <w:proofErr w:type="gramStart"/>
      <w:r w:rsidRPr="00C65CBC">
        <w:rPr>
          <w:rFonts w:asciiTheme="minorEastAsia" w:hAnsiTheme="minorEastAsia" w:hint="eastAsia"/>
          <w:sz w:val="24"/>
        </w:rPr>
        <w:t>高采低补光伏四</w:t>
      </w:r>
      <w:proofErr w:type="gramEnd"/>
      <w:r w:rsidRPr="00C65CBC">
        <w:rPr>
          <w:rFonts w:asciiTheme="minorEastAsia" w:hAnsiTheme="minorEastAsia" w:hint="eastAsia"/>
          <w:sz w:val="24"/>
        </w:rPr>
        <w:t>象限无功补偿控制器变压器空载无功补偿控制器功率因数补偿控制器。</w:t>
      </w:r>
    </w:p>
    <w:sectPr w:rsidR="00915E96" w:rsidRPr="00C65CB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5647E0" w14:textId="77777777" w:rsidR="001E1A91" w:rsidRDefault="001E1A91" w:rsidP="0006382F">
      <w:r>
        <w:separator/>
      </w:r>
    </w:p>
  </w:endnote>
  <w:endnote w:type="continuationSeparator" w:id="0">
    <w:p w14:paraId="0DB5AA70" w14:textId="77777777" w:rsidR="001E1A91" w:rsidRDefault="001E1A91" w:rsidP="000638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w:panose1 w:val="020B0502040204020203"/>
    <w:charset w:val="00"/>
    <w:family w:val="swiss"/>
    <w:pitch w:val="variable"/>
    <w:sig w:usb0="E4002EFF" w:usb1="C000E47F"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AE95EB" w14:textId="77777777" w:rsidR="001E1A91" w:rsidRDefault="001E1A91" w:rsidP="0006382F">
      <w:r>
        <w:separator/>
      </w:r>
    </w:p>
  </w:footnote>
  <w:footnote w:type="continuationSeparator" w:id="0">
    <w:p w14:paraId="60365283" w14:textId="77777777" w:rsidR="001E1A91" w:rsidRDefault="001E1A91" w:rsidP="000638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F7E05"/>
    <w:multiLevelType w:val="hybridMultilevel"/>
    <w:tmpl w:val="CBA2B4EE"/>
    <w:lvl w:ilvl="0" w:tplc="77C2A984">
      <w:start w:val="1"/>
      <w:numFmt w:val="decimal"/>
      <w:lvlText w:val="（%1）"/>
      <w:lvlJc w:val="left"/>
      <w:pPr>
        <w:ind w:left="720" w:hanging="720"/>
      </w:pPr>
      <w:rPr>
        <w:rFonts w:ascii="Segoe UI" w:eastAsiaTheme="minorEastAsia" w:hAnsi="Segoe UI" w:cs="Segoe UI"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1C5200A6"/>
    <w:multiLevelType w:val="multilevel"/>
    <w:tmpl w:val="1C5200A6"/>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num w:numId="1" w16cid:durableId="1853570004">
    <w:abstractNumId w:val="1"/>
  </w:num>
  <w:num w:numId="2" w16cid:durableId="8087897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0B7"/>
    <w:rsid w:val="0006382F"/>
    <w:rsid w:val="00077DB1"/>
    <w:rsid w:val="0013221C"/>
    <w:rsid w:val="001E1A91"/>
    <w:rsid w:val="002958A8"/>
    <w:rsid w:val="002D6547"/>
    <w:rsid w:val="005A62F5"/>
    <w:rsid w:val="00641E35"/>
    <w:rsid w:val="00721C5A"/>
    <w:rsid w:val="00830C5B"/>
    <w:rsid w:val="00915E96"/>
    <w:rsid w:val="0094665D"/>
    <w:rsid w:val="00C65CBC"/>
    <w:rsid w:val="00E500B7"/>
    <w:rsid w:val="06DA075B"/>
    <w:rsid w:val="09FC6C3A"/>
    <w:rsid w:val="0FF22FB9"/>
    <w:rsid w:val="12FE3B56"/>
    <w:rsid w:val="17AD5A18"/>
    <w:rsid w:val="185409F3"/>
    <w:rsid w:val="196B16E7"/>
    <w:rsid w:val="25290DD3"/>
    <w:rsid w:val="286363AA"/>
    <w:rsid w:val="2D83129D"/>
    <w:rsid w:val="32ED7596"/>
    <w:rsid w:val="38BF587F"/>
    <w:rsid w:val="40BF7C5E"/>
    <w:rsid w:val="40DE6ABE"/>
    <w:rsid w:val="42EB101F"/>
    <w:rsid w:val="445D7CFA"/>
    <w:rsid w:val="44727C49"/>
    <w:rsid w:val="47835CCA"/>
    <w:rsid w:val="48623B31"/>
    <w:rsid w:val="4E1517BE"/>
    <w:rsid w:val="4E8B0804"/>
    <w:rsid w:val="545C65EC"/>
    <w:rsid w:val="558465DA"/>
    <w:rsid w:val="596A4F3B"/>
    <w:rsid w:val="5E921AE8"/>
    <w:rsid w:val="620338D9"/>
    <w:rsid w:val="659B2BCE"/>
    <w:rsid w:val="65DC0F6F"/>
    <w:rsid w:val="662D08B7"/>
    <w:rsid w:val="6DD934AE"/>
    <w:rsid w:val="702D303B"/>
    <w:rsid w:val="712437CA"/>
    <w:rsid w:val="75F96FD3"/>
    <w:rsid w:val="77846D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672150D"/>
  <w15:docId w15:val="{B1C04D18-FA1B-4F37-B972-34BCA7296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Pr>
      <w:sz w:val="24"/>
    </w:rPr>
  </w:style>
  <w:style w:type="character" w:styleId="a4">
    <w:name w:val="Strong"/>
    <w:basedOn w:val="a0"/>
    <w:qFormat/>
    <w:rPr>
      <w:b/>
    </w:rPr>
  </w:style>
  <w:style w:type="paragraph" w:styleId="a5">
    <w:name w:val="header"/>
    <w:basedOn w:val="a"/>
    <w:link w:val="a6"/>
    <w:rsid w:val="0006382F"/>
    <w:pPr>
      <w:tabs>
        <w:tab w:val="center" w:pos="4153"/>
        <w:tab w:val="right" w:pos="8306"/>
      </w:tabs>
      <w:snapToGrid w:val="0"/>
      <w:jc w:val="center"/>
    </w:pPr>
    <w:rPr>
      <w:sz w:val="18"/>
      <w:szCs w:val="18"/>
    </w:rPr>
  </w:style>
  <w:style w:type="character" w:customStyle="1" w:styleId="a6">
    <w:name w:val="页眉 字符"/>
    <w:basedOn w:val="a0"/>
    <w:link w:val="a5"/>
    <w:rsid w:val="0006382F"/>
    <w:rPr>
      <w:rFonts w:asciiTheme="minorHAnsi" w:eastAsiaTheme="minorEastAsia" w:hAnsiTheme="minorHAnsi" w:cstheme="minorBidi"/>
      <w:kern w:val="2"/>
      <w:sz w:val="18"/>
      <w:szCs w:val="18"/>
    </w:rPr>
  </w:style>
  <w:style w:type="paragraph" w:styleId="a7">
    <w:name w:val="footer"/>
    <w:basedOn w:val="a"/>
    <w:link w:val="a8"/>
    <w:rsid w:val="0006382F"/>
    <w:pPr>
      <w:tabs>
        <w:tab w:val="center" w:pos="4153"/>
        <w:tab w:val="right" w:pos="8306"/>
      </w:tabs>
      <w:snapToGrid w:val="0"/>
      <w:jc w:val="left"/>
    </w:pPr>
    <w:rPr>
      <w:sz w:val="18"/>
      <w:szCs w:val="18"/>
    </w:rPr>
  </w:style>
  <w:style w:type="character" w:customStyle="1" w:styleId="a8">
    <w:name w:val="页脚 字符"/>
    <w:basedOn w:val="a0"/>
    <w:link w:val="a7"/>
    <w:rsid w:val="0006382F"/>
    <w:rPr>
      <w:rFonts w:asciiTheme="minorHAnsi" w:eastAsiaTheme="minorEastAsia" w:hAnsiTheme="minorHAnsi" w:cstheme="minorBidi"/>
      <w:kern w:val="2"/>
      <w:sz w:val="18"/>
      <w:szCs w:val="18"/>
    </w:rPr>
  </w:style>
  <w:style w:type="paragraph" w:styleId="a9">
    <w:name w:val="List Paragraph"/>
    <w:basedOn w:val="a"/>
    <w:uiPriority w:val="99"/>
    <w:unhideWhenUsed/>
    <w:rsid w:val="00077DB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576</Words>
  <Characters>583</Characters>
  <Application>Microsoft Office Word</Application>
  <DocSecurity>0</DocSecurity>
  <Lines>19</Lines>
  <Paragraphs>18</Paragraphs>
  <ScaleCrop>false</ScaleCrop>
  <Company/>
  <LinksUpToDate>false</LinksUpToDate>
  <CharactersWithSpaces>1141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dc:creator>
  <cp:lastModifiedBy>敏 徐</cp:lastModifiedBy>
  <cp:revision>6</cp:revision>
  <dcterms:created xsi:type="dcterms:W3CDTF">2025-11-04T03:03:00Z</dcterms:created>
  <dcterms:modified xsi:type="dcterms:W3CDTF">2025-11-06T04:41:00Z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eyJoZGlkIjoiZGQwZmRkOGEwM2VjM2Y0NWM0MzI3YzkyY2Q4MjNmMGMiLCJ1c2VySWQiOiIxNTA4NzA2MDEyIn0=</vt:lpwstr>
  </property>
  <property fmtid="{D5CDD505-2E9C-101B-9397-08002B2CF9AE}" pid="4" name="ICV">
    <vt:lpwstr>6772AA6231294D19B5A9B45EBE2DBB25_13</vt:lpwstr>
  </property>
</Properties>
</file>