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customXml/item1.xml" ContentType="application/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word/charts/chart/colors1.xml" ContentType="application/vnd.ms-office.chartcolorstyle+xml"/>
  <Override PartName="/word/charts/chart/colors2.xml" ContentType="application/vnd.ms-office.chartcolorstyle+xml"/>
  <Override PartName="/word/charts/chart/colors3.xml" ContentType="application/vnd.ms-office.chartcolorstyle+xml"/>
  <Override PartName="/word/charts/chart/colors4.xml" ContentType="application/vnd.ms-office.chartcolorstyle+xml"/>
  <Override PartName="/word/charts/chart/style1.xml" ContentType="application/vnd.ms-office.chartstyle+xml"/>
  <Override PartName="/word/charts/chart/style2.xml" ContentType="application/vnd.ms-office.chartstyle+xml"/>
  <Override PartName="/word/charts/chart/style3.xml" ContentType="application/vnd.ms-office.chartstyle+xml"/>
  <Override PartName="/word/charts/chart/style4.xml" ContentType="application/vnd.ms-office.chartstyle+xml"/>
  <Override PartName="/word/charts/chart1.xml" ContentType="application/vnd.openxmlformats-officedocument.drawingml.chart+xml"/>
  <Override PartName="/word/charts/chart10.xml" ContentType="application/vnd.openxmlformats-officedocument.drawingml.chart+xml"/>
  <Override PartName="/word/charts/chart11.xml" ContentType="application/vnd.openxmlformats-officedocument.drawingml.chart+xml"/>
  <Override PartName="/word/charts/chart12.xml" ContentType="application/vnd.openxmlformats-officedocument.drawingml.chart+xml"/>
  <Override PartName="/word/charts/chart13.xml" ContentType="application/vnd.openxmlformats-officedocument.drawingml.chart+xml"/>
  <Override PartName="/word/charts/chart14.xml" ContentType="application/vnd.openxmlformats-officedocument.drawingml.chart+xml"/>
  <Override PartName="/word/charts/chart15.xml" ContentType="application/vnd.openxmlformats-officedocument.drawingml.chart+xml"/>
  <Override PartName="/word/charts/chart16.xml" ContentType="application/vnd.openxmlformats-officedocument.drawingml.chart+xml"/>
  <Override PartName="/word/charts/chart17.xml" ContentType="application/vnd.openxmlformats-officedocument.drawingml.chart+xml"/>
  <Override PartName="/word/charts/chart18.xml" ContentType="application/vnd.openxmlformats-officedocument.drawingml.chart+xml"/>
  <Override PartName="/word/charts/chart19.xml" ContentType="application/vnd.openxmlformats-officedocument.drawingml.chart+xml"/>
  <Override PartName="/word/charts/chart2.xml" ContentType="application/vnd.openxmlformats-officedocument.drawingml.chart+xml"/>
  <Override PartName="/word/charts/chart20.xml" ContentType="application/vnd.openxmlformats-officedocument.drawingml.chart+xml"/>
  <Override PartName="/word/charts/chart3.xml" ContentType="application/vnd.openxmlformats-officedocument.drawingml.chart+xml"/>
  <Override PartName="/word/charts/chart4.xml" ContentType="application/vnd.openxmlformats-officedocument.drawingml.chart+xml"/>
  <Override PartName="/word/charts/chart5.xml" ContentType="application/vnd.openxmlformats-officedocument.drawingml.chart+xml"/>
  <Override PartName="/word/charts/chart6.xml" ContentType="application/vnd.openxmlformats-officedocument.drawingml.chart+xml"/>
  <Override PartName="/word/charts/chart7.xml" ContentType="application/vnd.openxmlformats-officedocument.drawingml.chart+xml"/>
  <Override PartName="/word/charts/chart8.xml" ContentType="application/vnd.openxmlformats-officedocument.drawingml.chart+xml"/>
  <Override PartName="/word/charts/chart9.xml" ContentType="application/vnd.openxmlformats-officedocument.drawingml.chart+xml"/>
  <Override PartName="/word/document.xml" ContentType="application/vnd.openxmlformats-officedocument.wordprocessingml.document.main+xml"/>
  <Override PartName="/word/drawings/drawing1.xml" ContentType="application/vnd.openxmlformats-officedocument.drawingml.chartshapes+xml"/>
  <Override PartName="/word/drawings/drawing10.xml" ContentType="application/vnd.openxmlformats-officedocument.drawingml.chartshapes+xml"/>
  <Override PartName="/word/drawings/drawing11.xml" ContentType="application/vnd.openxmlformats-officedocument.drawingml.chartshapes+xml"/>
  <Override PartName="/word/drawings/drawing12.xml" ContentType="application/vnd.openxmlformats-officedocument.drawingml.chartshapes+xml"/>
  <Override PartName="/word/drawings/drawing13.xml" ContentType="application/vnd.openxmlformats-officedocument.drawingml.chartshapes+xml"/>
  <Override PartName="/word/drawings/drawing14.xml" ContentType="application/vnd.openxmlformats-officedocument.drawingml.chartshapes+xml"/>
  <Override PartName="/word/drawings/drawing15.xml" ContentType="application/vnd.openxmlformats-officedocument.drawingml.chartshapes+xml"/>
  <Override PartName="/word/drawings/drawing16.xml" ContentType="application/vnd.openxmlformats-officedocument.drawingml.chartshapes+xml"/>
  <Override PartName="/word/drawings/drawing2.xml" ContentType="application/vnd.openxmlformats-officedocument.drawingml.chartshapes+xml"/>
  <Override PartName="/word/drawings/drawing3.xml" ContentType="application/vnd.openxmlformats-officedocument.drawingml.chartshapes+xml"/>
  <Override PartName="/word/drawings/drawing4.xml" ContentType="application/vnd.openxmlformats-officedocument.drawingml.chartshapes+xml"/>
  <Override PartName="/word/drawings/drawing5.xml" ContentType="application/vnd.openxmlformats-officedocument.drawingml.chartshapes+xml"/>
  <Override PartName="/word/drawings/drawing6.xml" ContentType="application/vnd.openxmlformats-officedocument.drawingml.chartshapes+xml"/>
  <Override PartName="/word/drawings/drawing7.xml" ContentType="application/vnd.openxmlformats-officedocument.drawingml.chartshapes+xml"/>
  <Override PartName="/word/drawings/drawing8.xml" ContentType="application/vnd.openxmlformats-officedocument.drawingml.chartshapes+xml"/>
  <Override PartName="/word/drawings/drawing9.xml" ContentType="application/vnd.openxmlformats-officedocument.drawingml.chartshapes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ps="http://schemas.microsoft.com/office/word/2010/wordprocessingShape" mc:Ignorable="w14 w15 wp14 w16se w16cid">
  <!-- Generated by Aspose.Words for .NET 24.2.0 -->
  <w:body>
    <w:p w:rsidR="000C41F9" w:rsidP="00BE2E83" w14:paraId="486745D9" w14:textId="464A6B4B">
      <w:pPr>
        <w:pStyle w:val="-0"/>
        <w:ind w:firstLine="420"/>
        <w:sectPr w:rsidSect="00863435">
          <w:pgSz w:w="11906" w:h="16838"/>
          <w:pgMar w:top="1440" w:right="1080" w:bottom="1440" w:left="1080" w:header="709" w:footer="567" w:gutter="0"/>
          <w:pgBorders w:offsetFrom="page">
            <w:top w:val="nil"/>
            <w:left w:val="nil"/>
            <w:bottom w:val="nil"/>
            <w:right w:val="nil"/>
          </w:pgBorders>
          <w:pgNumType w:start="1"/>
          <w:cols w:space="425"/>
          <w:docGrid w:type="lines" w:linePitch="312"/>
        </w:sectPr>
      </w:pPr>
      <w:bookmarkStart w:id="0" w:name="_Toc517262917"/>
      <w:bookmarkStart w:id="1" w:name="_Toc453597319"/>
      <w:bookmarkStart w:id="2" w:name="_Toc438987549"/>
      <w:bookmarkStart w:id="3" w:name="_Toc481801204"/>
      <w:bookmarkStart w:id="4" w:name="OLE_LINK15"/>
      <w:bookmarkStart w:id="5" w:name="OLE_LINK13"/>
      <w:bookmarkStart w:id="6" w:name="_Toc418070112"/>
      <w:bookmarkStart w:id="7" w:name="_Toc415818939"/>
      <w:bookmarkStart w:id="8" w:name="_Toc415143481"/>
      <w:bookmarkStart w:id="9" w:name="_Toc415142861"/>
      <w:bookmarkStart w:id="10" w:name="OLE_LINK40"/>
      <w:bookmarkStart w:id="11" w:name="OLE_LINK39"/>
      <w:bookmarkStart w:id="12" w:name="OLE_LINK24"/>
      <w:r w:rsidRPr="008861B4">
        <w:rPr>
          <w:noProof/>
        </w:rPr>
        <mc:AlternateContent>
          <mc:Choice Requires="wps">
            <w:drawing>
              <wp:anchor distT="0" distB="0" distL="114300" distR="114300" simplePos="0" relativeHeight="251658240" behindDoc="0" locked="0" layoutInCell="1" allowOverlap="1">
                <wp:simplePos x="0" y="0"/>
                <wp:positionH relativeFrom="margin">
                  <wp:align>center</wp:align>
                </wp:positionH>
                <wp:positionV relativeFrom="paragraph">
                  <wp:posOffset>2354107</wp:posOffset>
                </wp:positionV>
                <wp:extent cx="5685155" cy="2090057"/>
                <wp:effectExtent l="0" t="0" r="10795" b="62865"/>
                <wp:wrapNone/>
                <wp:docPr id="51" name="Text Box 7"/>
                <wp:cNvGraphicFramePr/>
                <a:graphic xmlns:a="http://schemas.openxmlformats.org/drawingml/2006/main">
                  <a:graphicData uri="http://schemas.microsoft.com/office/word/2010/wordprocessingShape">
                    <wps:wsp xmlns:wps="http://schemas.microsoft.com/office/word/2010/wordprocessingShape"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5685155" cy="2090057"/>
                        </a:xfrm>
                        <a:prstGeom prst="rect">
                          <a:avLst/>
                        </a:prstGeom>
                        <a:noFill/>
                        <a:ln w="9525">
                          <a:noFill/>
                          <a:miter lim="800000"/>
                          <a:headEnd/>
                          <a:tailEnd/>
                        </a:ln>
                        <a:effectLst>
                          <a:outerShdw blurRad="50800" dist="38100" dir="2700000" sx="100000" sy="100000" kx="0" ky="0" algn="tl" rotWithShape="0">
                            <a:prstClr val="black">
                              <a:alpha val="40000"/>
                            </a:prstClr>
                          </a:outerShdw>
                        </a:effectLst>
                      </wps:spPr>
                      <wps:txbx>
                        <w:txbxContent>
                          <w:p w:rsidR="0075537C" w:rsidRPr="00CC28A6" w:rsidP="00E3053E" w14:textId="76024CCF">
                            <w:pPr>
                              <w:spacing w:before="144" w:after="48"/>
                              <w:jc w:val="center"/>
                              <w:rPr>
                                <w:rFonts w:ascii="黑体" w:eastAsia="黑体" w:hAnsi="黑体" w:cs="Arial"/>
                                <w:b/>
                                <w:caps/>
                                <w:color w:val="000080"/>
                                <w:sz w:val="52"/>
                                <w:szCs w:val="52"/>
                              </w:rPr>
                            </w:pPr>
                            <w:r w:rsidRPr="00D81D3D">
                              <w:rPr>
                                <w:rFonts w:ascii="黑体" w:eastAsia="黑体" w:hAnsi="黑体" w:hint="eastAsia"/>
                                <w:b/>
                                <w:caps/>
                                <w:color w:val="000080"/>
                                <w:sz w:val="52"/>
                                <w:szCs w:val="52"/>
                              </w:rPr>
                              <w:t>2024年东南亚电子式热分配表(HCA)市场深度研究及预测报告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id="_x0000_t202" coordsize="21600,21600" o:spt="202" path="m,l,21600r21600,l21600,xe">
                <v:stroke joinstyle="miter"/>
                <v:path gradientshapeok="t" o:connecttype="rect"/>
              </v:shapetype>
              <v:shape id="Text Box 7" o:spid="_x0000_s1025" type="#_x0000_t202" style="width:447.65pt;height:164.55pt;margin-top:185.35pt;margin-left:0;mso-height-percent:0;mso-height-relative:margin;mso-position-horizontal:center;mso-position-horizontal-relative:margin;mso-width-percent:0;mso-width-relative:margin;mso-wrap-distance-bottom:0;mso-wrap-distance-left:9pt;mso-wrap-distance-right:9pt;mso-wrap-distance-top:0;mso-wrap-style:square;position:absolute;visibility:visible;v-text-anchor:top;z-index:251659264" filled="f" stroked="f">
                <v:shadow on="t" color="black" opacity="26214f" origin="-0.5,-0.5" offset="2.12pt,2.12pt"/>
                <v:textbox>
                  <w:txbxContent>
                    <w:p w:rsidR="0075537C" w:rsidRPr="00CC28A6" w:rsidP="00E3053E" w14:paraId="77B0C74F" w14:textId="76024CCF">
                      <w:pPr>
                        <w:spacing w:before="144" w:after="48"/>
                        <w:jc w:val="center"/>
                        <w:rPr>
                          <w:rFonts w:ascii="黑体" w:eastAsia="黑体" w:hAnsi="黑体" w:cs="Arial"/>
                          <w:b/>
                          <w:caps/>
                          <w:color w:val="000080"/>
                          <w:sz w:val="52"/>
                          <w:szCs w:val="52"/>
                        </w:rPr>
                      </w:pPr>
                      <w:r w:rsidRPr="00D81D3D">
                        <w:rPr>
                          <w:rFonts w:ascii="黑体" w:eastAsia="黑体" w:hAnsi="黑体" w:hint="eastAsia"/>
                          <w:b/>
                          <w:caps/>
                          <w:color w:val="000080"/>
                          <w:sz w:val="52"/>
                          <w:szCs w:val="52"/>
                        </w:rPr>
                        <w:t>2024年东南亚电子式热分配表(HCA)市场深度研究及预测报告</w:t>
                      </w:r>
                    </w:p>
                  </w:txbxContent>
                </v:textbox>
                <w10:wrap anchorx="margin"/>
              </v:shape>
            </w:pict>
          </mc:Fallback>
        </mc:AlternateContent>
      </w:r>
      <w:r w:rsidRPr="008861B4" w:rsidR="00887A93">
        <w:rPr>
          <w:noProof/>
        </w:rPr>
        <mc:AlternateContent>
          <mc:Choice Requires="wps">
            <w:drawing>
              <wp:anchor distT="0" distB="0" distL="114300" distR="114300" simplePos="0" relativeHeight="251660288" behindDoc="0" locked="0" layoutInCell="1" allowOverlap="1">
                <wp:simplePos x="0" y="0"/>
                <wp:positionH relativeFrom="margin">
                  <wp:align>center</wp:align>
                </wp:positionH>
                <wp:positionV relativeFrom="paragraph">
                  <wp:posOffset>8823366</wp:posOffset>
                </wp:positionV>
                <wp:extent cx="5048250" cy="391886"/>
                <wp:effectExtent l="0" t="0" r="0" b="0"/>
                <wp:wrapNone/>
                <wp:docPr id="1351" name="Text Box 15"/>
                <wp:cNvGraphicFramePr/>
                <a:graphic xmlns:a="http://schemas.openxmlformats.org/drawingml/2006/main">
                  <a:graphicData uri="http://schemas.microsoft.com/office/word/2010/wordprocessingShape">
                    <wps:wsp xmlns:wps="http://schemas.microsoft.com/office/word/2010/wordprocessingShape">
                      <wps:cNvSpPr txBox="1"/>
                      <wps:spPr>
                        <a:xfrm>
                          <a:off x="0" y="0"/>
                          <a:ext cx="5048250" cy="391886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  <a:effectLst/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:rsidR="0075537C" w:rsidRPr="009E6016" w:rsidP="002801D5" w14:textId="5FFB2887">
                            <w:pPr>
                              <w:jc w:val="center"/>
                              <w:rPr>
                                <w:b/>
                                <w:color w:val="000000" w:themeColor="text1"/>
                              </w:rPr>
                            </w:pPr>
                            <w:r w:rsidRPr="009E6016">
                              <w:rPr>
                                <w:b/>
                                <w:color w:val="000000" w:themeColor="text1"/>
                              </w:rPr>
                              <w:t xml:space="preserve">Copyright © QYResearch | </w:t>
                            </w:r>
                            <w:r w:rsidRPr="003A22F5" w:rsidR="003A22F5">
                              <w:rPr>
                                <w:b/>
                                <w:color w:val="000000" w:themeColor="text1"/>
                              </w:rPr>
                              <w:t>market@qyresearch.com</w:t>
                            </w:r>
                            <w:r w:rsidRPr="009E6016">
                              <w:rPr>
                                <w:b/>
                                <w:color w:val="000000" w:themeColor="text1"/>
                              </w:rPr>
                              <w:t xml:space="preserve"> | www.qyresearch.com</w:t>
                            </w:r>
                            <w:r>
                              <w:rPr>
                                <w:rFonts w:hint="eastAsia"/>
                                <w:b/>
                                <w:color w:val="000000" w:themeColor="text1"/>
                              </w:rPr>
                              <w:t>.</w:t>
                            </w:r>
                            <w:r>
                              <w:rPr>
                                <w:b/>
                                <w:color w:val="000000" w:themeColor="text1"/>
                              </w:rPr>
                              <w:t>cn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id="Text Box 15" o:spid="_x0000_s1026" type="#_x0000_t202" style="width:397.5pt;height:30.85pt;margin-top:694.75pt;margin-left:0;mso-height-percent:0;mso-height-relative:margin;mso-position-horizontal:center;mso-position-horizontal-relative:margin;mso-width-percent:0;mso-width-relative:margin;mso-wrap-distance-bottom:0;mso-wrap-distance-left:9pt;mso-wrap-distance-right:9pt;mso-wrap-distance-top:0;mso-wrap-style:square;position:absolute;visibility:visible;v-text-anchor:top;z-index:251661312" filled="f" stroked="f" strokeweight="0.5pt">
                <v:textbox>
                  <w:txbxContent>
                    <w:p w:rsidR="0075537C" w:rsidRPr="009E6016" w:rsidP="002801D5" w14:paraId="5CCB99D7" w14:textId="5FFB2887">
                      <w:pPr>
                        <w:jc w:val="center"/>
                        <w:rPr>
                          <w:b/>
                          <w:color w:val="000000" w:themeColor="text1"/>
                        </w:rPr>
                      </w:pPr>
                      <w:r w:rsidRPr="009E6016">
                        <w:rPr>
                          <w:b/>
                          <w:color w:val="000000" w:themeColor="text1"/>
                        </w:rPr>
                        <w:t xml:space="preserve">Copyright © QYResearch | </w:t>
                      </w:r>
                      <w:r w:rsidRPr="003A22F5" w:rsidR="003A22F5">
                        <w:rPr>
                          <w:b/>
                          <w:color w:val="000000" w:themeColor="text1"/>
                        </w:rPr>
                        <w:t>market@qyresearch.com</w:t>
                      </w:r>
                      <w:r w:rsidRPr="009E6016">
                        <w:rPr>
                          <w:b/>
                          <w:color w:val="000000" w:themeColor="text1"/>
                        </w:rPr>
                        <w:t xml:space="preserve"> | www.qyresearch.com</w:t>
                      </w:r>
                      <w:r>
                        <w:rPr>
                          <w:rFonts w:hint="eastAsia"/>
                          <w:b/>
                          <w:color w:val="000000" w:themeColor="text1"/>
                        </w:rPr>
                        <w:t>.</w:t>
                      </w:r>
                      <w:r>
                        <w:rPr>
                          <w:b/>
                          <w:color w:val="000000" w:themeColor="text1"/>
                        </w:rPr>
                        <w:t>cn</w:t>
                      </w:r>
                    </w:p>
                  </w:txbxContent>
                </v:textbox>
                <w10:wrap anchorx="margin"/>
              </v:shape>
            </w:pict>
          </mc:Fallback>
        </mc:AlternateContent>
      </w:r>
    </w:p>
    <w:p w:rsidR="008D0042" w:rsidRPr="007847BE" w:rsidP="00D81D3D" w14:paraId="678D1426" w14:textId="2F5259A3">
      <w:pPr>
        <w:pStyle w:val="a14"/>
        <w:pBdr>
          <w:bottom w:val="none" w:sz="0" w:space="0" w:color="auto"/>
        </w:pBdr>
        <w:jc w:val="center"/>
        <w:rPr>
          <w:rFonts w:eastAsia="宋体"/>
        </w:rPr>
      </w:pPr>
      <w:r w:rsidRPr="00D81D3D">
        <w:rPr>
          <w:rFonts w:hint="eastAsia"/>
        </w:rPr>
        <w:t>2024</w:t>
      </w:r>
      <w:r w:rsidRPr="00D81D3D">
        <w:rPr>
          <w:rFonts w:hint="eastAsia"/>
        </w:rPr>
        <w:t>年东南亚</w:t>
      </w:r>
      <w:r w:rsidRPr="00D81D3D">
        <w:rPr>
          <w:rFonts w:hint="eastAsia"/>
        </w:rPr>
        <w:t>电子式热分配表(HCA)</w:t>
      </w:r>
      <w:r w:rsidRPr="00D81D3D">
        <w:rPr>
          <w:rFonts w:hint="eastAsia"/>
        </w:rPr>
        <w:t>市场深度研究及预测报告</w:t>
      </w:r>
    </w:p>
    <w:p w:rsidR="00DD26C0" w:rsidP="00DD26C0" w14:paraId="7A3D3533" w14:textId="77777777">
      <w:pPr>
        <w:pStyle w:val="-0"/>
        <w:ind w:firstLine="420"/>
        <w:rPr>
          <w:lang w:eastAsia="zh-CN"/>
        </w:rPr>
      </w:pPr>
      <w:r>
        <w:rPr>
          <w:rFonts w:hint="eastAsia"/>
          <w:lang w:eastAsia="zh-CN"/>
        </w:rPr>
        <w:t>东南亚位于我国倡导推进的“一带一路”海陆交汇地带，作为当今全球发展最为迅速的地区之一，近年来区域内生产总值实现了显著且稳定的增长。</w:t>
      </w:r>
      <w:r w:rsidRPr="00661054">
        <w:rPr>
          <w:rFonts w:hint="eastAsia"/>
          <w:lang w:eastAsia="zh-CN"/>
        </w:rPr>
        <w:t>根据东盟主要经济体公布的最新数据，印度尼西亚</w:t>
      </w:r>
      <w:r w:rsidRPr="00661054">
        <w:rPr>
          <w:rFonts w:hint="eastAsia"/>
          <w:lang w:eastAsia="zh-CN"/>
        </w:rPr>
        <w:t>2023</w:t>
      </w:r>
      <w:r w:rsidRPr="00661054">
        <w:rPr>
          <w:rFonts w:hint="eastAsia"/>
          <w:lang w:eastAsia="zh-CN"/>
        </w:rPr>
        <w:t>年国内生产总值（</w:t>
      </w:r>
      <w:r w:rsidRPr="00661054">
        <w:rPr>
          <w:rFonts w:hint="eastAsia"/>
          <w:lang w:eastAsia="zh-CN"/>
        </w:rPr>
        <w:t>GDP</w:t>
      </w:r>
      <w:r w:rsidRPr="00661054">
        <w:rPr>
          <w:rFonts w:hint="eastAsia"/>
          <w:lang w:eastAsia="zh-CN"/>
        </w:rPr>
        <w:t>）增长</w:t>
      </w:r>
      <w:r w:rsidRPr="00661054">
        <w:rPr>
          <w:rFonts w:hint="eastAsia"/>
          <w:lang w:eastAsia="zh-CN"/>
        </w:rPr>
        <w:t>5.05%</w:t>
      </w:r>
      <w:r w:rsidRPr="00661054">
        <w:rPr>
          <w:rFonts w:hint="eastAsia"/>
          <w:lang w:eastAsia="zh-CN"/>
        </w:rPr>
        <w:t>；越南</w:t>
      </w:r>
      <w:r w:rsidRPr="00661054">
        <w:rPr>
          <w:rFonts w:hint="eastAsia"/>
          <w:lang w:eastAsia="zh-CN"/>
        </w:rPr>
        <w:t>2023</w:t>
      </w:r>
      <w:r w:rsidRPr="00661054">
        <w:rPr>
          <w:rFonts w:hint="eastAsia"/>
          <w:lang w:eastAsia="zh-CN"/>
        </w:rPr>
        <w:t>年经济增长</w:t>
      </w:r>
      <w:r w:rsidRPr="00661054">
        <w:rPr>
          <w:rFonts w:hint="eastAsia"/>
          <w:lang w:eastAsia="zh-CN"/>
        </w:rPr>
        <w:t>5.05%</w:t>
      </w:r>
      <w:r w:rsidRPr="00661054">
        <w:rPr>
          <w:rFonts w:hint="eastAsia"/>
          <w:lang w:eastAsia="zh-CN"/>
        </w:rPr>
        <w:t>；马来西亚</w:t>
      </w:r>
      <w:r w:rsidRPr="00661054">
        <w:rPr>
          <w:rFonts w:hint="eastAsia"/>
          <w:lang w:eastAsia="zh-CN"/>
        </w:rPr>
        <w:t>2023</w:t>
      </w:r>
      <w:r w:rsidRPr="00661054">
        <w:rPr>
          <w:rFonts w:hint="eastAsia"/>
          <w:lang w:eastAsia="zh-CN"/>
        </w:rPr>
        <w:t>年经济增速为</w:t>
      </w:r>
      <w:r w:rsidRPr="00661054">
        <w:rPr>
          <w:rFonts w:hint="eastAsia"/>
          <w:lang w:eastAsia="zh-CN"/>
        </w:rPr>
        <w:t>3.7%</w:t>
      </w:r>
      <w:r w:rsidRPr="00661054">
        <w:rPr>
          <w:rFonts w:hint="eastAsia"/>
          <w:lang w:eastAsia="zh-CN"/>
        </w:rPr>
        <w:t>；泰国</w:t>
      </w:r>
      <w:r w:rsidRPr="00661054">
        <w:rPr>
          <w:rFonts w:hint="eastAsia"/>
          <w:lang w:eastAsia="zh-CN"/>
        </w:rPr>
        <w:t>2023</w:t>
      </w:r>
      <w:r w:rsidRPr="00661054">
        <w:rPr>
          <w:rFonts w:hint="eastAsia"/>
          <w:lang w:eastAsia="zh-CN"/>
        </w:rPr>
        <w:t>年经济增长</w:t>
      </w:r>
      <w:r w:rsidRPr="00661054">
        <w:rPr>
          <w:rFonts w:hint="eastAsia"/>
          <w:lang w:eastAsia="zh-CN"/>
        </w:rPr>
        <w:t>1.9%</w:t>
      </w:r>
      <w:r w:rsidRPr="00661054">
        <w:rPr>
          <w:rFonts w:hint="eastAsia"/>
          <w:lang w:eastAsia="zh-CN"/>
        </w:rPr>
        <w:t>；新加坡</w:t>
      </w:r>
      <w:r w:rsidRPr="00661054">
        <w:rPr>
          <w:rFonts w:hint="eastAsia"/>
          <w:lang w:eastAsia="zh-CN"/>
        </w:rPr>
        <w:t>2023</w:t>
      </w:r>
      <w:r w:rsidRPr="00661054">
        <w:rPr>
          <w:rFonts w:hint="eastAsia"/>
          <w:lang w:eastAsia="zh-CN"/>
        </w:rPr>
        <w:t>年经济增长</w:t>
      </w:r>
      <w:r w:rsidRPr="00661054">
        <w:rPr>
          <w:rFonts w:hint="eastAsia"/>
          <w:lang w:eastAsia="zh-CN"/>
        </w:rPr>
        <w:t>1.1%</w:t>
      </w:r>
      <w:r w:rsidRPr="00661054">
        <w:rPr>
          <w:rFonts w:hint="eastAsia"/>
          <w:lang w:eastAsia="zh-CN"/>
        </w:rPr>
        <w:t>；柬埔寨</w:t>
      </w:r>
      <w:r w:rsidRPr="00661054">
        <w:rPr>
          <w:rFonts w:hint="eastAsia"/>
          <w:lang w:eastAsia="zh-CN"/>
        </w:rPr>
        <w:t>2023</w:t>
      </w:r>
      <w:r w:rsidRPr="00661054">
        <w:rPr>
          <w:rFonts w:hint="eastAsia"/>
          <w:lang w:eastAsia="zh-CN"/>
        </w:rPr>
        <w:t>年经济增速预计为</w:t>
      </w:r>
      <w:r w:rsidRPr="00661054">
        <w:rPr>
          <w:rFonts w:hint="eastAsia"/>
          <w:lang w:eastAsia="zh-CN"/>
        </w:rPr>
        <w:t>5.6%</w:t>
      </w:r>
      <w:r w:rsidRPr="00661054">
        <w:rPr>
          <w:rFonts w:hint="eastAsia"/>
          <w:lang w:eastAsia="zh-CN"/>
        </w:rPr>
        <w:t>。</w:t>
      </w:r>
    </w:p>
    <w:p w:rsidR="00DD26C0" w:rsidP="00DD26C0" w14:paraId="192ED7B9" w14:textId="77777777">
      <w:pPr>
        <w:pStyle w:val="-0"/>
        <w:ind w:firstLine="420"/>
        <w:rPr>
          <w:lang w:eastAsia="zh-CN"/>
        </w:rPr>
      </w:pPr>
      <w:r>
        <w:rPr>
          <w:rFonts w:hint="eastAsia"/>
          <w:lang w:eastAsia="zh-CN"/>
        </w:rPr>
        <w:t>东盟国家在“一带一路”沿线国家中的总体</w:t>
      </w:r>
      <w:r>
        <w:rPr>
          <w:rFonts w:hint="eastAsia"/>
          <w:lang w:eastAsia="zh-CN"/>
        </w:rPr>
        <w:t>GDP</w:t>
      </w:r>
      <w:r>
        <w:rPr>
          <w:rFonts w:hint="eastAsia"/>
          <w:lang w:eastAsia="zh-CN"/>
        </w:rPr>
        <w:t>经济规模、贸易总额与国外直接投资均为最大，因此有着举足轻重的地位和作用。当前，东盟与中国已互相成为双方最大的交易伙伴。中国</w:t>
      </w:r>
      <w:r>
        <w:rPr>
          <w:rFonts w:hint="eastAsia"/>
          <w:lang w:eastAsia="zh-CN"/>
        </w:rPr>
        <w:t>-</w:t>
      </w:r>
      <w:r>
        <w:rPr>
          <w:rFonts w:hint="eastAsia"/>
          <w:lang w:eastAsia="zh-CN"/>
        </w:rPr>
        <w:t>东盟贸易总额已从</w:t>
      </w:r>
      <w:r>
        <w:rPr>
          <w:rFonts w:hint="eastAsia"/>
          <w:lang w:eastAsia="zh-CN"/>
        </w:rPr>
        <w:t>2013</w:t>
      </w:r>
      <w:r>
        <w:rPr>
          <w:rFonts w:hint="eastAsia"/>
          <w:lang w:eastAsia="zh-CN"/>
        </w:rPr>
        <w:t>年的</w:t>
      </w:r>
      <w:r>
        <w:rPr>
          <w:rFonts w:hint="eastAsia"/>
          <w:lang w:eastAsia="zh-CN"/>
        </w:rPr>
        <w:t>443</w:t>
      </w:r>
      <w:r>
        <w:rPr>
          <w:rFonts w:hint="eastAsia"/>
          <w:lang w:eastAsia="zh-CN"/>
        </w:rPr>
        <w:t>亿元增长至</w:t>
      </w:r>
      <w:r>
        <w:rPr>
          <w:rFonts w:hint="eastAsia"/>
          <w:lang w:eastAsia="zh-CN"/>
        </w:rPr>
        <w:t xml:space="preserve"> 2023</w:t>
      </w:r>
      <w:r>
        <w:rPr>
          <w:rFonts w:hint="eastAsia"/>
          <w:lang w:eastAsia="zh-CN"/>
        </w:rPr>
        <w:t>年合计超逾</w:t>
      </w:r>
      <w:r>
        <w:rPr>
          <w:rFonts w:hint="eastAsia"/>
          <w:lang w:eastAsia="zh-CN"/>
        </w:rPr>
        <w:t>6.4</w:t>
      </w:r>
      <w:r>
        <w:rPr>
          <w:rFonts w:hint="eastAsia"/>
          <w:lang w:eastAsia="zh-CN"/>
        </w:rPr>
        <w:t>万亿元，占中国外贸总值的</w:t>
      </w:r>
      <w:r>
        <w:rPr>
          <w:rFonts w:hint="eastAsia"/>
          <w:lang w:eastAsia="zh-CN"/>
        </w:rPr>
        <w:t>15.4</w:t>
      </w:r>
      <w:r>
        <w:rPr>
          <w:rFonts w:hint="eastAsia"/>
          <w:lang w:eastAsia="zh-CN"/>
        </w:rPr>
        <w:t>％。在过去</w:t>
      </w:r>
      <w:r>
        <w:rPr>
          <w:rFonts w:hint="eastAsia"/>
          <w:lang w:eastAsia="zh-CN"/>
        </w:rPr>
        <w:t>20</w:t>
      </w:r>
      <w:r>
        <w:rPr>
          <w:rFonts w:hint="eastAsia"/>
          <w:lang w:eastAsia="zh-CN"/>
        </w:rPr>
        <w:t>余年中，东盟国家不断在全球多变的格局里面临挑战并寻求机遇。</w:t>
      </w:r>
      <w:r>
        <w:rPr>
          <w:rFonts w:hint="eastAsia"/>
          <w:lang w:eastAsia="zh-CN"/>
        </w:rPr>
        <w:t>2023</w:t>
      </w:r>
      <w:r>
        <w:rPr>
          <w:rFonts w:hint="eastAsia"/>
          <w:lang w:eastAsia="zh-CN"/>
        </w:rPr>
        <w:t>东盟国家主要经济体受到国内消费、国外投资、货币政策、旅游业复苏、和大宗商品出口价企稳等方面的提振，经济显现出稳步增长态势和强韧性的潜能。</w:t>
      </w:r>
    </w:p>
    <w:p w:rsidR="00DD26C0" w:rsidP="00DD26C0" w14:paraId="536EC75D" w14:textId="37B58F2C">
      <w:pPr>
        <w:pStyle w:val="-0"/>
        <w:ind w:firstLine="420"/>
        <w:rPr>
          <w:lang w:eastAsia="zh-CN"/>
        </w:rPr>
      </w:pPr>
      <w:r>
        <w:rPr>
          <w:rFonts w:hint="eastAsia"/>
          <w:lang w:eastAsia="zh-CN"/>
        </w:rPr>
        <w:t>本</w:t>
      </w:r>
      <w:r w:rsidR="00A737C3">
        <w:rPr>
          <w:rFonts w:hint="eastAsia"/>
          <w:lang w:eastAsia="zh-CN"/>
        </w:rPr>
        <w:t>调研报告</w:t>
      </w:r>
      <w:r>
        <w:rPr>
          <w:rFonts w:hint="eastAsia"/>
          <w:lang w:eastAsia="zh-CN"/>
        </w:rPr>
        <w:t>旨在深度挖掘东南亚市场</w:t>
      </w:r>
      <w:r>
        <w:rPr>
          <w:rFonts w:hint="eastAsia"/>
          <w:lang w:eastAsia="zh-CN"/>
        </w:rPr>
        <w:t>电子式热分配表(HCA)</w:t>
      </w:r>
      <w:r>
        <w:rPr>
          <w:rFonts w:hint="eastAsia"/>
          <w:lang w:eastAsia="zh-CN"/>
        </w:rPr>
        <w:t>的增长潜力与发展机会，分析东南亚市场竞争态势、销售模式、客户偏好、整体市场营商环境，为国内企业出海开展业务提供客观参考意见。</w:t>
      </w:r>
    </w:p>
    <w:p w:rsidR="002A6D5A" w:rsidP="00F11908" w14:paraId="1320EBCE" w14:textId="15FF3CD8">
      <w:pPr>
        <w:pStyle w:val="-0"/>
        <w:ind w:firstLine="420"/>
        <w:rPr>
          <w:lang w:eastAsia="zh-CN"/>
        </w:rPr>
      </w:pPr>
      <w:bookmarkStart w:id="13" w:name="_Hlk121581553"/>
      <w:r>
        <w:rPr>
          <w:rFonts w:hint="eastAsia"/>
        </w:rPr>
        <w:t>据</w:t>
      </w:r>
      <w:r>
        <w:t>QYResearch</w:t>
      </w:r>
      <w:r>
        <w:rPr>
          <w:rFonts w:hint="eastAsia"/>
        </w:rPr>
        <w:t>最新调研，</w:t>
      </w:r>
      <w:r>
        <w:t>2023</w:t>
      </w:r>
      <w:r>
        <w:rPr>
          <w:rFonts w:hint="eastAsia"/>
        </w:rPr>
        <w:t>年全球</w:t>
      </w:r>
      <w:r>
        <w:t>电子式热分配表(HCA)</w:t>
      </w:r>
      <w:r>
        <w:rPr>
          <w:rFonts w:hint="eastAsia"/>
        </w:rPr>
        <w:t>市场销售收入达到</w:t>
      </w:r>
      <w:r>
        <w:rPr>
          <w:rFonts w:hint="eastAsia"/>
        </w:rPr>
        <w:t>了xx亿</w:t>
      </w:r>
      <w:r>
        <w:rPr>
          <w:rFonts w:hint="eastAsia"/>
        </w:rPr>
        <w:t>元，预计</w:t>
      </w:r>
      <w:r>
        <w:t>2030</w:t>
      </w:r>
      <w:r>
        <w:rPr>
          <w:rFonts w:hint="eastAsia"/>
        </w:rPr>
        <w:t>年可以达</w:t>
      </w:r>
      <w:r>
        <w:rPr>
          <w:rFonts w:hint="eastAsia"/>
        </w:rPr>
        <w:t>到xx亿</w:t>
      </w:r>
      <w:r>
        <w:rPr>
          <w:rFonts w:hint="eastAsia"/>
        </w:rPr>
        <w:t>元，未来几年年复合增长率</w:t>
      </w:r>
      <w:r>
        <w:t>(CAGR)</w:t>
      </w:r>
      <w:r>
        <w:rPr>
          <w:rFonts w:hint="eastAsia"/>
        </w:rPr>
        <w:t>为xx。</w:t>
      </w:r>
    </w:p>
    <w:p w:rsidR="007F0567" w:rsidP="00F11908" w14:paraId="12688D65" w14:textId="73793BA8">
      <w:pPr>
        <w:pStyle w:val="-0"/>
        <w:ind w:firstLine="420"/>
        <w:rPr>
          <w:lang w:eastAsia="zh-CN"/>
        </w:rPr>
      </w:pPr>
      <w:r>
        <w:rPr>
          <w:rFonts w:hint="eastAsia"/>
          <w:lang w:eastAsia="zh-CN"/>
        </w:rPr>
        <w:t>东南亚市场</w:t>
      </w:r>
      <w:r>
        <w:rPr>
          <w:rFonts w:hint="eastAsia"/>
          <w:lang w:eastAsia="zh-CN"/>
        </w:rPr>
        <w:t>而言，预计</w:t>
      </w:r>
      <w:r>
        <w:rPr>
          <w:rFonts w:hint="eastAsia"/>
          <w:lang w:eastAsia="zh-CN"/>
        </w:rPr>
        <w:t>2024-2030</w:t>
      </w:r>
      <w:r w:rsidRPr="006C5127">
        <w:rPr>
          <w:rFonts w:hint="eastAsia"/>
          <w:lang w:eastAsia="zh-CN"/>
        </w:rPr>
        <w:t>期间年复合增长率</w:t>
      </w:r>
      <w:r w:rsidRPr="006C5127">
        <w:rPr>
          <w:rFonts w:hint="eastAsia"/>
          <w:lang w:eastAsia="zh-CN"/>
        </w:rPr>
        <w:t>(CAGR)</w:t>
      </w:r>
      <w:r>
        <w:rPr>
          <w:rFonts w:hint="eastAsia"/>
          <w:lang w:eastAsia="zh-CN"/>
        </w:rPr>
        <w:t>为</w:t>
      </w:r>
      <w:r>
        <w:rPr>
          <w:rFonts w:hint="eastAsia"/>
          <w:lang w:eastAsia="zh-CN"/>
        </w:rPr>
        <w:t>xx%</w:t>
      </w:r>
      <w:r>
        <w:rPr>
          <w:rFonts w:hint="eastAsia"/>
          <w:lang w:eastAsia="zh-CN"/>
        </w:rPr>
        <w:t>，高于全球的</w:t>
      </w:r>
      <w:r>
        <w:rPr>
          <w:rFonts w:hint="eastAsia"/>
          <w:lang w:eastAsia="zh-CN"/>
        </w:rPr>
        <w:t>xx%</w:t>
      </w:r>
      <w:r>
        <w:rPr>
          <w:rFonts w:hint="eastAsia"/>
          <w:lang w:eastAsia="zh-CN"/>
        </w:rPr>
        <w:t>，</w:t>
      </w:r>
      <w:r>
        <w:rPr>
          <w:rFonts w:hint="eastAsia"/>
          <w:lang w:eastAsia="zh-CN"/>
        </w:rPr>
        <w:t>2030</w:t>
      </w:r>
      <w:r>
        <w:rPr>
          <w:rFonts w:hint="eastAsia"/>
          <w:lang w:eastAsia="zh-CN"/>
        </w:rPr>
        <w:t>年</w:t>
      </w:r>
      <w:r>
        <w:rPr>
          <w:rFonts w:hint="eastAsia"/>
          <w:lang w:eastAsia="zh-CN"/>
        </w:rPr>
        <w:t>东南亚市场</w:t>
      </w:r>
      <w:r>
        <w:rPr>
          <w:rFonts w:hint="eastAsia"/>
          <w:lang w:eastAsia="zh-CN"/>
        </w:rPr>
        <w:t>市场规模将达到</w:t>
      </w:r>
      <w:r>
        <w:rPr>
          <w:rFonts w:hint="eastAsia"/>
          <w:lang w:eastAsia="zh-CN"/>
        </w:rPr>
        <w:t>xx</w:t>
      </w:r>
      <w:r>
        <w:rPr>
          <w:rFonts w:hint="eastAsia"/>
          <w:lang w:eastAsia="zh-CN"/>
        </w:rPr>
        <w:t>亿元。</w:t>
      </w:r>
    </w:p>
    <w:p w:rsidR="008259D9" w:rsidRPr="008259D9" w:rsidP="00603651" w14:paraId="03DFDFEC" w14:textId="00EEF059">
      <w:pPr>
        <w:pStyle w:val="-0"/>
        <w:ind w:firstLine="420"/>
        <w:rPr>
          <w:lang w:eastAsia="zh-CN"/>
        </w:rPr>
      </w:pPr>
      <w:r w:rsidRPr="00736476">
        <w:rPr>
          <w:lang w:eastAsia="zh-CN"/>
        </w:rPr>
        <w:t>欧洲是第一大市场，约占47%的市场份额。其次是亚太地区和北美，约占41%的市场份额。 主要的生产厂商有Zenner, Ista, Techem, Siemens, Engelmnn, Te-sa s.r.l., Itron, Sontex, Leye Energy Service, Brunata等。排名前三的生产厂商约占63%的市场份额。</w:t>
      </w:r>
    </w:p>
    <w:p w:rsidR="00A42582" w:rsidP="005C5872" w14:paraId="688C8DAE" w14:textId="1A9CCC13">
      <w:pPr>
        <w:pStyle w:val="-0"/>
        <w:ind w:firstLine="420"/>
        <w:rPr>
          <w:lang w:eastAsia="zh-CN"/>
        </w:rPr>
      </w:pPr>
      <w:r>
        <w:rPr>
          <w:rFonts w:hint="eastAsia"/>
          <w:lang w:eastAsia="zh-CN"/>
        </w:rPr>
        <w:t>本文重点关注</w:t>
      </w:r>
      <w:r w:rsidR="001C34EF">
        <w:rPr>
          <w:rFonts w:hint="eastAsia"/>
          <w:lang w:eastAsia="zh-CN"/>
        </w:rPr>
        <w:t>东南亚市场</w:t>
      </w:r>
      <w:r w:rsidR="00D87E0C">
        <w:rPr>
          <w:rFonts w:hint="eastAsia"/>
          <w:lang w:eastAsia="zh-CN"/>
        </w:rPr>
        <w:t>主要的</w:t>
      </w:r>
      <w:r>
        <w:rPr>
          <w:rFonts w:hint="eastAsia"/>
          <w:lang w:eastAsia="zh-CN"/>
        </w:rPr>
        <w:t>国外及</w:t>
      </w:r>
      <w:r w:rsidR="00E452D1">
        <w:rPr>
          <w:rFonts w:hint="eastAsia"/>
          <w:lang w:eastAsia="zh-CN"/>
        </w:rPr>
        <w:t>印尼</w:t>
      </w:r>
      <w:r w:rsidR="00D87E0C">
        <w:rPr>
          <w:rFonts w:hint="eastAsia"/>
          <w:lang w:eastAsia="zh-CN"/>
        </w:rPr>
        <w:t>本土</w:t>
      </w:r>
      <w:r>
        <w:rPr>
          <w:rFonts w:hint="eastAsia"/>
          <w:lang w:eastAsia="zh-CN"/>
        </w:rPr>
        <w:t>企业</w:t>
      </w:r>
      <w:r w:rsidR="00B07B54">
        <w:rPr>
          <w:rFonts w:hint="eastAsia"/>
          <w:lang w:eastAsia="zh-CN"/>
        </w:rPr>
        <w:t>，分析</w:t>
      </w:r>
      <w:r w:rsidR="001C34EF">
        <w:rPr>
          <w:rFonts w:hint="eastAsia"/>
          <w:lang w:eastAsia="zh-CN"/>
        </w:rPr>
        <w:t>东南亚市场</w:t>
      </w:r>
      <w:r w:rsidR="00B07B54">
        <w:rPr>
          <w:rFonts w:hint="eastAsia"/>
          <w:lang w:eastAsia="zh-CN"/>
        </w:rPr>
        <w:t>总体竞争格局、目前现状及未来趋势。</w:t>
      </w:r>
    </w:p>
    <w:bookmarkEnd w:id="13"/>
    <w:p w:rsidR="00235FD9" w:rsidP="00235FD9">
      <w:pPr>
        <w:pStyle w:val="-0"/>
        <w:ind w:firstLine="420"/>
        <w:rPr>
          <w:lang w:eastAsia="zh-CN"/>
        </w:rPr>
      </w:pPr>
      <w:r>
        <w:rPr>
          <w:rFonts w:hint="eastAsia"/>
          <w:lang w:eastAsia="zh-CN"/>
        </w:rPr>
        <w:t>QYResearch（恒州博智）是全球知名的大型咨询机构，长期专注于各行业细分市场的调研。行业层面，重点关注可能存在“卡脖子”的高科技细分领域。企业层面，重点关注在国际和国内市场在规模和技术等层面具有代表性的企业，挖掘出各个行业的国家级“专精特新”企业，以全球视角，深度洞察行业竞争态势、发展现状及未来趋势。</w:t>
      </w:r>
    </w:p>
    <w:p w:rsidR="00235FD9" w:rsidP="00235FD9" w14:paraId="326FDD9B" w14:textId="0EE4C997">
      <w:pPr>
        <w:pStyle w:val="-0"/>
        <w:ind w:firstLine="420"/>
        <w:rPr>
          <w:lang w:eastAsia="zh-CN"/>
        </w:rPr>
      </w:pPr>
      <w:r>
        <w:rPr>
          <w:rFonts w:hint="eastAsia"/>
          <w:lang w:eastAsia="zh-CN"/>
        </w:rPr>
        <w:t>本文核心内容</w:t>
      </w:r>
      <w:r>
        <w:rPr>
          <w:rFonts w:hint="eastAsia"/>
          <w:lang w:eastAsia="zh-CN"/>
        </w:rPr>
        <w:t>：</w:t>
      </w:r>
    </w:p>
    <w:p w:rsidR="00235FD9" w:rsidP="00235FD9" w14:paraId="08954EEA" w14:textId="1B413767">
      <w:pPr>
        <w:pStyle w:val="ListParagraph"/>
        <w:numPr>
          <w:ilvl w:val="1"/>
          <w:numId w:val="20"/>
        </w:numPr>
        <w:spacing w:before="0" w:after="0" w:line="312" w:lineRule="auto"/>
        <w:rPr>
          <w:rFonts w:ascii="Times New Roman" w:eastAsia="宋体" w:hAnsi="Times New Roman" w:cs="Calibri"/>
        </w:rPr>
      </w:pPr>
      <w:r w:rsidRPr="00F11908">
        <w:rPr>
          <w:rFonts w:ascii="Times New Roman" w:eastAsia="宋体" w:hAnsi="Times New Roman" w:cs="Calibri" w:hint="eastAsia"/>
        </w:rPr>
        <w:t>市场空间：</w:t>
      </w:r>
      <w:r>
        <w:rPr>
          <w:rFonts w:ascii="Times New Roman" w:eastAsia="宋体" w:hAnsi="Times New Roman" w:cs="Calibri" w:hint="eastAsia"/>
          <w:lang w:eastAsia="zh-CN"/>
        </w:rPr>
        <w:t>全球</w:t>
      </w:r>
      <w:r w:rsidRPr="00FC18B2">
        <w:rPr>
          <w:rFonts w:ascii="Times New Roman" w:eastAsia="宋体" w:hAnsi="Times New Roman" w:cs="Calibri" w:hint="eastAsia"/>
        </w:rPr>
        <w:t>电子式热分配表(HCA)</w:t>
      </w:r>
      <w:r w:rsidRPr="00F11908">
        <w:rPr>
          <w:rFonts w:ascii="Times New Roman" w:eastAsia="宋体" w:hAnsi="Times New Roman" w:cs="Calibri" w:hint="eastAsia"/>
        </w:rPr>
        <w:t>行业市场</w:t>
      </w:r>
      <w:r>
        <w:rPr>
          <w:rFonts w:ascii="Times New Roman" w:eastAsia="宋体" w:hAnsi="Times New Roman" w:cs="Calibri" w:hint="eastAsia"/>
          <w:lang w:eastAsia="zh-CN"/>
        </w:rPr>
        <w:t>空间、</w:t>
      </w:r>
      <w:r w:rsidR="001C34EF">
        <w:rPr>
          <w:rFonts w:ascii="Times New Roman" w:eastAsia="宋体" w:hAnsi="Times New Roman" w:cs="Calibri" w:hint="eastAsia"/>
        </w:rPr>
        <w:t>东南亚市场</w:t>
      </w:r>
      <w:r>
        <w:rPr>
          <w:rFonts w:ascii="Times New Roman" w:eastAsia="宋体" w:hAnsi="Times New Roman" w:cs="Calibri" w:hint="eastAsia"/>
          <w:lang w:eastAsia="zh-CN"/>
        </w:rPr>
        <w:t>发展空间。</w:t>
      </w:r>
    </w:p>
    <w:p w:rsidR="00235FD9" w:rsidP="00235FD9" w14:paraId="6301250C" w14:textId="38B82F8B">
      <w:pPr>
        <w:pStyle w:val="ListParagraph"/>
        <w:numPr>
          <w:ilvl w:val="1"/>
          <w:numId w:val="20"/>
        </w:numPr>
        <w:spacing w:before="0" w:after="0" w:line="312" w:lineRule="auto"/>
        <w:rPr>
          <w:rFonts w:ascii="Times New Roman" w:eastAsia="宋体" w:hAnsi="Times New Roman" w:cs="Calibri"/>
        </w:rPr>
      </w:pPr>
      <w:r>
        <w:rPr>
          <w:rFonts w:ascii="Times New Roman" w:eastAsia="宋体" w:hAnsi="Times New Roman" w:cs="Calibri" w:hint="eastAsia"/>
          <w:lang w:eastAsia="zh-CN"/>
        </w:rPr>
        <w:t>竞争态势：全球</w:t>
      </w:r>
      <w:r w:rsidRPr="00FC18B2">
        <w:rPr>
          <w:rFonts w:ascii="Times New Roman" w:eastAsia="宋体" w:hAnsi="Times New Roman" w:cs="Calibri" w:hint="eastAsia"/>
        </w:rPr>
        <w:t>电子式热分配表(HCA)</w:t>
      </w:r>
      <w:r>
        <w:rPr>
          <w:rFonts w:ascii="Times New Roman" w:eastAsia="宋体" w:hAnsi="Times New Roman" w:cs="Calibri" w:hint="eastAsia"/>
          <w:lang w:eastAsia="zh-CN"/>
        </w:rPr>
        <w:t>份额，</w:t>
      </w:r>
      <w:r w:rsidR="001C34EF">
        <w:rPr>
          <w:rFonts w:ascii="Times New Roman" w:eastAsia="宋体" w:hAnsi="Times New Roman" w:cs="Calibri" w:hint="eastAsia"/>
        </w:rPr>
        <w:t>东南亚市场</w:t>
      </w:r>
      <w:r>
        <w:rPr>
          <w:rFonts w:ascii="Times New Roman" w:eastAsia="宋体" w:hAnsi="Times New Roman" w:cs="Calibri" w:hint="eastAsia"/>
          <w:lang w:eastAsia="zh-CN"/>
        </w:rPr>
        <w:t>企业份额。</w:t>
      </w:r>
    </w:p>
    <w:p w:rsidR="00235FD9" w:rsidRPr="00F11908" w:rsidP="00235FD9" w14:paraId="3DF7267C" w14:textId="0763557B">
      <w:pPr>
        <w:pStyle w:val="ListParagraph"/>
        <w:numPr>
          <w:ilvl w:val="1"/>
          <w:numId w:val="20"/>
        </w:numPr>
        <w:spacing w:before="0" w:after="0" w:line="312" w:lineRule="auto"/>
        <w:rPr>
          <w:rFonts w:ascii="Times New Roman" w:eastAsia="宋体" w:hAnsi="Times New Roman" w:cs="Calibri"/>
          <w:lang w:eastAsia="zh-CN"/>
        </w:rPr>
      </w:pPr>
      <w:r>
        <w:rPr>
          <w:rFonts w:ascii="Times New Roman" w:eastAsia="宋体" w:hAnsi="Times New Roman" w:cs="Calibri" w:hint="eastAsia"/>
          <w:lang w:eastAsia="zh-CN"/>
        </w:rPr>
        <w:t>销售模式：</w:t>
      </w:r>
      <w:r w:rsidR="001C34EF">
        <w:rPr>
          <w:rFonts w:ascii="Times New Roman" w:eastAsia="宋体" w:hAnsi="Times New Roman" w:cs="Calibri" w:hint="eastAsia"/>
          <w:lang w:eastAsia="zh-CN"/>
        </w:rPr>
        <w:t>东南亚市场</w:t>
      </w:r>
      <w:r>
        <w:rPr>
          <w:rFonts w:ascii="Times New Roman" w:eastAsia="宋体" w:hAnsi="Times New Roman" w:cs="Calibri" w:hint="eastAsia"/>
          <w:lang w:eastAsia="zh-CN"/>
        </w:rPr>
        <w:t>销售模式、本地代理商</w:t>
      </w:r>
    </w:p>
    <w:p w:rsidR="00235FD9" w:rsidP="00235FD9" w14:paraId="4D8C36D1" w14:textId="27288632">
      <w:pPr>
        <w:pStyle w:val="ListParagraph"/>
        <w:numPr>
          <w:ilvl w:val="1"/>
          <w:numId w:val="20"/>
        </w:numPr>
        <w:spacing w:before="0" w:after="0" w:line="312" w:lineRule="auto"/>
        <w:rPr>
          <w:rFonts w:ascii="Times New Roman" w:eastAsia="宋体" w:hAnsi="Times New Roman" w:cs="Calibri"/>
          <w:lang w:eastAsia="zh-CN"/>
        </w:rPr>
      </w:pPr>
      <w:r>
        <w:rPr>
          <w:rFonts w:ascii="Times New Roman" w:eastAsia="宋体" w:hAnsi="Times New Roman" w:cs="Calibri" w:hint="eastAsia"/>
          <w:lang w:eastAsia="zh-CN"/>
        </w:rPr>
        <w:t>客户</w:t>
      </w:r>
      <w:r w:rsidRPr="00F11908">
        <w:rPr>
          <w:rFonts w:ascii="Times New Roman" w:eastAsia="宋体" w:hAnsi="Times New Roman" w:cs="Calibri" w:hint="eastAsia"/>
          <w:lang w:eastAsia="zh-CN"/>
        </w:rPr>
        <w:t>情况：</w:t>
      </w:r>
      <w:r w:rsidR="008209CD">
        <w:rPr>
          <w:rFonts w:ascii="Times New Roman" w:eastAsia="宋体" w:hAnsi="Times New Roman" w:cs="Calibri" w:hint="eastAsia"/>
          <w:lang w:eastAsia="zh-CN"/>
        </w:rPr>
        <w:t>东南亚</w:t>
      </w:r>
      <w:r>
        <w:rPr>
          <w:rFonts w:ascii="Times New Roman" w:eastAsia="宋体" w:hAnsi="Times New Roman" w:cs="Calibri" w:hint="eastAsia"/>
          <w:lang w:eastAsia="zh-CN"/>
        </w:rPr>
        <w:t>本地客户及偏好分析</w:t>
      </w:r>
    </w:p>
    <w:p w:rsidR="00235FD9" w:rsidP="00235FD9" w14:paraId="171FCC9D" w14:textId="192C3274">
      <w:pPr>
        <w:pStyle w:val="ListParagraph"/>
        <w:numPr>
          <w:ilvl w:val="1"/>
          <w:numId w:val="20"/>
        </w:numPr>
        <w:spacing w:before="0" w:after="0" w:line="312" w:lineRule="auto"/>
        <w:rPr>
          <w:rFonts w:ascii="Times New Roman" w:eastAsia="宋体" w:hAnsi="Times New Roman" w:cs="Calibri"/>
          <w:lang w:eastAsia="zh-CN"/>
        </w:rPr>
      </w:pPr>
      <w:r>
        <w:rPr>
          <w:rFonts w:ascii="Times New Roman" w:eastAsia="宋体" w:hAnsi="Times New Roman" w:cs="Calibri" w:hint="eastAsia"/>
          <w:lang w:eastAsia="zh-CN"/>
        </w:rPr>
        <w:t>营商环境：</w:t>
      </w:r>
      <w:r w:rsidR="008209CD">
        <w:rPr>
          <w:rFonts w:ascii="Times New Roman" w:eastAsia="宋体" w:hAnsi="Times New Roman" w:cs="Calibri" w:hint="eastAsia"/>
          <w:lang w:eastAsia="zh-CN"/>
        </w:rPr>
        <w:t>东南亚</w:t>
      </w:r>
      <w:r>
        <w:rPr>
          <w:rFonts w:ascii="Times New Roman" w:eastAsia="宋体" w:hAnsi="Times New Roman" w:cs="Calibri" w:hint="eastAsia"/>
          <w:lang w:eastAsia="zh-CN"/>
        </w:rPr>
        <w:t>营商环境分析</w:t>
      </w:r>
    </w:p>
    <w:p w:rsidR="00B44D88" w:rsidP="00B44D88" w14:paraId="6C8ACAA3" w14:textId="54F2798A">
      <w:pPr>
        <w:pStyle w:val="-0"/>
        <w:ind w:firstLine="420"/>
        <w:rPr>
          <w:lang w:eastAsia="zh-CN"/>
        </w:rPr>
      </w:pPr>
      <w:r>
        <w:rPr>
          <w:rFonts w:hint="eastAsia"/>
          <w:lang w:eastAsia="zh-CN"/>
        </w:rPr>
        <w:t>本文纳入的企业包括国外及</w:t>
      </w:r>
      <w:r w:rsidR="00E452D1">
        <w:rPr>
          <w:rFonts w:hint="eastAsia"/>
          <w:lang w:eastAsia="zh-CN"/>
        </w:rPr>
        <w:t>印尼</w:t>
      </w:r>
      <w:r>
        <w:rPr>
          <w:rFonts w:hint="eastAsia"/>
          <w:lang w:eastAsia="zh-CN"/>
        </w:rPr>
        <w:t>本土</w:t>
      </w:r>
      <w:r w:rsidRPr="005007C3">
        <w:rPr>
          <w:rFonts w:hint="eastAsia"/>
        </w:rPr>
        <w:t>电子式热分配表(HCA)</w:t>
      </w:r>
      <w:r>
        <w:rPr>
          <w:rFonts w:hint="eastAsia"/>
          <w:lang w:eastAsia="zh-CN"/>
        </w:rPr>
        <w:t>企业，以及相关上下游企业等，部分名单如下：</w:t>
      </w:r>
    </w:p>
    <w:p w:rsidR="00F11908" w:rsidRPr="00F2761D" w:rsidP="00F11908" w14:paraId="121B975C" w14:textId="77777777">
      <w:pPr>
        <w:pStyle w:val="ListParagraph"/>
        <w:numPr>
          <w:ilvl w:val="1"/>
          <w:numId w:val="20"/>
        </w:numPr>
        <w:spacing w:before="0" w:after="0" w:line="312" w:lineRule="auto"/>
        <w:rPr>
          <w:rFonts w:ascii="Times New Roman" w:eastAsia="宋体" w:hAnsi="Times New Roman" w:cs="Calibri"/>
        </w:rPr>
      </w:pPr>
      <w:bookmarkStart w:id="14" w:name="_Hlk88073188"/>
      <w:r w:rsidRPr="00F2761D">
        <w:rPr>
          <w:rFonts w:ascii="Times New Roman" w:eastAsia="宋体" w:hAnsi="Times New Roman" w:cs="Calibri"/>
        </w:rPr>
        <w:t>Zenner</w:t>
      </w:r>
    </w:p>
    <w:p w:rsidR="00F11908" w:rsidRPr="00F2761D" w:rsidP="00F11908" w14:paraId="478A6C34" w14:textId="77777777">
      <w:pPr>
        <w:pStyle w:val="ListParagraph"/>
        <w:numPr>
          <w:ilvl w:val="1"/>
          <w:numId w:val="20"/>
        </w:numPr>
        <w:spacing w:before="0" w:after="0" w:line="312" w:lineRule="auto"/>
        <w:rPr>
          <w:rFonts w:ascii="Times New Roman" w:eastAsia="宋体" w:hAnsi="Times New Roman" w:cs="Calibri"/>
        </w:rPr>
      </w:pPr>
      <w:r w:rsidRPr="00F2761D">
        <w:rPr>
          <w:rFonts w:ascii="Times New Roman" w:eastAsia="宋体" w:hAnsi="Times New Roman" w:cs="Calibri"/>
        </w:rPr>
        <w:t>Ista</w:t>
      </w:r>
    </w:p>
    <w:p w:rsidR="00F11908" w:rsidRPr="00F2761D" w:rsidP="00F11908" w14:paraId="2465E12E" w14:textId="77777777">
      <w:pPr>
        <w:pStyle w:val="ListParagraph"/>
        <w:numPr>
          <w:ilvl w:val="1"/>
          <w:numId w:val="20"/>
        </w:numPr>
        <w:spacing w:before="0" w:after="0" w:line="312" w:lineRule="auto"/>
        <w:rPr>
          <w:rFonts w:ascii="Times New Roman" w:eastAsia="宋体" w:hAnsi="Times New Roman" w:cs="Calibri"/>
        </w:rPr>
      </w:pPr>
      <w:r w:rsidRPr="00F2761D">
        <w:rPr>
          <w:rFonts w:ascii="Times New Roman" w:eastAsia="宋体" w:hAnsi="Times New Roman" w:cs="Calibri"/>
        </w:rPr>
        <w:t>Techem</w:t>
      </w:r>
    </w:p>
    <w:p w:rsidR="00F11908" w:rsidRPr="00F2761D" w:rsidP="00F11908" w14:paraId="737C76D4" w14:textId="77777777">
      <w:pPr>
        <w:pStyle w:val="ListParagraph"/>
        <w:numPr>
          <w:ilvl w:val="1"/>
          <w:numId w:val="20"/>
        </w:numPr>
        <w:spacing w:before="0" w:after="0" w:line="312" w:lineRule="auto"/>
        <w:rPr>
          <w:rFonts w:ascii="Times New Roman" w:eastAsia="宋体" w:hAnsi="Times New Roman" w:cs="Calibri"/>
        </w:rPr>
      </w:pPr>
      <w:r w:rsidRPr="00F2761D">
        <w:rPr>
          <w:rFonts w:ascii="Times New Roman" w:eastAsia="宋体" w:hAnsi="Times New Roman" w:cs="Calibri"/>
        </w:rPr>
        <w:t>Siemens</w:t>
      </w:r>
    </w:p>
    <w:p w:rsidR="00F11908" w:rsidRPr="00F2761D" w:rsidP="00F11908" w14:paraId="08E78A0C" w14:textId="77777777">
      <w:pPr>
        <w:pStyle w:val="ListParagraph"/>
        <w:numPr>
          <w:ilvl w:val="1"/>
          <w:numId w:val="20"/>
        </w:numPr>
        <w:spacing w:before="0" w:after="0" w:line="312" w:lineRule="auto"/>
        <w:rPr>
          <w:rFonts w:ascii="Times New Roman" w:eastAsia="宋体" w:hAnsi="Times New Roman" w:cs="Calibri"/>
        </w:rPr>
      </w:pPr>
      <w:r w:rsidRPr="00F2761D">
        <w:rPr>
          <w:rFonts w:ascii="Times New Roman" w:eastAsia="宋体" w:hAnsi="Times New Roman" w:cs="Calibri"/>
        </w:rPr>
        <w:t>Engelmnn</w:t>
      </w:r>
    </w:p>
    <w:p w:rsidR="00F11908" w:rsidRPr="00F2761D" w:rsidP="00F11908" w14:paraId="35A7988C" w14:textId="77777777">
      <w:pPr>
        <w:pStyle w:val="ListParagraph"/>
        <w:numPr>
          <w:ilvl w:val="1"/>
          <w:numId w:val="20"/>
        </w:numPr>
        <w:spacing w:before="0" w:after="0" w:line="312" w:lineRule="auto"/>
        <w:rPr>
          <w:rFonts w:ascii="Times New Roman" w:eastAsia="宋体" w:hAnsi="Times New Roman" w:cs="Calibri"/>
        </w:rPr>
      </w:pPr>
      <w:r w:rsidRPr="00F2761D">
        <w:rPr>
          <w:rFonts w:ascii="Times New Roman" w:eastAsia="宋体" w:hAnsi="Times New Roman" w:cs="Calibri"/>
        </w:rPr>
        <w:t>Te-sa s.r.l.</w:t>
      </w:r>
    </w:p>
    <w:bookmarkEnd w:id="14"/>
    <w:p w:rsidR="00F11908" w:rsidRPr="00F2761D" w:rsidP="00F11908" w14:paraId="7993F072" w14:textId="77777777">
      <w:pPr>
        <w:pStyle w:val="ListParagraph"/>
        <w:numPr>
          <w:ilvl w:val="1"/>
          <w:numId w:val="20"/>
        </w:numPr>
        <w:spacing w:before="0" w:after="0" w:line="312" w:lineRule="auto"/>
        <w:rPr>
          <w:rFonts w:ascii="Times New Roman" w:eastAsia="宋体" w:hAnsi="Times New Roman" w:cs="Calibri"/>
        </w:rPr>
      </w:pPr>
      <w:r w:rsidRPr="00F2761D">
        <w:rPr>
          <w:rFonts w:ascii="Times New Roman" w:eastAsia="宋体" w:hAnsi="Times New Roman" w:cs="Calibri"/>
        </w:rPr>
        <w:t>Itron</w:t>
      </w:r>
      <w:r>
        <w:rPr>
          <w:rFonts w:ascii="Times New Roman" w:eastAsia="宋体" w:hAnsi="Times New Roman" w:cs="Calibri"/>
        </w:rPr>
        <w:t xml:space="preserve"> </w:t>
      </w:r>
    </w:p>
    <w:p w:rsidR="00F11908" w:rsidRPr="00F2761D" w:rsidP="00F11908" w14:paraId="3B7C5175" w14:textId="77777777">
      <w:pPr>
        <w:pStyle w:val="ListParagraph"/>
        <w:numPr>
          <w:ilvl w:val="1"/>
          <w:numId w:val="20"/>
        </w:numPr>
        <w:spacing w:before="0" w:after="0" w:line="312" w:lineRule="auto"/>
        <w:rPr>
          <w:rFonts w:ascii="Times New Roman" w:eastAsia="宋体" w:hAnsi="Times New Roman" w:cs="Calibri"/>
        </w:rPr>
      </w:pPr>
      <w:r w:rsidRPr="00F2761D">
        <w:rPr>
          <w:rFonts w:ascii="Times New Roman" w:eastAsia="宋体" w:hAnsi="Times New Roman" w:cs="Calibri"/>
        </w:rPr>
        <w:t>Sontex</w:t>
      </w:r>
    </w:p>
    <w:p w:rsidR="00F11908" w:rsidRPr="00F2761D" w:rsidP="00F11908" w14:paraId="2B4DBBB7" w14:textId="77777777">
      <w:pPr>
        <w:pStyle w:val="ListParagraph"/>
        <w:numPr>
          <w:ilvl w:val="1"/>
          <w:numId w:val="20"/>
        </w:numPr>
        <w:spacing w:before="0" w:after="0" w:line="312" w:lineRule="auto"/>
        <w:rPr>
          <w:rFonts w:ascii="Times New Roman" w:eastAsia="宋体" w:hAnsi="Times New Roman" w:cs="Calibri"/>
        </w:rPr>
      </w:pPr>
      <w:r w:rsidRPr="00F2761D">
        <w:rPr>
          <w:rFonts w:ascii="Times New Roman" w:eastAsia="宋体" w:hAnsi="Times New Roman" w:cs="Calibri"/>
        </w:rPr>
        <w:t>乐业节能</w:t>
      </w:r>
    </w:p>
    <w:p w:rsidR="00F11908" w:rsidRPr="00F2761D" w:rsidP="00F11908">
      <w:pPr>
        <w:pStyle w:val="ListParagraph"/>
        <w:numPr>
          <w:ilvl w:val="1"/>
          <w:numId w:val="20"/>
        </w:numPr>
        <w:spacing w:before="0" w:after="0" w:line="312" w:lineRule="auto"/>
        <w:rPr>
          <w:rFonts w:ascii="Times New Roman" w:eastAsia="宋体" w:hAnsi="Times New Roman" w:cs="Calibri"/>
        </w:rPr>
      </w:pPr>
      <w:r w:rsidRPr="00F2761D">
        <w:rPr>
          <w:rFonts w:ascii="Times New Roman" w:eastAsia="宋体" w:hAnsi="Times New Roman" w:cs="Calibri"/>
        </w:rPr>
        <w:t>Brunata</w:t>
      </w:r>
    </w:p>
    <w:p w:rsidR="00C0548C" w:rsidP="00135A59" w14:paraId="03A109AA" w14:textId="7EC52D71">
      <w:bookmarkStart w:id="15" w:name="_Hlk43229063"/>
      <w:r>
        <w:rPr>
          <w:rFonts w:hint="eastAsia"/>
        </w:rPr>
        <w:t>本文正文共</w:t>
      </w:r>
      <w:r w:rsidR="00095E4D">
        <w:rPr>
          <w:rFonts w:hint="eastAsia"/>
        </w:rPr>
        <w:t>7</w:t>
      </w:r>
      <w:r>
        <w:rPr>
          <w:rFonts w:hint="eastAsia"/>
        </w:rPr>
        <w:t>章，各章节主要内容如下：</w:t>
      </w:r>
    </w:p>
    <w:p w:rsidR="00C0548C" w:rsidRPr="00FC18B2" w:rsidP="00C0548C" w14:paraId="53FC7B13" w14:textId="07CBE82E">
      <w:pPr>
        <w:pStyle w:val="ListParagraph"/>
        <w:numPr>
          <w:ilvl w:val="1"/>
          <w:numId w:val="20"/>
        </w:numPr>
        <w:spacing w:before="0" w:after="0" w:line="312" w:lineRule="auto"/>
        <w:rPr>
          <w:rFonts w:ascii="Times New Roman" w:eastAsia="宋体" w:hAnsi="Times New Roman" w:cs="Calibri"/>
          <w:lang w:eastAsia="zh-CN"/>
        </w:rPr>
      </w:pPr>
      <w:r w:rsidRPr="00FC18B2">
        <w:rPr>
          <w:rFonts w:ascii="Times New Roman" w:eastAsia="宋体" w:hAnsi="Times New Roman" w:cs="Calibri" w:hint="eastAsia"/>
          <w:lang w:eastAsia="zh-CN"/>
        </w:rPr>
        <w:t>第</w:t>
      </w:r>
      <w:r w:rsidRPr="00FC18B2">
        <w:rPr>
          <w:rFonts w:ascii="Times New Roman" w:eastAsia="宋体" w:hAnsi="Times New Roman" w:cs="Calibri"/>
          <w:lang w:eastAsia="zh-CN"/>
        </w:rPr>
        <w:t>1</w:t>
      </w:r>
      <w:r w:rsidRPr="00FC18B2">
        <w:rPr>
          <w:rFonts w:ascii="Times New Roman" w:eastAsia="宋体" w:hAnsi="Times New Roman" w:cs="Calibri" w:hint="eastAsia"/>
          <w:lang w:eastAsia="zh-CN"/>
        </w:rPr>
        <w:t>章：</w:t>
      </w:r>
      <w:r w:rsidRPr="00FC18B2" w:rsidR="00D06396">
        <w:rPr>
          <w:rFonts w:ascii="Times New Roman" w:eastAsia="宋体" w:hAnsi="Times New Roman" w:cs="Calibri" w:hint="eastAsia"/>
        </w:rPr>
        <w:t>电子式热分配表(HCA)</w:t>
      </w:r>
      <w:r w:rsidR="00D06396">
        <w:rPr>
          <w:rFonts w:ascii="Times New Roman" w:eastAsia="宋体" w:hAnsi="Times New Roman" w:cs="Calibri" w:hint="eastAsia"/>
          <w:lang w:eastAsia="zh-CN"/>
        </w:rPr>
        <w:t>定义、市场规模及发展概况等</w:t>
      </w:r>
    </w:p>
    <w:p w:rsidR="00C0548C" w:rsidRPr="00C71D66" w:rsidP="00C71D66" w14:paraId="62995914" w14:textId="76226027">
      <w:pPr>
        <w:pStyle w:val="ListParagraph"/>
        <w:numPr>
          <w:ilvl w:val="1"/>
          <w:numId w:val="20"/>
        </w:numPr>
        <w:spacing w:before="0" w:after="0" w:line="312" w:lineRule="auto"/>
        <w:rPr>
          <w:rFonts w:ascii="Times New Roman" w:eastAsia="宋体" w:hAnsi="Times New Roman" w:cs="Calibri"/>
          <w:lang w:eastAsia="zh-CN"/>
        </w:rPr>
      </w:pPr>
      <w:r w:rsidRPr="00FC18B2">
        <w:rPr>
          <w:rFonts w:ascii="Times New Roman" w:eastAsia="宋体" w:hAnsi="Times New Roman" w:cs="Calibri" w:hint="eastAsia"/>
          <w:lang w:eastAsia="zh-CN"/>
        </w:rPr>
        <w:t>第</w:t>
      </w:r>
      <w:r w:rsidRPr="00FC18B2">
        <w:rPr>
          <w:rFonts w:ascii="Times New Roman" w:eastAsia="宋体" w:hAnsi="Times New Roman" w:cs="Calibri"/>
          <w:lang w:eastAsia="zh-CN"/>
        </w:rPr>
        <w:t>2</w:t>
      </w:r>
      <w:r w:rsidRPr="00FC18B2">
        <w:rPr>
          <w:rFonts w:ascii="Times New Roman" w:eastAsia="宋体" w:hAnsi="Times New Roman" w:cs="Calibri" w:hint="eastAsia"/>
          <w:lang w:eastAsia="zh-CN"/>
        </w:rPr>
        <w:t>章：</w:t>
      </w:r>
      <w:r w:rsidR="00E5185E">
        <w:rPr>
          <w:rFonts w:ascii="Times New Roman" w:eastAsia="宋体" w:hAnsi="Times New Roman" w:cs="Calibri" w:hint="eastAsia"/>
          <w:lang w:eastAsia="zh-CN"/>
        </w:rPr>
        <w:t>东南亚</w:t>
      </w:r>
      <w:r w:rsidR="002546C9">
        <w:rPr>
          <w:rFonts w:ascii="Times New Roman" w:eastAsia="宋体" w:hAnsi="Times New Roman" w:cs="Calibri" w:hint="eastAsia"/>
          <w:lang w:eastAsia="zh-CN"/>
        </w:rPr>
        <w:t>主要国家</w:t>
      </w:r>
      <w:r w:rsidR="00C71D66">
        <w:rPr>
          <w:rFonts w:ascii="Times New Roman" w:eastAsia="宋体" w:hAnsi="Times New Roman" w:cs="Calibri" w:hint="eastAsia"/>
          <w:lang w:eastAsia="zh-CN"/>
        </w:rPr>
        <w:t>营商环境分析</w:t>
      </w:r>
    </w:p>
    <w:p w:rsidR="00C0548C" w:rsidRPr="00FC18B2" w:rsidP="00C0548C" w14:paraId="2FFB4EB3" w14:textId="0EBFD692">
      <w:pPr>
        <w:pStyle w:val="ListParagraph"/>
        <w:numPr>
          <w:ilvl w:val="1"/>
          <w:numId w:val="20"/>
        </w:numPr>
        <w:spacing w:before="0" w:after="0" w:line="312" w:lineRule="auto"/>
        <w:rPr>
          <w:rFonts w:ascii="Times New Roman" w:eastAsia="宋体" w:hAnsi="Times New Roman" w:cs="Calibri"/>
          <w:lang w:eastAsia="zh-CN"/>
        </w:rPr>
      </w:pPr>
      <w:r w:rsidRPr="00FC18B2">
        <w:rPr>
          <w:rFonts w:ascii="Times New Roman" w:eastAsia="宋体" w:hAnsi="Times New Roman" w:cs="Calibri" w:hint="eastAsia"/>
          <w:lang w:eastAsia="zh-CN"/>
        </w:rPr>
        <w:t>第</w:t>
      </w:r>
      <w:r>
        <w:rPr>
          <w:rFonts w:ascii="Times New Roman" w:eastAsia="宋体" w:hAnsi="Times New Roman" w:cs="Calibri"/>
          <w:lang w:eastAsia="zh-CN"/>
        </w:rPr>
        <w:t>3</w:t>
      </w:r>
      <w:r w:rsidRPr="00FC18B2">
        <w:rPr>
          <w:rFonts w:ascii="Times New Roman" w:eastAsia="宋体" w:hAnsi="Times New Roman" w:cs="Calibri" w:hint="eastAsia"/>
          <w:lang w:eastAsia="zh-CN"/>
        </w:rPr>
        <w:t>章：</w:t>
      </w:r>
      <w:r w:rsidR="00510CD8">
        <w:rPr>
          <w:rFonts w:ascii="Times New Roman" w:eastAsia="宋体" w:hAnsi="Times New Roman" w:cs="Calibri" w:hint="eastAsia"/>
          <w:lang w:eastAsia="zh-CN"/>
        </w:rPr>
        <w:t>行业竞争格局</w:t>
      </w:r>
      <w:r w:rsidR="00565EF1">
        <w:rPr>
          <w:rFonts w:ascii="Times New Roman" w:eastAsia="宋体" w:hAnsi="Times New Roman" w:cs="Calibri" w:hint="eastAsia"/>
          <w:lang w:eastAsia="zh-CN"/>
        </w:rPr>
        <w:t>及</w:t>
      </w:r>
      <w:r w:rsidRPr="00565EF1" w:rsidR="00565EF1">
        <w:rPr>
          <w:rFonts w:ascii="Times New Roman" w:eastAsia="宋体" w:hAnsi="Times New Roman" w:cs="Calibri" w:hint="eastAsia"/>
          <w:lang w:eastAsia="zh-CN"/>
        </w:rPr>
        <w:t>竞争对手</w:t>
      </w:r>
      <w:r w:rsidR="00565EF1">
        <w:rPr>
          <w:rFonts w:ascii="Times New Roman" w:eastAsia="宋体" w:hAnsi="Times New Roman" w:cs="Calibri" w:hint="eastAsia"/>
          <w:lang w:eastAsia="zh-CN"/>
        </w:rPr>
        <w:t>分析</w:t>
      </w:r>
    </w:p>
    <w:p w:rsidR="00C0548C" w:rsidRPr="00FC18B2" w:rsidP="00C0548C" w14:paraId="5706FB39" w14:textId="1C67AA6C">
      <w:pPr>
        <w:pStyle w:val="ListParagraph"/>
        <w:numPr>
          <w:ilvl w:val="1"/>
          <w:numId w:val="20"/>
        </w:numPr>
        <w:spacing w:before="0" w:after="0" w:line="312" w:lineRule="auto"/>
        <w:rPr>
          <w:rFonts w:ascii="Times New Roman" w:eastAsia="宋体" w:hAnsi="Times New Roman" w:cs="Calibri"/>
        </w:rPr>
      </w:pPr>
      <w:r w:rsidRPr="00FC18B2">
        <w:rPr>
          <w:rFonts w:ascii="Times New Roman" w:eastAsia="宋体" w:hAnsi="Times New Roman" w:cs="Calibri" w:hint="eastAsia"/>
        </w:rPr>
        <w:t>第</w:t>
      </w:r>
      <w:r>
        <w:rPr>
          <w:rFonts w:ascii="Times New Roman" w:eastAsia="宋体" w:hAnsi="Times New Roman" w:cs="Calibri"/>
        </w:rPr>
        <w:t>4</w:t>
      </w:r>
      <w:r w:rsidRPr="00FC18B2">
        <w:rPr>
          <w:rFonts w:ascii="Times New Roman" w:eastAsia="宋体" w:hAnsi="Times New Roman" w:cs="Calibri" w:hint="eastAsia"/>
        </w:rPr>
        <w:t>章：</w:t>
      </w:r>
      <w:r w:rsidRPr="00FC18B2" w:rsidR="004A03F8">
        <w:rPr>
          <w:rFonts w:ascii="Times New Roman" w:eastAsia="宋体" w:hAnsi="Times New Roman" w:cs="Calibri" w:hint="eastAsia"/>
        </w:rPr>
        <w:t>电子式热分配表(HCA)</w:t>
      </w:r>
      <w:r w:rsidR="00406373">
        <w:rPr>
          <w:rFonts w:ascii="Times New Roman" w:eastAsia="宋体" w:hAnsi="Times New Roman" w:cs="Calibri" w:hint="eastAsia"/>
          <w:lang w:eastAsia="zh-CN"/>
        </w:rPr>
        <w:t>主要企业简介</w:t>
      </w:r>
    </w:p>
    <w:p w:rsidR="00C0548C" w:rsidRPr="00FC18B2" w:rsidP="00C0548C" w14:paraId="41E09D83" w14:textId="643EE998">
      <w:pPr>
        <w:pStyle w:val="ListParagraph"/>
        <w:numPr>
          <w:ilvl w:val="1"/>
          <w:numId w:val="20"/>
        </w:numPr>
        <w:spacing w:before="0" w:after="0" w:line="312" w:lineRule="auto"/>
        <w:rPr>
          <w:rFonts w:ascii="Times New Roman" w:eastAsia="宋体" w:hAnsi="Times New Roman" w:cs="Calibri"/>
          <w:lang w:eastAsia="zh-CN"/>
        </w:rPr>
      </w:pPr>
      <w:r w:rsidRPr="00FC18B2">
        <w:rPr>
          <w:rFonts w:ascii="Times New Roman" w:eastAsia="宋体" w:hAnsi="Times New Roman" w:cs="Calibri" w:hint="eastAsia"/>
          <w:lang w:eastAsia="zh-CN"/>
        </w:rPr>
        <w:t>第</w:t>
      </w:r>
      <w:r>
        <w:rPr>
          <w:rFonts w:ascii="Times New Roman" w:eastAsia="宋体" w:hAnsi="Times New Roman" w:cs="Calibri"/>
          <w:lang w:eastAsia="zh-CN"/>
        </w:rPr>
        <w:t>5</w:t>
      </w:r>
      <w:r w:rsidRPr="00FC18B2">
        <w:rPr>
          <w:rFonts w:ascii="Times New Roman" w:eastAsia="宋体" w:hAnsi="Times New Roman" w:cs="Calibri" w:hint="eastAsia"/>
          <w:lang w:eastAsia="zh-CN"/>
        </w:rPr>
        <w:t>章：</w:t>
      </w:r>
      <w:r w:rsidR="00613CCA">
        <w:rPr>
          <w:rFonts w:hint="eastAsia"/>
          <w:lang w:eastAsia="zh-CN"/>
        </w:rPr>
        <w:t>销售渠道及</w:t>
      </w:r>
      <w:r w:rsidRPr="00461252" w:rsidR="00461252">
        <w:rPr>
          <w:rFonts w:ascii="宋体" w:eastAsia="宋体" w:hAnsi="宋体" w:cs="宋体" w:hint="eastAsia"/>
          <w:lang w:eastAsia="zh-CN"/>
        </w:rPr>
        <w:t>目标客户</w:t>
      </w:r>
      <w:r w:rsidR="00613CCA">
        <w:rPr>
          <w:rFonts w:hint="eastAsia"/>
          <w:lang w:eastAsia="zh-CN"/>
        </w:rPr>
        <w:t>分析</w:t>
      </w:r>
      <w:r w:rsidR="001675ED">
        <w:rPr>
          <w:rFonts w:ascii="宋体" w:eastAsia="宋体" w:hAnsi="宋体" w:cs="宋体" w:hint="eastAsia"/>
          <w:lang w:eastAsia="zh-CN"/>
        </w:rPr>
        <w:t>、</w:t>
      </w:r>
      <w:r w:rsidR="001C34EF">
        <w:rPr>
          <w:rFonts w:ascii="Times New Roman" w:eastAsia="宋体" w:hAnsi="Times New Roman" w:cs="Calibri" w:hint="eastAsia"/>
          <w:lang w:eastAsia="zh-CN"/>
        </w:rPr>
        <w:t>东南亚</w:t>
      </w:r>
      <w:r w:rsidR="001C34EF">
        <w:rPr>
          <w:rFonts w:ascii="Times New Roman" w:eastAsia="宋体" w:hAnsi="Times New Roman" w:cs="Calibri" w:hint="eastAsia"/>
          <w:lang w:eastAsia="zh-CN"/>
        </w:rPr>
        <w:t>电子式热分配表(HCA)</w:t>
      </w:r>
      <w:r w:rsidR="001675ED">
        <w:rPr>
          <w:rFonts w:ascii="Times New Roman" w:eastAsia="宋体" w:hAnsi="Times New Roman" w:cs="Calibri" w:hint="eastAsia"/>
          <w:lang w:eastAsia="zh-CN"/>
        </w:rPr>
        <w:t>进出口情况分析</w:t>
      </w:r>
    </w:p>
    <w:p w:rsidR="00C0548C" w:rsidRPr="00FC18B2" w:rsidP="00C0548C" w14:paraId="61078254" w14:textId="2204687F">
      <w:pPr>
        <w:pStyle w:val="ListParagraph"/>
        <w:numPr>
          <w:ilvl w:val="1"/>
          <w:numId w:val="20"/>
        </w:numPr>
        <w:spacing w:before="0" w:after="0" w:line="312" w:lineRule="auto"/>
        <w:rPr>
          <w:rFonts w:ascii="Times New Roman" w:eastAsia="宋体" w:hAnsi="Times New Roman" w:cs="Calibri"/>
          <w:lang w:eastAsia="zh-CN"/>
        </w:rPr>
      </w:pPr>
      <w:r w:rsidRPr="00FC18B2">
        <w:rPr>
          <w:rFonts w:ascii="Times New Roman" w:eastAsia="宋体" w:hAnsi="Times New Roman" w:cs="Calibri" w:hint="eastAsia"/>
          <w:lang w:eastAsia="zh-CN"/>
        </w:rPr>
        <w:t>第</w:t>
      </w:r>
      <w:r>
        <w:rPr>
          <w:rFonts w:ascii="Times New Roman" w:eastAsia="宋体" w:hAnsi="Times New Roman" w:cs="Calibri"/>
          <w:lang w:eastAsia="zh-CN"/>
        </w:rPr>
        <w:t>6</w:t>
      </w:r>
      <w:r w:rsidRPr="00FC18B2">
        <w:rPr>
          <w:rFonts w:ascii="Times New Roman" w:eastAsia="宋体" w:hAnsi="Times New Roman" w:cs="Calibri" w:hint="eastAsia"/>
          <w:lang w:eastAsia="zh-CN"/>
        </w:rPr>
        <w:t>章：行业发展</w:t>
      </w:r>
      <w:r w:rsidR="00677460">
        <w:rPr>
          <w:rFonts w:ascii="Times New Roman" w:eastAsia="宋体" w:hAnsi="Times New Roman" w:cs="Calibri" w:hint="eastAsia"/>
          <w:lang w:eastAsia="zh-CN"/>
        </w:rPr>
        <w:t>趋势及影响因素分析</w:t>
      </w:r>
    </w:p>
    <w:p w:rsidR="00C0548C" w:rsidRPr="00FC18B2" w:rsidP="00C0548C">
      <w:pPr>
        <w:pStyle w:val="ListParagraph"/>
        <w:numPr>
          <w:ilvl w:val="1"/>
          <w:numId w:val="20"/>
        </w:numPr>
        <w:spacing w:before="0" w:after="0" w:line="312" w:lineRule="auto"/>
        <w:rPr>
          <w:rFonts w:ascii="Times New Roman" w:eastAsia="宋体" w:hAnsi="Times New Roman" w:cs="Calibri"/>
        </w:rPr>
      </w:pPr>
      <w:r w:rsidRPr="00FC18B2">
        <w:rPr>
          <w:rFonts w:ascii="Times New Roman" w:eastAsia="宋体" w:hAnsi="Times New Roman" w:cs="Calibri" w:hint="eastAsia"/>
        </w:rPr>
        <w:t>第</w:t>
      </w:r>
      <w:r w:rsidR="00304F97">
        <w:rPr>
          <w:rFonts w:ascii="Times New Roman" w:eastAsia="宋体" w:hAnsi="Times New Roman" w:cs="Calibri" w:hint="eastAsia"/>
          <w:lang w:eastAsia="zh-CN"/>
        </w:rPr>
        <w:t>7</w:t>
      </w:r>
      <w:r w:rsidRPr="00FC18B2">
        <w:rPr>
          <w:rFonts w:ascii="Times New Roman" w:eastAsia="宋体" w:hAnsi="Times New Roman" w:cs="Calibri" w:hint="eastAsia"/>
        </w:rPr>
        <w:t>章：报告结论</w:t>
      </w:r>
    </w:p>
    <w:bookmarkEnd w:id="15"/>
    <w:p w:rsidR="00260864" w:rsidRPr="002C27B7" w:rsidP="002C27B7" w14:paraId="19AA6236" w14:textId="4AEB5480">
      <w:pPr>
        <w:pStyle w:val="a14"/>
      </w:pPr>
      <w:r w:rsidRPr="00E8490E">
        <w:rPr>
          <w:rFonts w:hint="eastAsia"/>
        </w:rPr>
        <w:t>正文目录</w:t>
      </w:r>
    </w:p>
    <w:p w:rsidR="00AA59F4" w14:paraId="1C1CCD8B" w14:textId="4130E5C4">
      <w:pPr>
        <w:pStyle w:val="TOC1"/>
        <w:rPr>
          <w:rFonts w:asciiTheme="minorHAnsi" w:eastAsiaTheme="minorEastAsia" w:hAnsiTheme="minorHAnsi" w:cstheme="minorBidi"/>
          <w:b w:val="0"/>
          <w:bCs w:val="0"/>
          <w:color w:val="auto"/>
          <w:kern w:val="2"/>
          <w:szCs w:val="22"/>
          <w:lang w:val="en-US" w:eastAsia="zh-CN"/>
          <w14:ligatures w14:val="standardContextual"/>
        </w:rPr>
      </w:pPr>
      <w:r>
        <w:rPr>
          <w:rFonts w:ascii="Century Gothic" w:hAnsi="Century Gothic" w:eastAsiaTheme="minorEastAsia" w:cs="Arial"/>
          <w:caps/>
          <w:color w:val="EE3123"/>
          <w:sz w:val="24"/>
        </w:rPr>
        <w:fldChar w:fldCharType="begin"/>
      </w:r>
      <w:r>
        <w:rPr>
          <w:rFonts w:ascii="Century Gothic" w:hAnsi="Century Gothic" w:eastAsiaTheme="minorEastAsia" w:cs="Arial"/>
          <w:caps/>
          <w:color w:val="EE3123"/>
          <w:sz w:val="24"/>
        </w:rPr>
        <w:instrText xml:space="preserve"> TOC \o "1-3" \h \z \u </w:instrText>
      </w:r>
      <w:r>
        <w:rPr>
          <w:rFonts w:ascii="Century Gothic" w:hAnsi="Century Gothic" w:eastAsiaTheme="minorEastAsia" w:cs="Arial"/>
          <w:caps/>
          <w:color w:val="EE3123"/>
          <w:sz w:val="24"/>
        </w:rPr>
        <w:fldChar w:fldCharType="separate"/>
      </w:r>
      <w:hyperlink w:anchor="_Toc166761976" w:history="1">
        <w:r w:rsidRPr="00736296">
          <w:rPr>
            <w:rStyle w:val="Hyperlink"/>
          </w:rPr>
          <w:t>1 电子式热分配表(HCA)</w:t>
        </w:r>
        <w:r w:rsidRPr="00736296">
          <w:rPr>
            <w:rStyle w:val="Hyperlink"/>
            <w:lang w:eastAsia="zh-CN"/>
          </w:rPr>
          <w:t>定义</w:t>
        </w:r>
        <w:r>
          <w:rPr>
            <w:webHidden/>
          </w:rPr>
          <w:tab/>
        </w:r>
        <w:r>
          <w:rPr>
            <w:webHidden/>
          </w:rPr>
          <w:fldChar w:fldCharType="begin"/>
        </w:r>
        <w:r>
          <w:rPr>
            <w:webHidden/>
          </w:rPr>
          <w:instrText xml:space="preserve"> PAGEREF _Toc166761976 \h </w:instrText>
        </w:r>
        <w:r>
          <w:rPr>
            <w:webHidden/>
          </w:rPr>
          <w:fldChar w:fldCharType="separate"/>
        </w:r>
        <w:r>
          <w:rPr>
            <w:webHidden/>
          </w:rPr>
          <w:t>1</w:t>
        </w:r>
        <w:r>
          <w:rPr>
            <w:webHidden/>
          </w:rPr>
          <w:fldChar w:fldCharType="end"/>
        </w:r>
      </w:hyperlink>
    </w:p>
    <w:p w:rsidR="00AA59F4" w14:paraId="1805FDD4" w14:textId="3C201AAD">
      <w:pPr>
        <w:pStyle w:val="TOC2"/>
        <w:tabs>
          <w:tab w:val="right" w:pos="9736"/>
        </w:tabs>
        <w:rPr>
          <w:rFonts w:asciiTheme="minorHAnsi" w:eastAsiaTheme="minorEastAsia" w:hAnsiTheme="minorHAnsi"/>
          <w:b w:val="0"/>
          <w:noProof/>
          <w:color w:val="auto"/>
          <w:spacing w:val="0"/>
          <w:kern w:val="2"/>
          <w:lang w:eastAsia="zh-CN"/>
          <w14:ligatures w14:val="standardContextual"/>
        </w:rPr>
      </w:pPr>
      <w:hyperlink w:anchor="_Toc166761977" w:history="1">
        <w:r w:rsidRPr="00736296">
          <w:rPr>
            <w:rStyle w:val="Hyperlink"/>
            <w:noProof/>
          </w:rPr>
          <w:t>1.1 电子式热分配表(HCA)</w:t>
        </w:r>
        <w:r w:rsidRPr="00736296">
          <w:rPr>
            <w:rStyle w:val="Hyperlink"/>
            <w:noProof/>
          </w:rPr>
          <w:t>产品定义及统计范围</w:t>
        </w:r>
        <w:r>
          <w:rPr>
            <w:noProof/>
            <w:webHidden/>
          </w:rPr>
          <w:tab/>
        </w:r>
        <w:r>
          <w:rPr>
            <w:noProof/>
            <w:webHidden/>
          </w:rPr>
          <w:fldChar w:fldCharType="begin"/>
        </w:r>
        <w:r>
          <w:rPr>
            <w:noProof/>
            <w:webHidden/>
          </w:rPr>
          <w:instrText xml:space="preserve"> PAGEREF _Toc166761977 \h </w:instrText>
        </w:r>
        <w:r>
          <w:rPr>
            <w:noProof/>
            <w:webHidden/>
          </w:rPr>
          <w:fldChar w:fldCharType="separate"/>
        </w:r>
        <w:r>
          <w:rPr>
            <w:noProof/>
            <w:webHidden/>
          </w:rPr>
          <w:t>1</w:t>
        </w:r>
        <w:r>
          <w:rPr>
            <w:noProof/>
            <w:webHidden/>
          </w:rPr>
          <w:fldChar w:fldCharType="end"/>
        </w:r>
      </w:hyperlink>
    </w:p>
    <w:p w:rsidR="00AA59F4" w14:paraId="38E76790" w14:textId="4DBC2ECB">
      <w:pPr>
        <w:pStyle w:val="TOC2"/>
        <w:tabs>
          <w:tab w:val="right" w:pos="9736"/>
        </w:tabs>
        <w:rPr>
          <w:rFonts w:asciiTheme="minorHAnsi" w:eastAsiaTheme="minorEastAsia" w:hAnsiTheme="minorHAnsi"/>
          <w:b w:val="0"/>
          <w:noProof/>
          <w:color w:val="auto"/>
          <w:spacing w:val="0"/>
          <w:kern w:val="2"/>
          <w:lang w:eastAsia="zh-CN"/>
          <w14:ligatures w14:val="standardContextual"/>
        </w:rPr>
      </w:pPr>
      <w:hyperlink w:anchor="_Toc166761978" w:history="1">
        <w:r w:rsidRPr="00736296">
          <w:rPr>
            <w:rStyle w:val="Hyperlink"/>
            <w:noProof/>
          </w:rPr>
          <w:t xml:space="preserve">1.2 </w:t>
        </w:r>
        <w:r w:rsidRPr="00736296">
          <w:rPr>
            <w:rStyle w:val="Hyperlink"/>
            <w:noProof/>
          </w:rPr>
          <w:t>行业市场规模</w:t>
        </w:r>
        <w:r>
          <w:rPr>
            <w:noProof/>
            <w:webHidden/>
          </w:rPr>
          <w:tab/>
        </w:r>
        <w:r>
          <w:rPr>
            <w:noProof/>
            <w:webHidden/>
          </w:rPr>
          <w:fldChar w:fldCharType="begin"/>
        </w:r>
        <w:r>
          <w:rPr>
            <w:noProof/>
            <w:webHidden/>
          </w:rPr>
          <w:instrText xml:space="preserve"> PAGEREF _Toc166761978 \h </w:instrText>
        </w:r>
        <w:r>
          <w:rPr>
            <w:noProof/>
            <w:webHidden/>
          </w:rPr>
          <w:fldChar w:fldCharType="separate"/>
        </w:r>
        <w:r>
          <w:rPr>
            <w:noProof/>
            <w:webHidden/>
          </w:rPr>
          <w:t>1</w:t>
        </w:r>
        <w:r>
          <w:rPr>
            <w:noProof/>
            <w:webHidden/>
          </w:rPr>
          <w:fldChar w:fldCharType="end"/>
        </w:r>
      </w:hyperlink>
    </w:p>
    <w:p w:rsidR="00AA59F4" w14:paraId="207CC5F9" w14:textId="00806D46">
      <w:pPr>
        <w:pStyle w:val="TOC3"/>
        <w:rPr>
          <w:rFonts w:asciiTheme="minorHAnsi" w:eastAsiaTheme="minorEastAsia" w:hAnsiTheme="minorHAnsi"/>
          <w:noProof/>
          <w:color w:val="auto"/>
          <w:szCs w:val="22"/>
          <w14:ligatures w14:val="standardContextual"/>
        </w:rPr>
      </w:pPr>
      <w:hyperlink w:anchor="_Toc166761979" w:history="1">
        <w:r w:rsidRPr="00736296">
          <w:rPr>
            <w:rStyle w:val="Hyperlink"/>
            <w:noProof/>
          </w:rPr>
          <w:t xml:space="preserve">1.2.1 </w:t>
        </w:r>
        <w:r w:rsidRPr="00736296">
          <w:rPr>
            <w:rStyle w:val="Hyperlink"/>
            <w:noProof/>
          </w:rPr>
          <w:t>全球</w:t>
        </w:r>
        <w:r w:rsidRPr="00736296">
          <w:rPr>
            <w:rStyle w:val="Hyperlink"/>
            <w:noProof/>
          </w:rPr>
          <w:t>电子式热分配表(HCA)</w:t>
        </w:r>
        <w:r w:rsidRPr="00736296">
          <w:rPr>
            <w:rStyle w:val="Hyperlink"/>
            <w:noProof/>
          </w:rPr>
          <w:t>市场收入规模（</w:t>
        </w:r>
        <w:r w:rsidRPr="00736296">
          <w:rPr>
            <w:rStyle w:val="Hyperlink"/>
            <w:noProof/>
          </w:rPr>
          <w:t>2019-2030</w:t>
        </w:r>
        <w:r w:rsidRPr="00736296">
          <w:rPr>
            <w:rStyle w:val="Hyperlink"/>
            <w:noProof/>
          </w:rPr>
          <w:t>）</w:t>
        </w:r>
        <w:r>
          <w:rPr>
            <w:noProof/>
            <w:webHidden/>
          </w:rPr>
          <w:tab/>
        </w:r>
        <w:r>
          <w:rPr>
            <w:noProof/>
            <w:webHidden/>
          </w:rPr>
          <w:fldChar w:fldCharType="begin"/>
        </w:r>
        <w:r>
          <w:rPr>
            <w:noProof/>
            <w:webHidden/>
          </w:rPr>
          <w:instrText xml:space="preserve"> PAGEREF _Toc166761979 \h </w:instrText>
        </w:r>
        <w:r>
          <w:rPr>
            <w:noProof/>
            <w:webHidden/>
          </w:rPr>
          <w:fldChar w:fldCharType="separate"/>
        </w:r>
        <w:r>
          <w:rPr>
            <w:noProof/>
            <w:webHidden/>
          </w:rPr>
          <w:t>1</w:t>
        </w:r>
        <w:r>
          <w:rPr>
            <w:noProof/>
            <w:webHidden/>
          </w:rPr>
          <w:fldChar w:fldCharType="end"/>
        </w:r>
      </w:hyperlink>
    </w:p>
    <w:p w:rsidR="00AA59F4" w14:paraId="6DC39FF2" w14:textId="2D131292">
      <w:pPr>
        <w:pStyle w:val="TOC3"/>
        <w:rPr>
          <w:rFonts w:asciiTheme="minorHAnsi" w:eastAsiaTheme="minorEastAsia" w:hAnsiTheme="minorHAnsi"/>
          <w:noProof/>
          <w:color w:val="auto"/>
          <w:szCs w:val="22"/>
          <w14:ligatures w14:val="standardContextual"/>
        </w:rPr>
      </w:pPr>
      <w:hyperlink w:anchor="_Toc166761980" w:history="1">
        <w:r w:rsidRPr="00736296">
          <w:rPr>
            <w:rStyle w:val="Hyperlink"/>
            <w:noProof/>
          </w:rPr>
          <w:t xml:space="preserve">1.2.2 </w:t>
        </w:r>
        <w:r w:rsidRPr="00736296">
          <w:rPr>
            <w:rStyle w:val="Hyperlink"/>
            <w:noProof/>
          </w:rPr>
          <w:t>全球</w:t>
        </w:r>
        <w:r w:rsidRPr="00736296">
          <w:rPr>
            <w:rStyle w:val="Hyperlink"/>
            <w:noProof/>
          </w:rPr>
          <w:t>电子式热分配表(HCA)</w:t>
        </w:r>
        <w:r w:rsidRPr="00736296">
          <w:rPr>
            <w:rStyle w:val="Hyperlink"/>
            <w:noProof/>
          </w:rPr>
          <w:t>市场销量规模（</w:t>
        </w:r>
        <w:r w:rsidRPr="00736296">
          <w:rPr>
            <w:rStyle w:val="Hyperlink"/>
            <w:noProof/>
          </w:rPr>
          <w:t>2019-2030</w:t>
        </w:r>
        <w:r w:rsidRPr="00736296">
          <w:rPr>
            <w:rStyle w:val="Hyperlink"/>
            <w:noProof/>
          </w:rPr>
          <w:t>）</w:t>
        </w:r>
        <w:r>
          <w:rPr>
            <w:noProof/>
            <w:webHidden/>
          </w:rPr>
          <w:tab/>
        </w:r>
        <w:r>
          <w:rPr>
            <w:noProof/>
            <w:webHidden/>
          </w:rPr>
          <w:fldChar w:fldCharType="begin"/>
        </w:r>
        <w:r>
          <w:rPr>
            <w:noProof/>
            <w:webHidden/>
          </w:rPr>
          <w:instrText xml:space="preserve"> PAGEREF _Toc166761980 \h </w:instrText>
        </w:r>
        <w:r>
          <w:rPr>
            <w:noProof/>
            <w:webHidden/>
          </w:rPr>
          <w:fldChar w:fldCharType="separate"/>
        </w:r>
        <w:r>
          <w:rPr>
            <w:noProof/>
            <w:webHidden/>
          </w:rPr>
          <w:t>2</w:t>
        </w:r>
        <w:r>
          <w:rPr>
            <w:noProof/>
            <w:webHidden/>
          </w:rPr>
          <w:fldChar w:fldCharType="end"/>
        </w:r>
      </w:hyperlink>
    </w:p>
    <w:p w:rsidR="00AA59F4" w14:paraId="04DBF37D" w14:textId="5C98D0EF">
      <w:pPr>
        <w:pStyle w:val="TOC3"/>
        <w:rPr>
          <w:rFonts w:asciiTheme="minorHAnsi" w:eastAsiaTheme="minorEastAsia" w:hAnsiTheme="minorHAnsi"/>
          <w:noProof/>
          <w:color w:val="auto"/>
          <w:szCs w:val="22"/>
          <w14:ligatures w14:val="standardContextual"/>
        </w:rPr>
      </w:pPr>
      <w:hyperlink w:anchor="_Toc166761981" w:history="1">
        <w:r w:rsidRPr="00736296">
          <w:rPr>
            <w:rStyle w:val="Hyperlink"/>
            <w:noProof/>
          </w:rPr>
          <w:t xml:space="preserve">1.2.3 </w:t>
        </w:r>
        <w:r w:rsidR="001C34EF">
          <w:rPr>
            <w:rStyle w:val="Hyperlink"/>
            <w:noProof/>
          </w:rPr>
          <w:t>东南亚市场</w:t>
        </w:r>
        <w:r w:rsidR="001C34EF">
          <w:rPr>
            <w:rStyle w:val="Hyperlink"/>
            <w:noProof/>
          </w:rPr>
          <w:t>电子式热分配表(HCA)</w:t>
        </w:r>
        <w:r w:rsidRPr="00736296">
          <w:rPr>
            <w:rStyle w:val="Hyperlink"/>
            <w:noProof/>
          </w:rPr>
          <w:t>收入规模及增长率（</w:t>
        </w:r>
        <w:r w:rsidRPr="00736296">
          <w:rPr>
            <w:rStyle w:val="Hyperlink"/>
            <w:noProof/>
          </w:rPr>
          <w:t>2019-2030</w:t>
        </w:r>
        <w:r w:rsidRPr="00736296">
          <w:rPr>
            <w:rStyle w:val="Hyperlink"/>
            <w:noProof/>
          </w:rPr>
          <w:t>）</w:t>
        </w:r>
        <w:r>
          <w:rPr>
            <w:noProof/>
            <w:webHidden/>
          </w:rPr>
          <w:tab/>
        </w:r>
        <w:r>
          <w:rPr>
            <w:noProof/>
            <w:webHidden/>
          </w:rPr>
          <w:fldChar w:fldCharType="begin"/>
        </w:r>
        <w:r>
          <w:rPr>
            <w:noProof/>
            <w:webHidden/>
          </w:rPr>
          <w:instrText xml:space="preserve"> PAGEREF _Toc166761981 \h </w:instrText>
        </w:r>
        <w:r>
          <w:rPr>
            <w:noProof/>
            <w:webHidden/>
          </w:rPr>
          <w:fldChar w:fldCharType="separate"/>
        </w:r>
        <w:r>
          <w:rPr>
            <w:noProof/>
            <w:webHidden/>
          </w:rPr>
          <w:t>2</w:t>
        </w:r>
        <w:r>
          <w:rPr>
            <w:noProof/>
            <w:webHidden/>
          </w:rPr>
          <w:fldChar w:fldCharType="end"/>
        </w:r>
      </w:hyperlink>
    </w:p>
    <w:p w:rsidR="00AA59F4" w14:paraId="0518BD88" w14:textId="6DC31916">
      <w:pPr>
        <w:pStyle w:val="TOC3"/>
        <w:rPr>
          <w:rFonts w:asciiTheme="minorHAnsi" w:eastAsiaTheme="minorEastAsia" w:hAnsiTheme="minorHAnsi"/>
          <w:noProof/>
          <w:color w:val="auto"/>
          <w:szCs w:val="22"/>
          <w14:ligatures w14:val="standardContextual"/>
        </w:rPr>
      </w:pPr>
      <w:hyperlink w:anchor="_Toc166761982" w:history="1">
        <w:r w:rsidRPr="00736296">
          <w:rPr>
            <w:rStyle w:val="Hyperlink"/>
            <w:noProof/>
          </w:rPr>
          <w:t xml:space="preserve">1.2.4 </w:t>
        </w:r>
        <w:r w:rsidR="001C34EF">
          <w:rPr>
            <w:rStyle w:val="Hyperlink"/>
            <w:noProof/>
          </w:rPr>
          <w:t>东南亚市场</w:t>
        </w:r>
        <w:r w:rsidR="001C34EF">
          <w:rPr>
            <w:rStyle w:val="Hyperlink"/>
            <w:noProof/>
          </w:rPr>
          <w:t>电子式热分配表(HCA)</w:t>
        </w:r>
        <w:r w:rsidRPr="00736296">
          <w:rPr>
            <w:rStyle w:val="Hyperlink"/>
            <w:noProof/>
          </w:rPr>
          <w:t>销量及增长率（</w:t>
        </w:r>
        <w:r w:rsidRPr="00736296">
          <w:rPr>
            <w:rStyle w:val="Hyperlink"/>
            <w:noProof/>
          </w:rPr>
          <w:t>2019-2030</w:t>
        </w:r>
        <w:r w:rsidRPr="00736296">
          <w:rPr>
            <w:rStyle w:val="Hyperlink"/>
            <w:noProof/>
          </w:rPr>
          <w:t>）</w:t>
        </w:r>
        <w:r>
          <w:rPr>
            <w:noProof/>
            <w:webHidden/>
          </w:rPr>
          <w:tab/>
        </w:r>
        <w:r>
          <w:rPr>
            <w:noProof/>
            <w:webHidden/>
          </w:rPr>
          <w:fldChar w:fldCharType="begin"/>
        </w:r>
        <w:r>
          <w:rPr>
            <w:noProof/>
            <w:webHidden/>
          </w:rPr>
          <w:instrText xml:space="preserve"> PAGEREF _Toc166761982 \h </w:instrText>
        </w:r>
        <w:r>
          <w:rPr>
            <w:noProof/>
            <w:webHidden/>
          </w:rPr>
          <w:fldChar w:fldCharType="separate"/>
        </w:r>
        <w:r>
          <w:rPr>
            <w:noProof/>
            <w:webHidden/>
          </w:rPr>
          <w:t>3</w:t>
        </w:r>
        <w:r>
          <w:rPr>
            <w:noProof/>
            <w:webHidden/>
          </w:rPr>
          <w:fldChar w:fldCharType="end"/>
        </w:r>
      </w:hyperlink>
    </w:p>
    <w:p w:rsidR="00AA59F4" w14:paraId="212BC9F3" w14:textId="25380A85">
      <w:pPr>
        <w:pStyle w:val="TOC2"/>
        <w:tabs>
          <w:tab w:val="right" w:pos="9736"/>
        </w:tabs>
        <w:rPr>
          <w:rFonts w:asciiTheme="minorHAnsi" w:eastAsiaTheme="minorEastAsia" w:hAnsiTheme="minorHAnsi"/>
          <w:b w:val="0"/>
          <w:noProof/>
          <w:color w:val="auto"/>
          <w:spacing w:val="0"/>
          <w:kern w:val="2"/>
          <w:lang w:eastAsia="zh-CN"/>
          <w14:ligatures w14:val="standardContextual"/>
        </w:rPr>
      </w:pPr>
      <w:hyperlink w:anchor="_Toc166761983" w:history="1">
        <w:r w:rsidRPr="00736296">
          <w:rPr>
            <w:rStyle w:val="Hyperlink"/>
            <w:noProof/>
          </w:rPr>
          <w:t xml:space="preserve">1.3 </w:t>
        </w:r>
        <w:r w:rsidR="001C34EF">
          <w:rPr>
            <w:rStyle w:val="Hyperlink"/>
            <w:noProof/>
          </w:rPr>
          <w:t>东南亚市场</w:t>
        </w:r>
        <w:r w:rsidRPr="00736296">
          <w:rPr>
            <w:rStyle w:val="Hyperlink"/>
            <w:noProof/>
          </w:rPr>
          <w:t>发展概况</w:t>
        </w:r>
        <w:r>
          <w:rPr>
            <w:noProof/>
            <w:webHidden/>
          </w:rPr>
          <w:tab/>
        </w:r>
        <w:r>
          <w:rPr>
            <w:noProof/>
            <w:webHidden/>
          </w:rPr>
          <w:fldChar w:fldCharType="begin"/>
        </w:r>
        <w:r>
          <w:rPr>
            <w:noProof/>
            <w:webHidden/>
          </w:rPr>
          <w:instrText xml:space="preserve"> PAGEREF _Toc166761983 \h </w:instrText>
        </w:r>
        <w:r>
          <w:rPr>
            <w:noProof/>
            <w:webHidden/>
          </w:rPr>
          <w:fldChar w:fldCharType="separate"/>
        </w:r>
        <w:r>
          <w:rPr>
            <w:noProof/>
            <w:webHidden/>
          </w:rPr>
          <w:t>3</w:t>
        </w:r>
        <w:r>
          <w:rPr>
            <w:noProof/>
            <w:webHidden/>
          </w:rPr>
          <w:fldChar w:fldCharType="end"/>
        </w:r>
      </w:hyperlink>
    </w:p>
    <w:p w:rsidR="00AA59F4" w14:paraId="27EF23F4" w14:textId="45C8DCA9">
      <w:pPr>
        <w:pStyle w:val="TOC1"/>
        <w:rPr>
          <w:rFonts w:asciiTheme="minorHAnsi" w:eastAsiaTheme="minorEastAsia" w:hAnsiTheme="minorHAnsi" w:cstheme="minorBidi"/>
          <w:b w:val="0"/>
          <w:bCs w:val="0"/>
          <w:color w:val="auto"/>
          <w:kern w:val="2"/>
          <w:szCs w:val="22"/>
          <w:lang w:val="en-US" w:eastAsia="zh-CN"/>
          <w14:ligatures w14:val="standardContextual"/>
        </w:rPr>
      </w:pPr>
      <w:hyperlink w:anchor="_Toc166761984" w:history="1">
        <w:r w:rsidRPr="00736296">
          <w:rPr>
            <w:rStyle w:val="Hyperlink"/>
          </w:rPr>
          <w:t xml:space="preserve">2 </w:t>
        </w:r>
        <w:r w:rsidR="00E452D1">
          <w:rPr>
            <w:rStyle w:val="Hyperlink"/>
          </w:rPr>
          <w:t>印尼</w:t>
        </w:r>
        <w:r w:rsidRPr="00736296">
          <w:rPr>
            <w:rStyle w:val="Hyperlink"/>
          </w:rPr>
          <w:t>营商环境</w:t>
        </w:r>
        <w:r w:rsidRPr="00736296">
          <w:rPr>
            <w:rStyle w:val="Hyperlink"/>
            <w:lang w:eastAsia="zh-CN"/>
          </w:rPr>
          <w:t>分析</w:t>
        </w:r>
        <w:r>
          <w:rPr>
            <w:webHidden/>
          </w:rPr>
          <w:tab/>
        </w:r>
        <w:r>
          <w:rPr>
            <w:webHidden/>
          </w:rPr>
          <w:fldChar w:fldCharType="begin"/>
        </w:r>
        <w:r>
          <w:rPr>
            <w:webHidden/>
          </w:rPr>
          <w:instrText xml:space="preserve"> PAGEREF _Toc166761984 \h </w:instrText>
        </w:r>
        <w:r>
          <w:rPr>
            <w:webHidden/>
          </w:rPr>
          <w:fldChar w:fldCharType="separate"/>
        </w:r>
        <w:r>
          <w:rPr>
            <w:webHidden/>
          </w:rPr>
          <w:t>4</w:t>
        </w:r>
        <w:r>
          <w:rPr>
            <w:webHidden/>
          </w:rPr>
          <w:fldChar w:fldCharType="end"/>
        </w:r>
      </w:hyperlink>
    </w:p>
    <w:p w:rsidR="00AA59F4" w14:paraId="1C4315B8" w14:textId="3874DDD9">
      <w:pPr>
        <w:pStyle w:val="TOC2"/>
        <w:tabs>
          <w:tab w:val="right" w:pos="9736"/>
        </w:tabs>
        <w:rPr>
          <w:rFonts w:asciiTheme="minorHAnsi" w:eastAsiaTheme="minorEastAsia" w:hAnsiTheme="minorHAnsi"/>
          <w:b w:val="0"/>
          <w:noProof/>
          <w:color w:val="auto"/>
          <w:spacing w:val="0"/>
          <w:kern w:val="2"/>
          <w:lang w:eastAsia="zh-CN"/>
          <w14:ligatures w14:val="standardContextual"/>
        </w:rPr>
      </w:pPr>
      <w:hyperlink w:anchor="_Toc166761985" w:history="1">
        <w:r w:rsidRPr="00736296">
          <w:rPr>
            <w:rStyle w:val="Hyperlink"/>
            <w:noProof/>
          </w:rPr>
          <w:t xml:space="preserve">2.1 </w:t>
        </w:r>
        <w:r w:rsidRPr="00736296">
          <w:rPr>
            <w:rStyle w:val="Hyperlink"/>
            <w:noProof/>
          </w:rPr>
          <w:t>国家基本情况</w:t>
        </w:r>
        <w:r>
          <w:rPr>
            <w:noProof/>
            <w:webHidden/>
          </w:rPr>
          <w:tab/>
        </w:r>
        <w:r>
          <w:rPr>
            <w:noProof/>
            <w:webHidden/>
          </w:rPr>
          <w:fldChar w:fldCharType="begin"/>
        </w:r>
        <w:r>
          <w:rPr>
            <w:noProof/>
            <w:webHidden/>
          </w:rPr>
          <w:instrText xml:space="preserve"> PAGEREF _Toc166761985 \h </w:instrText>
        </w:r>
        <w:r>
          <w:rPr>
            <w:noProof/>
            <w:webHidden/>
          </w:rPr>
          <w:fldChar w:fldCharType="separate"/>
        </w:r>
        <w:r>
          <w:rPr>
            <w:noProof/>
            <w:webHidden/>
          </w:rPr>
          <w:t>4</w:t>
        </w:r>
        <w:r>
          <w:rPr>
            <w:noProof/>
            <w:webHidden/>
          </w:rPr>
          <w:fldChar w:fldCharType="end"/>
        </w:r>
      </w:hyperlink>
    </w:p>
    <w:p w:rsidR="00AA59F4" w14:paraId="54A4F1A9" w14:textId="78EDF858">
      <w:pPr>
        <w:pStyle w:val="TOC2"/>
        <w:tabs>
          <w:tab w:val="right" w:pos="9736"/>
        </w:tabs>
        <w:rPr>
          <w:rFonts w:asciiTheme="minorHAnsi" w:eastAsiaTheme="minorEastAsia" w:hAnsiTheme="minorHAnsi"/>
          <w:b w:val="0"/>
          <w:noProof/>
          <w:color w:val="auto"/>
          <w:spacing w:val="0"/>
          <w:kern w:val="2"/>
          <w:lang w:eastAsia="zh-CN"/>
          <w14:ligatures w14:val="standardContextual"/>
        </w:rPr>
      </w:pPr>
      <w:hyperlink w:anchor="_Toc166761986" w:history="1">
        <w:r w:rsidRPr="00736296">
          <w:rPr>
            <w:rStyle w:val="Hyperlink"/>
            <w:noProof/>
          </w:rPr>
          <w:t xml:space="preserve">2.2 </w:t>
        </w:r>
        <w:r w:rsidRPr="00736296">
          <w:rPr>
            <w:rStyle w:val="Hyperlink"/>
            <w:noProof/>
          </w:rPr>
          <w:t>经济发展指标</w:t>
        </w:r>
        <w:r>
          <w:rPr>
            <w:noProof/>
            <w:webHidden/>
          </w:rPr>
          <w:tab/>
        </w:r>
        <w:r>
          <w:rPr>
            <w:noProof/>
            <w:webHidden/>
          </w:rPr>
          <w:fldChar w:fldCharType="begin"/>
        </w:r>
        <w:r>
          <w:rPr>
            <w:noProof/>
            <w:webHidden/>
          </w:rPr>
          <w:instrText xml:space="preserve"> PAGEREF _Toc166761986 \h </w:instrText>
        </w:r>
        <w:r>
          <w:rPr>
            <w:noProof/>
            <w:webHidden/>
          </w:rPr>
          <w:fldChar w:fldCharType="separate"/>
        </w:r>
        <w:r>
          <w:rPr>
            <w:noProof/>
            <w:webHidden/>
          </w:rPr>
          <w:t>5</w:t>
        </w:r>
        <w:r>
          <w:rPr>
            <w:noProof/>
            <w:webHidden/>
          </w:rPr>
          <w:fldChar w:fldCharType="end"/>
        </w:r>
      </w:hyperlink>
    </w:p>
    <w:p w:rsidR="00AA59F4" w14:paraId="56D7B49D" w14:textId="195C8D01">
      <w:pPr>
        <w:pStyle w:val="TOC3"/>
        <w:rPr>
          <w:rFonts w:asciiTheme="minorHAnsi" w:eastAsiaTheme="minorEastAsia" w:hAnsiTheme="minorHAnsi"/>
          <w:noProof/>
          <w:color w:val="auto"/>
          <w:szCs w:val="22"/>
          <w14:ligatures w14:val="standardContextual"/>
        </w:rPr>
      </w:pPr>
      <w:hyperlink w:anchor="_Toc166761987" w:history="1">
        <w:r w:rsidRPr="00736296">
          <w:rPr>
            <w:rStyle w:val="Hyperlink"/>
            <w:noProof/>
          </w:rPr>
          <w:t xml:space="preserve">2.2.1 </w:t>
        </w:r>
        <w:r w:rsidRPr="00736296">
          <w:rPr>
            <w:rStyle w:val="Hyperlink"/>
            <w:noProof/>
          </w:rPr>
          <w:t>经济增长率</w:t>
        </w:r>
        <w:r>
          <w:rPr>
            <w:noProof/>
            <w:webHidden/>
          </w:rPr>
          <w:tab/>
        </w:r>
        <w:r>
          <w:rPr>
            <w:noProof/>
            <w:webHidden/>
          </w:rPr>
          <w:fldChar w:fldCharType="begin"/>
        </w:r>
        <w:r>
          <w:rPr>
            <w:noProof/>
            <w:webHidden/>
          </w:rPr>
          <w:instrText xml:space="preserve"> PAGEREF _Toc166761987 \h </w:instrText>
        </w:r>
        <w:r>
          <w:rPr>
            <w:noProof/>
            <w:webHidden/>
          </w:rPr>
          <w:fldChar w:fldCharType="separate"/>
        </w:r>
        <w:r>
          <w:rPr>
            <w:noProof/>
            <w:webHidden/>
          </w:rPr>
          <w:t>5</w:t>
        </w:r>
        <w:r>
          <w:rPr>
            <w:noProof/>
            <w:webHidden/>
          </w:rPr>
          <w:fldChar w:fldCharType="end"/>
        </w:r>
      </w:hyperlink>
    </w:p>
    <w:p w:rsidR="00AA59F4" w14:paraId="2C38CB2B" w14:textId="64D4ADD4">
      <w:pPr>
        <w:pStyle w:val="TOC3"/>
        <w:rPr>
          <w:rFonts w:asciiTheme="minorHAnsi" w:eastAsiaTheme="minorEastAsia" w:hAnsiTheme="minorHAnsi"/>
          <w:noProof/>
          <w:color w:val="auto"/>
          <w:szCs w:val="22"/>
          <w14:ligatures w14:val="standardContextual"/>
        </w:rPr>
      </w:pPr>
      <w:hyperlink w:anchor="_Toc166761988" w:history="1">
        <w:r w:rsidRPr="00736296">
          <w:rPr>
            <w:rStyle w:val="Hyperlink"/>
            <w:noProof/>
          </w:rPr>
          <w:t xml:space="preserve">2.2.2 </w:t>
        </w:r>
        <w:r w:rsidRPr="00736296">
          <w:rPr>
            <w:rStyle w:val="Hyperlink"/>
            <w:noProof/>
          </w:rPr>
          <w:t>通货膨胀与物价水平</w:t>
        </w:r>
        <w:r>
          <w:rPr>
            <w:noProof/>
            <w:webHidden/>
          </w:rPr>
          <w:tab/>
        </w:r>
        <w:r>
          <w:rPr>
            <w:noProof/>
            <w:webHidden/>
          </w:rPr>
          <w:fldChar w:fldCharType="begin"/>
        </w:r>
        <w:r>
          <w:rPr>
            <w:noProof/>
            <w:webHidden/>
          </w:rPr>
          <w:instrText xml:space="preserve"> PAGEREF _Toc166761988 \h </w:instrText>
        </w:r>
        <w:r>
          <w:rPr>
            <w:noProof/>
            <w:webHidden/>
          </w:rPr>
          <w:fldChar w:fldCharType="separate"/>
        </w:r>
        <w:r>
          <w:rPr>
            <w:noProof/>
            <w:webHidden/>
          </w:rPr>
          <w:t>5</w:t>
        </w:r>
        <w:r>
          <w:rPr>
            <w:noProof/>
            <w:webHidden/>
          </w:rPr>
          <w:fldChar w:fldCharType="end"/>
        </w:r>
      </w:hyperlink>
    </w:p>
    <w:p w:rsidR="00AA59F4" w14:paraId="19D70C30" w14:textId="6BB9ACCF">
      <w:pPr>
        <w:pStyle w:val="TOC3"/>
        <w:rPr>
          <w:rFonts w:asciiTheme="minorHAnsi" w:eastAsiaTheme="minorEastAsia" w:hAnsiTheme="minorHAnsi"/>
          <w:noProof/>
          <w:color w:val="auto"/>
          <w:szCs w:val="22"/>
          <w14:ligatures w14:val="standardContextual"/>
        </w:rPr>
      </w:pPr>
      <w:hyperlink w:anchor="_Toc166761989" w:history="1">
        <w:r w:rsidRPr="00736296">
          <w:rPr>
            <w:rStyle w:val="Hyperlink"/>
            <w:noProof/>
          </w:rPr>
          <w:t xml:space="preserve">2.2.3 </w:t>
        </w:r>
        <w:r w:rsidRPr="00736296">
          <w:rPr>
            <w:rStyle w:val="Hyperlink"/>
            <w:noProof/>
          </w:rPr>
          <w:t>最新失业率</w:t>
        </w:r>
        <w:r>
          <w:rPr>
            <w:noProof/>
            <w:webHidden/>
          </w:rPr>
          <w:tab/>
        </w:r>
        <w:r>
          <w:rPr>
            <w:noProof/>
            <w:webHidden/>
          </w:rPr>
          <w:fldChar w:fldCharType="begin"/>
        </w:r>
        <w:r>
          <w:rPr>
            <w:noProof/>
            <w:webHidden/>
          </w:rPr>
          <w:instrText xml:space="preserve"> PAGEREF _Toc166761989 \h </w:instrText>
        </w:r>
        <w:r>
          <w:rPr>
            <w:noProof/>
            <w:webHidden/>
          </w:rPr>
          <w:fldChar w:fldCharType="separate"/>
        </w:r>
        <w:r>
          <w:rPr>
            <w:noProof/>
            <w:webHidden/>
          </w:rPr>
          <w:t>5</w:t>
        </w:r>
        <w:r>
          <w:rPr>
            <w:noProof/>
            <w:webHidden/>
          </w:rPr>
          <w:fldChar w:fldCharType="end"/>
        </w:r>
      </w:hyperlink>
    </w:p>
    <w:p w:rsidR="00AA59F4" w14:paraId="69FB3F90" w14:textId="19DD9A47">
      <w:pPr>
        <w:pStyle w:val="TOC3"/>
        <w:rPr>
          <w:rFonts w:asciiTheme="minorHAnsi" w:eastAsiaTheme="minorEastAsia" w:hAnsiTheme="minorHAnsi"/>
          <w:noProof/>
          <w:color w:val="auto"/>
          <w:szCs w:val="22"/>
          <w14:ligatures w14:val="standardContextual"/>
        </w:rPr>
      </w:pPr>
      <w:hyperlink w:anchor="_Toc166761990" w:history="1">
        <w:r w:rsidRPr="00736296">
          <w:rPr>
            <w:rStyle w:val="Hyperlink"/>
            <w:noProof/>
          </w:rPr>
          <w:t xml:space="preserve">2.2.4 </w:t>
        </w:r>
        <w:r w:rsidRPr="00736296">
          <w:rPr>
            <w:rStyle w:val="Hyperlink"/>
            <w:noProof/>
          </w:rPr>
          <w:t>外汇储备</w:t>
        </w:r>
        <w:r>
          <w:rPr>
            <w:noProof/>
            <w:webHidden/>
          </w:rPr>
          <w:tab/>
        </w:r>
        <w:r>
          <w:rPr>
            <w:noProof/>
            <w:webHidden/>
          </w:rPr>
          <w:fldChar w:fldCharType="begin"/>
        </w:r>
        <w:r>
          <w:rPr>
            <w:noProof/>
            <w:webHidden/>
          </w:rPr>
          <w:instrText xml:space="preserve"> PAGEREF _Toc166761990 \h </w:instrText>
        </w:r>
        <w:r>
          <w:rPr>
            <w:noProof/>
            <w:webHidden/>
          </w:rPr>
          <w:fldChar w:fldCharType="separate"/>
        </w:r>
        <w:r>
          <w:rPr>
            <w:noProof/>
            <w:webHidden/>
          </w:rPr>
          <w:t>5</w:t>
        </w:r>
        <w:r>
          <w:rPr>
            <w:noProof/>
            <w:webHidden/>
          </w:rPr>
          <w:fldChar w:fldCharType="end"/>
        </w:r>
      </w:hyperlink>
    </w:p>
    <w:p w:rsidR="00AA59F4" w14:paraId="66C26501" w14:textId="08E8DFCE">
      <w:pPr>
        <w:pStyle w:val="TOC3"/>
        <w:rPr>
          <w:rFonts w:asciiTheme="minorHAnsi" w:eastAsiaTheme="minorEastAsia" w:hAnsiTheme="minorHAnsi"/>
          <w:noProof/>
          <w:color w:val="auto"/>
          <w:szCs w:val="22"/>
          <w14:ligatures w14:val="standardContextual"/>
        </w:rPr>
      </w:pPr>
      <w:hyperlink w:anchor="_Toc166761991" w:history="1">
        <w:r w:rsidRPr="00736296">
          <w:rPr>
            <w:rStyle w:val="Hyperlink"/>
            <w:noProof/>
          </w:rPr>
          <w:t xml:space="preserve">2.2.5 </w:t>
        </w:r>
        <w:r w:rsidRPr="00736296">
          <w:rPr>
            <w:rStyle w:val="Hyperlink"/>
            <w:noProof/>
          </w:rPr>
          <w:t>信用评级</w:t>
        </w:r>
        <w:r>
          <w:rPr>
            <w:noProof/>
            <w:webHidden/>
          </w:rPr>
          <w:tab/>
        </w:r>
        <w:r>
          <w:rPr>
            <w:noProof/>
            <w:webHidden/>
          </w:rPr>
          <w:fldChar w:fldCharType="begin"/>
        </w:r>
        <w:r>
          <w:rPr>
            <w:noProof/>
            <w:webHidden/>
          </w:rPr>
          <w:instrText xml:space="preserve"> PAGEREF _Toc166761991 \h </w:instrText>
        </w:r>
        <w:r>
          <w:rPr>
            <w:noProof/>
            <w:webHidden/>
          </w:rPr>
          <w:fldChar w:fldCharType="separate"/>
        </w:r>
        <w:r>
          <w:rPr>
            <w:noProof/>
            <w:webHidden/>
          </w:rPr>
          <w:t>5</w:t>
        </w:r>
        <w:r>
          <w:rPr>
            <w:noProof/>
            <w:webHidden/>
          </w:rPr>
          <w:fldChar w:fldCharType="end"/>
        </w:r>
      </w:hyperlink>
    </w:p>
    <w:p w:rsidR="00AA59F4" w14:paraId="4AA9D491" w14:textId="14E50165">
      <w:pPr>
        <w:pStyle w:val="TOC2"/>
        <w:tabs>
          <w:tab w:val="right" w:pos="9736"/>
        </w:tabs>
        <w:rPr>
          <w:rFonts w:asciiTheme="minorHAnsi" w:eastAsiaTheme="minorEastAsia" w:hAnsiTheme="minorHAnsi"/>
          <w:b w:val="0"/>
          <w:noProof/>
          <w:color w:val="auto"/>
          <w:spacing w:val="0"/>
          <w:kern w:val="2"/>
          <w:lang w:eastAsia="zh-CN"/>
          <w14:ligatures w14:val="standardContextual"/>
        </w:rPr>
      </w:pPr>
      <w:hyperlink w:anchor="_Toc166761992" w:history="1">
        <w:r w:rsidRPr="00736296">
          <w:rPr>
            <w:rStyle w:val="Hyperlink"/>
            <w:noProof/>
          </w:rPr>
          <w:t xml:space="preserve">2.3 </w:t>
        </w:r>
        <w:r w:rsidRPr="00736296">
          <w:rPr>
            <w:rStyle w:val="Hyperlink"/>
            <w:noProof/>
          </w:rPr>
          <w:t>基础设施现状</w:t>
        </w:r>
        <w:r>
          <w:rPr>
            <w:noProof/>
            <w:webHidden/>
          </w:rPr>
          <w:tab/>
        </w:r>
        <w:r>
          <w:rPr>
            <w:noProof/>
            <w:webHidden/>
          </w:rPr>
          <w:fldChar w:fldCharType="begin"/>
        </w:r>
        <w:r>
          <w:rPr>
            <w:noProof/>
            <w:webHidden/>
          </w:rPr>
          <w:instrText xml:space="preserve"> PAGEREF _Toc166761992 \h </w:instrText>
        </w:r>
        <w:r>
          <w:rPr>
            <w:noProof/>
            <w:webHidden/>
          </w:rPr>
          <w:fldChar w:fldCharType="separate"/>
        </w:r>
        <w:r>
          <w:rPr>
            <w:noProof/>
            <w:webHidden/>
          </w:rPr>
          <w:t>6</w:t>
        </w:r>
        <w:r>
          <w:rPr>
            <w:noProof/>
            <w:webHidden/>
          </w:rPr>
          <w:fldChar w:fldCharType="end"/>
        </w:r>
      </w:hyperlink>
    </w:p>
    <w:p w:rsidR="00AA59F4" w14:paraId="704CAC85" w14:textId="3F67271D">
      <w:pPr>
        <w:pStyle w:val="TOC3"/>
        <w:rPr>
          <w:rFonts w:asciiTheme="minorHAnsi" w:eastAsiaTheme="minorEastAsia" w:hAnsiTheme="minorHAnsi"/>
          <w:noProof/>
          <w:color w:val="auto"/>
          <w:szCs w:val="22"/>
          <w14:ligatures w14:val="standardContextual"/>
        </w:rPr>
      </w:pPr>
      <w:hyperlink w:anchor="_Toc166761993" w:history="1">
        <w:r w:rsidRPr="00736296">
          <w:rPr>
            <w:rStyle w:val="Hyperlink"/>
            <w:noProof/>
          </w:rPr>
          <w:t xml:space="preserve">2.3.1 </w:t>
        </w:r>
        <w:r w:rsidRPr="00736296">
          <w:rPr>
            <w:rStyle w:val="Hyperlink"/>
            <w:noProof/>
          </w:rPr>
          <w:t>交通</w:t>
        </w:r>
        <w:r>
          <w:rPr>
            <w:noProof/>
            <w:webHidden/>
          </w:rPr>
          <w:tab/>
        </w:r>
        <w:r>
          <w:rPr>
            <w:noProof/>
            <w:webHidden/>
          </w:rPr>
          <w:fldChar w:fldCharType="begin"/>
        </w:r>
        <w:r>
          <w:rPr>
            <w:noProof/>
            <w:webHidden/>
          </w:rPr>
          <w:instrText xml:space="preserve"> PAGEREF _Toc166761993 \h </w:instrText>
        </w:r>
        <w:r>
          <w:rPr>
            <w:noProof/>
            <w:webHidden/>
          </w:rPr>
          <w:fldChar w:fldCharType="separate"/>
        </w:r>
        <w:r>
          <w:rPr>
            <w:noProof/>
            <w:webHidden/>
          </w:rPr>
          <w:t>6</w:t>
        </w:r>
        <w:r>
          <w:rPr>
            <w:noProof/>
            <w:webHidden/>
          </w:rPr>
          <w:fldChar w:fldCharType="end"/>
        </w:r>
      </w:hyperlink>
    </w:p>
    <w:p w:rsidR="00AA59F4" w14:paraId="48834F18" w14:textId="5FAA78A0">
      <w:pPr>
        <w:pStyle w:val="TOC3"/>
        <w:rPr>
          <w:rFonts w:asciiTheme="minorHAnsi" w:eastAsiaTheme="minorEastAsia" w:hAnsiTheme="minorHAnsi"/>
          <w:noProof/>
          <w:color w:val="auto"/>
          <w:szCs w:val="22"/>
          <w14:ligatures w14:val="standardContextual"/>
        </w:rPr>
      </w:pPr>
      <w:hyperlink w:anchor="_Toc166761994" w:history="1">
        <w:r w:rsidRPr="00736296">
          <w:rPr>
            <w:rStyle w:val="Hyperlink"/>
            <w:noProof/>
          </w:rPr>
          <w:t xml:space="preserve">2.3.2 </w:t>
        </w:r>
        <w:r w:rsidRPr="00736296">
          <w:rPr>
            <w:rStyle w:val="Hyperlink"/>
            <w:noProof/>
          </w:rPr>
          <w:t>通信与互联网</w:t>
        </w:r>
        <w:r>
          <w:rPr>
            <w:noProof/>
            <w:webHidden/>
          </w:rPr>
          <w:tab/>
        </w:r>
        <w:r>
          <w:rPr>
            <w:noProof/>
            <w:webHidden/>
          </w:rPr>
          <w:fldChar w:fldCharType="begin"/>
        </w:r>
        <w:r>
          <w:rPr>
            <w:noProof/>
            <w:webHidden/>
          </w:rPr>
          <w:instrText xml:space="preserve"> PAGEREF _Toc166761994 \h </w:instrText>
        </w:r>
        <w:r>
          <w:rPr>
            <w:noProof/>
            <w:webHidden/>
          </w:rPr>
          <w:fldChar w:fldCharType="separate"/>
        </w:r>
        <w:r>
          <w:rPr>
            <w:noProof/>
            <w:webHidden/>
          </w:rPr>
          <w:t>6</w:t>
        </w:r>
        <w:r>
          <w:rPr>
            <w:noProof/>
            <w:webHidden/>
          </w:rPr>
          <w:fldChar w:fldCharType="end"/>
        </w:r>
      </w:hyperlink>
    </w:p>
    <w:p w:rsidR="00AA59F4" w14:paraId="707E3165" w14:textId="4DE3E815">
      <w:pPr>
        <w:pStyle w:val="TOC3"/>
        <w:rPr>
          <w:rFonts w:asciiTheme="minorHAnsi" w:eastAsiaTheme="minorEastAsia" w:hAnsiTheme="minorHAnsi"/>
          <w:noProof/>
          <w:color w:val="auto"/>
          <w:szCs w:val="22"/>
          <w14:ligatures w14:val="standardContextual"/>
        </w:rPr>
      </w:pPr>
      <w:hyperlink w:anchor="_Toc166761995" w:history="1">
        <w:r w:rsidRPr="00736296">
          <w:rPr>
            <w:rStyle w:val="Hyperlink"/>
            <w:noProof/>
          </w:rPr>
          <w:t xml:space="preserve">2.3.3 </w:t>
        </w:r>
        <w:r w:rsidRPr="00736296">
          <w:rPr>
            <w:rStyle w:val="Hyperlink"/>
            <w:noProof/>
          </w:rPr>
          <w:t>电力</w:t>
        </w:r>
        <w:r>
          <w:rPr>
            <w:noProof/>
            <w:webHidden/>
          </w:rPr>
          <w:tab/>
        </w:r>
        <w:r>
          <w:rPr>
            <w:noProof/>
            <w:webHidden/>
          </w:rPr>
          <w:fldChar w:fldCharType="begin"/>
        </w:r>
        <w:r>
          <w:rPr>
            <w:noProof/>
            <w:webHidden/>
          </w:rPr>
          <w:instrText xml:space="preserve"> PAGEREF _Toc166761995 \h </w:instrText>
        </w:r>
        <w:r>
          <w:rPr>
            <w:noProof/>
            <w:webHidden/>
          </w:rPr>
          <w:fldChar w:fldCharType="separate"/>
        </w:r>
        <w:r>
          <w:rPr>
            <w:noProof/>
            <w:webHidden/>
          </w:rPr>
          <w:t>7</w:t>
        </w:r>
        <w:r>
          <w:rPr>
            <w:noProof/>
            <w:webHidden/>
          </w:rPr>
          <w:fldChar w:fldCharType="end"/>
        </w:r>
      </w:hyperlink>
    </w:p>
    <w:p w:rsidR="00AA59F4" w14:paraId="3439DC30" w14:textId="58F1912A">
      <w:pPr>
        <w:pStyle w:val="TOC3"/>
        <w:rPr>
          <w:rFonts w:asciiTheme="minorHAnsi" w:eastAsiaTheme="minorEastAsia" w:hAnsiTheme="minorHAnsi"/>
          <w:noProof/>
          <w:color w:val="auto"/>
          <w:szCs w:val="22"/>
          <w14:ligatures w14:val="standardContextual"/>
        </w:rPr>
      </w:pPr>
      <w:hyperlink w:anchor="_Toc166761996" w:history="1">
        <w:r w:rsidRPr="00736296">
          <w:rPr>
            <w:rStyle w:val="Hyperlink"/>
            <w:noProof/>
          </w:rPr>
          <w:t xml:space="preserve">2.3.4 </w:t>
        </w:r>
        <w:r w:rsidRPr="00736296">
          <w:rPr>
            <w:rStyle w:val="Hyperlink"/>
            <w:noProof/>
          </w:rPr>
          <w:t>高等教育</w:t>
        </w:r>
        <w:r>
          <w:rPr>
            <w:noProof/>
            <w:webHidden/>
          </w:rPr>
          <w:tab/>
        </w:r>
        <w:r>
          <w:rPr>
            <w:noProof/>
            <w:webHidden/>
          </w:rPr>
          <w:fldChar w:fldCharType="begin"/>
        </w:r>
        <w:r>
          <w:rPr>
            <w:noProof/>
            <w:webHidden/>
          </w:rPr>
          <w:instrText xml:space="preserve"> PAGEREF _Toc166761996 \h </w:instrText>
        </w:r>
        <w:r>
          <w:rPr>
            <w:noProof/>
            <w:webHidden/>
          </w:rPr>
          <w:fldChar w:fldCharType="separate"/>
        </w:r>
        <w:r>
          <w:rPr>
            <w:noProof/>
            <w:webHidden/>
          </w:rPr>
          <w:t>7</w:t>
        </w:r>
        <w:r>
          <w:rPr>
            <w:noProof/>
            <w:webHidden/>
          </w:rPr>
          <w:fldChar w:fldCharType="end"/>
        </w:r>
      </w:hyperlink>
    </w:p>
    <w:p w:rsidR="00AA59F4" w14:paraId="2AC0F7E1" w14:textId="112CD5C5">
      <w:pPr>
        <w:pStyle w:val="TOC3"/>
        <w:rPr>
          <w:rFonts w:asciiTheme="minorHAnsi" w:eastAsiaTheme="minorEastAsia" w:hAnsiTheme="minorHAnsi"/>
          <w:noProof/>
          <w:color w:val="auto"/>
          <w:szCs w:val="22"/>
          <w14:ligatures w14:val="standardContextual"/>
        </w:rPr>
      </w:pPr>
      <w:hyperlink w:anchor="_Toc166761997" w:history="1">
        <w:r w:rsidRPr="00736296">
          <w:rPr>
            <w:rStyle w:val="Hyperlink"/>
            <w:noProof/>
          </w:rPr>
          <w:t xml:space="preserve">2.3.5 </w:t>
        </w:r>
        <w:r w:rsidRPr="00736296">
          <w:rPr>
            <w:rStyle w:val="Hyperlink"/>
            <w:noProof/>
          </w:rPr>
          <w:t>劳工情况</w:t>
        </w:r>
        <w:r>
          <w:rPr>
            <w:noProof/>
            <w:webHidden/>
          </w:rPr>
          <w:tab/>
        </w:r>
        <w:r>
          <w:rPr>
            <w:noProof/>
            <w:webHidden/>
          </w:rPr>
          <w:fldChar w:fldCharType="begin"/>
        </w:r>
        <w:r>
          <w:rPr>
            <w:noProof/>
            <w:webHidden/>
          </w:rPr>
          <w:instrText xml:space="preserve"> PAGEREF _Toc166761997 \h </w:instrText>
        </w:r>
        <w:r>
          <w:rPr>
            <w:noProof/>
            <w:webHidden/>
          </w:rPr>
          <w:fldChar w:fldCharType="separate"/>
        </w:r>
        <w:r>
          <w:rPr>
            <w:noProof/>
            <w:webHidden/>
          </w:rPr>
          <w:t>8</w:t>
        </w:r>
        <w:r>
          <w:rPr>
            <w:noProof/>
            <w:webHidden/>
          </w:rPr>
          <w:fldChar w:fldCharType="end"/>
        </w:r>
      </w:hyperlink>
    </w:p>
    <w:p w:rsidR="00AA59F4" w14:paraId="47F22F6E" w14:textId="5024A0CC">
      <w:pPr>
        <w:pStyle w:val="TOC2"/>
        <w:tabs>
          <w:tab w:val="right" w:pos="9736"/>
        </w:tabs>
        <w:rPr>
          <w:rFonts w:asciiTheme="minorHAnsi" w:eastAsiaTheme="minorEastAsia" w:hAnsiTheme="minorHAnsi"/>
          <w:b w:val="0"/>
          <w:noProof/>
          <w:color w:val="auto"/>
          <w:spacing w:val="0"/>
          <w:kern w:val="2"/>
          <w:lang w:eastAsia="zh-CN"/>
          <w14:ligatures w14:val="standardContextual"/>
        </w:rPr>
      </w:pPr>
      <w:hyperlink w:anchor="_Toc166761998" w:history="1">
        <w:r w:rsidRPr="00736296">
          <w:rPr>
            <w:rStyle w:val="Hyperlink"/>
            <w:noProof/>
          </w:rPr>
          <w:t xml:space="preserve">2.4 </w:t>
        </w:r>
        <w:r w:rsidRPr="00736296">
          <w:rPr>
            <w:rStyle w:val="Hyperlink"/>
            <w:noProof/>
          </w:rPr>
          <w:t>金融环境特色</w:t>
        </w:r>
        <w:r>
          <w:rPr>
            <w:noProof/>
            <w:webHidden/>
          </w:rPr>
          <w:tab/>
        </w:r>
        <w:r>
          <w:rPr>
            <w:noProof/>
            <w:webHidden/>
          </w:rPr>
          <w:fldChar w:fldCharType="begin"/>
        </w:r>
        <w:r>
          <w:rPr>
            <w:noProof/>
            <w:webHidden/>
          </w:rPr>
          <w:instrText xml:space="preserve"> PAGEREF _Toc166761998 \h </w:instrText>
        </w:r>
        <w:r>
          <w:rPr>
            <w:noProof/>
            <w:webHidden/>
          </w:rPr>
          <w:fldChar w:fldCharType="separate"/>
        </w:r>
        <w:r>
          <w:rPr>
            <w:noProof/>
            <w:webHidden/>
          </w:rPr>
          <w:t>8</w:t>
        </w:r>
        <w:r>
          <w:rPr>
            <w:noProof/>
            <w:webHidden/>
          </w:rPr>
          <w:fldChar w:fldCharType="end"/>
        </w:r>
      </w:hyperlink>
    </w:p>
    <w:p w:rsidR="00AA59F4" w14:paraId="31126DBF" w14:textId="10074423">
      <w:pPr>
        <w:pStyle w:val="TOC3"/>
        <w:rPr>
          <w:rFonts w:asciiTheme="minorHAnsi" w:eastAsiaTheme="minorEastAsia" w:hAnsiTheme="minorHAnsi"/>
          <w:noProof/>
          <w:color w:val="auto"/>
          <w:szCs w:val="22"/>
          <w14:ligatures w14:val="standardContextual"/>
        </w:rPr>
      </w:pPr>
      <w:hyperlink w:anchor="_Toc166761999" w:history="1">
        <w:r w:rsidRPr="00736296">
          <w:rPr>
            <w:rStyle w:val="Hyperlink"/>
            <w:noProof/>
          </w:rPr>
          <w:t xml:space="preserve">2.4.1 </w:t>
        </w:r>
        <w:r w:rsidRPr="00736296">
          <w:rPr>
            <w:rStyle w:val="Hyperlink"/>
            <w:noProof/>
          </w:rPr>
          <w:t>当地货币</w:t>
        </w:r>
        <w:r>
          <w:rPr>
            <w:noProof/>
            <w:webHidden/>
          </w:rPr>
          <w:tab/>
        </w:r>
        <w:r>
          <w:rPr>
            <w:noProof/>
            <w:webHidden/>
          </w:rPr>
          <w:fldChar w:fldCharType="begin"/>
        </w:r>
        <w:r>
          <w:rPr>
            <w:noProof/>
            <w:webHidden/>
          </w:rPr>
          <w:instrText xml:space="preserve"> PAGEREF _Toc166761999 \h </w:instrText>
        </w:r>
        <w:r>
          <w:rPr>
            <w:noProof/>
            <w:webHidden/>
          </w:rPr>
          <w:fldChar w:fldCharType="separate"/>
        </w:r>
        <w:r>
          <w:rPr>
            <w:noProof/>
            <w:webHidden/>
          </w:rPr>
          <w:t>8</w:t>
        </w:r>
        <w:r>
          <w:rPr>
            <w:noProof/>
            <w:webHidden/>
          </w:rPr>
          <w:fldChar w:fldCharType="end"/>
        </w:r>
      </w:hyperlink>
    </w:p>
    <w:p w:rsidR="00AA59F4" w14:paraId="2B09099C" w14:textId="1965E991">
      <w:pPr>
        <w:pStyle w:val="TOC3"/>
        <w:rPr>
          <w:rFonts w:asciiTheme="minorHAnsi" w:eastAsiaTheme="minorEastAsia" w:hAnsiTheme="minorHAnsi"/>
          <w:noProof/>
          <w:color w:val="auto"/>
          <w:szCs w:val="22"/>
          <w14:ligatures w14:val="standardContextual"/>
        </w:rPr>
      </w:pPr>
      <w:hyperlink w:anchor="_Toc166762000" w:history="1">
        <w:r w:rsidRPr="00736296">
          <w:rPr>
            <w:rStyle w:val="Hyperlink"/>
            <w:noProof/>
          </w:rPr>
          <w:t xml:space="preserve">2.4.2 </w:t>
        </w:r>
        <w:r w:rsidRPr="00736296">
          <w:rPr>
            <w:rStyle w:val="Hyperlink"/>
            <w:noProof/>
          </w:rPr>
          <w:t>外汇管理</w:t>
        </w:r>
        <w:r>
          <w:rPr>
            <w:noProof/>
            <w:webHidden/>
          </w:rPr>
          <w:tab/>
        </w:r>
        <w:r>
          <w:rPr>
            <w:noProof/>
            <w:webHidden/>
          </w:rPr>
          <w:fldChar w:fldCharType="begin"/>
        </w:r>
        <w:r>
          <w:rPr>
            <w:noProof/>
            <w:webHidden/>
          </w:rPr>
          <w:instrText xml:space="preserve"> PAGEREF _Toc166762000 \h </w:instrText>
        </w:r>
        <w:r>
          <w:rPr>
            <w:noProof/>
            <w:webHidden/>
          </w:rPr>
          <w:fldChar w:fldCharType="separate"/>
        </w:r>
        <w:r>
          <w:rPr>
            <w:noProof/>
            <w:webHidden/>
          </w:rPr>
          <w:t>8</w:t>
        </w:r>
        <w:r>
          <w:rPr>
            <w:noProof/>
            <w:webHidden/>
          </w:rPr>
          <w:fldChar w:fldCharType="end"/>
        </w:r>
      </w:hyperlink>
    </w:p>
    <w:p w:rsidR="00AA59F4" w14:paraId="14C27B9E" w14:textId="092C88FB">
      <w:pPr>
        <w:pStyle w:val="TOC3"/>
        <w:rPr>
          <w:rFonts w:asciiTheme="minorHAnsi" w:eastAsiaTheme="minorEastAsia" w:hAnsiTheme="minorHAnsi"/>
          <w:noProof/>
          <w:color w:val="auto"/>
          <w:szCs w:val="22"/>
          <w14:ligatures w14:val="standardContextual"/>
        </w:rPr>
      </w:pPr>
      <w:hyperlink w:anchor="_Toc166762001" w:history="1">
        <w:r w:rsidRPr="00736296">
          <w:rPr>
            <w:rStyle w:val="Hyperlink"/>
            <w:noProof/>
          </w:rPr>
          <w:t xml:space="preserve">2.4.3 </w:t>
        </w:r>
        <w:r w:rsidRPr="00736296">
          <w:rPr>
            <w:rStyle w:val="Hyperlink"/>
            <w:noProof/>
          </w:rPr>
          <w:t>跨境结算</w:t>
        </w:r>
        <w:r>
          <w:rPr>
            <w:noProof/>
            <w:webHidden/>
          </w:rPr>
          <w:tab/>
        </w:r>
        <w:r>
          <w:rPr>
            <w:noProof/>
            <w:webHidden/>
          </w:rPr>
          <w:fldChar w:fldCharType="begin"/>
        </w:r>
        <w:r>
          <w:rPr>
            <w:noProof/>
            <w:webHidden/>
          </w:rPr>
          <w:instrText xml:space="preserve"> PAGEREF _Toc166762001 \h </w:instrText>
        </w:r>
        <w:r>
          <w:rPr>
            <w:noProof/>
            <w:webHidden/>
          </w:rPr>
          <w:fldChar w:fldCharType="separate"/>
        </w:r>
        <w:r>
          <w:rPr>
            <w:noProof/>
            <w:webHidden/>
          </w:rPr>
          <w:t>8</w:t>
        </w:r>
        <w:r>
          <w:rPr>
            <w:noProof/>
            <w:webHidden/>
          </w:rPr>
          <w:fldChar w:fldCharType="end"/>
        </w:r>
      </w:hyperlink>
    </w:p>
    <w:p w:rsidR="00AA59F4" w14:paraId="040D1CFE" w14:textId="55519EDC">
      <w:pPr>
        <w:pStyle w:val="TOC3"/>
        <w:rPr>
          <w:rFonts w:asciiTheme="minorHAnsi" w:eastAsiaTheme="minorEastAsia" w:hAnsiTheme="minorHAnsi"/>
          <w:noProof/>
          <w:color w:val="auto"/>
          <w:szCs w:val="22"/>
          <w14:ligatures w14:val="standardContextual"/>
        </w:rPr>
      </w:pPr>
      <w:hyperlink w:anchor="_Toc166762002" w:history="1">
        <w:r w:rsidRPr="00736296">
          <w:rPr>
            <w:rStyle w:val="Hyperlink"/>
            <w:noProof/>
          </w:rPr>
          <w:t xml:space="preserve">2.4.4 </w:t>
        </w:r>
        <w:r w:rsidRPr="00736296">
          <w:rPr>
            <w:rStyle w:val="Hyperlink"/>
            <w:noProof/>
          </w:rPr>
          <w:t>金融服务</w:t>
        </w:r>
        <w:r>
          <w:rPr>
            <w:noProof/>
            <w:webHidden/>
          </w:rPr>
          <w:tab/>
        </w:r>
        <w:r>
          <w:rPr>
            <w:noProof/>
            <w:webHidden/>
          </w:rPr>
          <w:fldChar w:fldCharType="begin"/>
        </w:r>
        <w:r>
          <w:rPr>
            <w:noProof/>
            <w:webHidden/>
          </w:rPr>
          <w:instrText xml:space="preserve"> PAGEREF _Toc166762002 \h </w:instrText>
        </w:r>
        <w:r>
          <w:rPr>
            <w:noProof/>
            <w:webHidden/>
          </w:rPr>
          <w:fldChar w:fldCharType="separate"/>
        </w:r>
        <w:r>
          <w:rPr>
            <w:noProof/>
            <w:webHidden/>
          </w:rPr>
          <w:t>8</w:t>
        </w:r>
        <w:r>
          <w:rPr>
            <w:noProof/>
            <w:webHidden/>
          </w:rPr>
          <w:fldChar w:fldCharType="end"/>
        </w:r>
      </w:hyperlink>
    </w:p>
    <w:p w:rsidR="00AA59F4" w14:paraId="061DDF6B" w14:textId="073854A5">
      <w:pPr>
        <w:pStyle w:val="TOC3"/>
        <w:rPr>
          <w:rFonts w:asciiTheme="minorHAnsi" w:eastAsiaTheme="minorEastAsia" w:hAnsiTheme="minorHAnsi"/>
          <w:noProof/>
          <w:color w:val="auto"/>
          <w:szCs w:val="22"/>
          <w14:ligatures w14:val="standardContextual"/>
        </w:rPr>
      </w:pPr>
      <w:hyperlink w:anchor="_Toc166762003" w:history="1">
        <w:r w:rsidRPr="00736296">
          <w:rPr>
            <w:rStyle w:val="Hyperlink"/>
            <w:noProof/>
          </w:rPr>
          <w:t xml:space="preserve">2.4.5 </w:t>
        </w:r>
        <w:r w:rsidRPr="00736296">
          <w:rPr>
            <w:rStyle w:val="Hyperlink"/>
            <w:noProof/>
          </w:rPr>
          <w:t>证券市场</w:t>
        </w:r>
        <w:r>
          <w:rPr>
            <w:noProof/>
            <w:webHidden/>
          </w:rPr>
          <w:tab/>
        </w:r>
        <w:r>
          <w:rPr>
            <w:noProof/>
            <w:webHidden/>
          </w:rPr>
          <w:fldChar w:fldCharType="begin"/>
        </w:r>
        <w:r>
          <w:rPr>
            <w:noProof/>
            <w:webHidden/>
          </w:rPr>
          <w:instrText xml:space="preserve"> PAGEREF _Toc166762003 \h </w:instrText>
        </w:r>
        <w:r>
          <w:rPr>
            <w:noProof/>
            <w:webHidden/>
          </w:rPr>
          <w:fldChar w:fldCharType="separate"/>
        </w:r>
        <w:r>
          <w:rPr>
            <w:noProof/>
            <w:webHidden/>
          </w:rPr>
          <w:t>9</w:t>
        </w:r>
        <w:r>
          <w:rPr>
            <w:noProof/>
            <w:webHidden/>
          </w:rPr>
          <w:fldChar w:fldCharType="end"/>
        </w:r>
      </w:hyperlink>
    </w:p>
    <w:p w:rsidR="00AA59F4" w14:paraId="4310C69D" w14:textId="150C3032">
      <w:pPr>
        <w:pStyle w:val="TOC2"/>
        <w:tabs>
          <w:tab w:val="right" w:pos="9736"/>
        </w:tabs>
        <w:rPr>
          <w:rFonts w:asciiTheme="minorHAnsi" w:eastAsiaTheme="minorEastAsia" w:hAnsiTheme="minorHAnsi"/>
          <w:b w:val="0"/>
          <w:noProof/>
          <w:color w:val="auto"/>
          <w:spacing w:val="0"/>
          <w:kern w:val="2"/>
          <w:lang w:eastAsia="zh-CN"/>
          <w14:ligatures w14:val="standardContextual"/>
        </w:rPr>
      </w:pPr>
      <w:hyperlink w:anchor="_Toc166762004" w:history="1">
        <w:r w:rsidRPr="00736296">
          <w:rPr>
            <w:rStyle w:val="Hyperlink"/>
            <w:noProof/>
          </w:rPr>
          <w:t xml:space="preserve">2.5 </w:t>
        </w:r>
        <w:r w:rsidRPr="00736296">
          <w:rPr>
            <w:rStyle w:val="Hyperlink"/>
            <w:noProof/>
          </w:rPr>
          <w:t>国际经贸合作</w:t>
        </w:r>
        <w:r>
          <w:rPr>
            <w:noProof/>
            <w:webHidden/>
          </w:rPr>
          <w:tab/>
        </w:r>
        <w:r>
          <w:rPr>
            <w:noProof/>
            <w:webHidden/>
          </w:rPr>
          <w:fldChar w:fldCharType="begin"/>
        </w:r>
        <w:r>
          <w:rPr>
            <w:noProof/>
            <w:webHidden/>
          </w:rPr>
          <w:instrText xml:space="preserve"> PAGEREF _Toc166762004 \h </w:instrText>
        </w:r>
        <w:r>
          <w:rPr>
            <w:noProof/>
            <w:webHidden/>
          </w:rPr>
          <w:fldChar w:fldCharType="separate"/>
        </w:r>
        <w:r>
          <w:rPr>
            <w:noProof/>
            <w:webHidden/>
          </w:rPr>
          <w:t>9</w:t>
        </w:r>
        <w:r>
          <w:rPr>
            <w:noProof/>
            <w:webHidden/>
          </w:rPr>
          <w:fldChar w:fldCharType="end"/>
        </w:r>
      </w:hyperlink>
    </w:p>
    <w:p w:rsidR="00AA59F4" w14:paraId="75A05E75" w14:textId="7830DC0D">
      <w:pPr>
        <w:pStyle w:val="TOC3"/>
        <w:rPr>
          <w:rFonts w:asciiTheme="minorHAnsi" w:eastAsiaTheme="minorEastAsia" w:hAnsiTheme="minorHAnsi"/>
          <w:noProof/>
          <w:color w:val="auto"/>
          <w:szCs w:val="22"/>
          <w14:ligatures w14:val="standardContextual"/>
        </w:rPr>
      </w:pPr>
      <w:hyperlink w:anchor="_Toc166762005" w:history="1">
        <w:r w:rsidRPr="00736296">
          <w:rPr>
            <w:rStyle w:val="Hyperlink"/>
            <w:noProof/>
          </w:rPr>
          <w:t xml:space="preserve">2.5.1 </w:t>
        </w:r>
        <w:r w:rsidRPr="00736296">
          <w:rPr>
            <w:rStyle w:val="Hyperlink"/>
            <w:noProof/>
          </w:rPr>
          <w:t>进出口贸易</w:t>
        </w:r>
        <w:r>
          <w:rPr>
            <w:noProof/>
            <w:webHidden/>
          </w:rPr>
          <w:tab/>
        </w:r>
        <w:r>
          <w:rPr>
            <w:noProof/>
            <w:webHidden/>
          </w:rPr>
          <w:fldChar w:fldCharType="begin"/>
        </w:r>
        <w:r>
          <w:rPr>
            <w:noProof/>
            <w:webHidden/>
          </w:rPr>
          <w:instrText xml:space="preserve"> PAGEREF _Toc166762005 \h </w:instrText>
        </w:r>
        <w:r>
          <w:rPr>
            <w:noProof/>
            <w:webHidden/>
          </w:rPr>
          <w:fldChar w:fldCharType="separate"/>
        </w:r>
        <w:r>
          <w:rPr>
            <w:noProof/>
            <w:webHidden/>
          </w:rPr>
          <w:t>9</w:t>
        </w:r>
        <w:r>
          <w:rPr>
            <w:noProof/>
            <w:webHidden/>
          </w:rPr>
          <w:fldChar w:fldCharType="end"/>
        </w:r>
      </w:hyperlink>
    </w:p>
    <w:p w:rsidR="00AA59F4" w14:paraId="24549E26" w14:textId="1E1937AC">
      <w:pPr>
        <w:pStyle w:val="TOC3"/>
        <w:rPr>
          <w:rFonts w:asciiTheme="minorHAnsi" w:eastAsiaTheme="minorEastAsia" w:hAnsiTheme="minorHAnsi"/>
          <w:noProof/>
          <w:color w:val="auto"/>
          <w:szCs w:val="22"/>
          <w14:ligatures w14:val="standardContextual"/>
        </w:rPr>
      </w:pPr>
      <w:hyperlink w:anchor="_Toc166762006" w:history="1">
        <w:r w:rsidRPr="00736296">
          <w:rPr>
            <w:rStyle w:val="Hyperlink"/>
            <w:noProof/>
          </w:rPr>
          <w:t xml:space="preserve">2.5.2 </w:t>
        </w:r>
        <w:r w:rsidRPr="00736296">
          <w:rPr>
            <w:rStyle w:val="Hyperlink"/>
            <w:noProof/>
          </w:rPr>
          <w:t>外国投资</w:t>
        </w:r>
        <w:r>
          <w:rPr>
            <w:noProof/>
            <w:webHidden/>
          </w:rPr>
          <w:tab/>
        </w:r>
        <w:r>
          <w:rPr>
            <w:noProof/>
            <w:webHidden/>
          </w:rPr>
          <w:fldChar w:fldCharType="begin"/>
        </w:r>
        <w:r>
          <w:rPr>
            <w:noProof/>
            <w:webHidden/>
          </w:rPr>
          <w:instrText xml:space="preserve"> PAGEREF _Toc166762006 \h </w:instrText>
        </w:r>
        <w:r>
          <w:rPr>
            <w:noProof/>
            <w:webHidden/>
          </w:rPr>
          <w:fldChar w:fldCharType="separate"/>
        </w:r>
        <w:r>
          <w:rPr>
            <w:noProof/>
            <w:webHidden/>
          </w:rPr>
          <w:t>9</w:t>
        </w:r>
        <w:r>
          <w:rPr>
            <w:noProof/>
            <w:webHidden/>
          </w:rPr>
          <w:fldChar w:fldCharType="end"/>
        </w:r>
      </w:hyperlink>
    </w:p>
    <w:p w:rsidR="00AA59F4" w14:paraId="5D43E428" w14:textId="6C0A14EE">
      <w:pPr>
        <w:pStyle w:val="TOC3"/>
        <w:rPr>
          <w:rFonts w:asciiTheme="minorHAnsi" w:eastAsiaTheme="minorEastAsia" w:hAnsiTheme="minorHAnsi"/>
          <w:noProof/>
          <w:color w:val="auto"/>
          <w:szCs w:val="22"/>
          <w14:ligatures w14:val="standardContextual"/>
        </w:rPr>
      </w:pPr>
      <w:hyperlink w:anchor="_Toc166762007" w:history="1">
        <w:r w:rsidRPr="00736296">
          <w:rPr>
            <w:rStyle w:val="Hyperlink"/>
            <w:noProof/>
          </w:rPr>
          <w:t xml:space="preserve">2.5.3 </w:t>
        </w:r>
        <w:r w:rsidRPr="00736296">
          <w:rPr>
            <w:rStyle w:val="Hyperlink"/>
            <w:noProof/>
          </w:rPr>
          <w:t>已参与贸易协定</w:t>
        </w:r>
        <w:r>
          <w:rPr>
            <w:noProof/>
            <w:webHidden/>
          </w:rPr>
          <w:tab/>
        </w:r>
        <w:r>
          <w:rPr>
            <w:noProof/>
            <w:webHidden/>
          </w:rPr>
          <w:fldChar w:fldCharType="begin"/>
        </w:r>
        <w:r>
          <w:rPr>
            <w:noProof/>
            <w:webHidden/>
          </w:rPr>
          <w:instrText xml:space="preserve"> PAGEREF _Toc166762007 \h </w:instrText>
        </w:r>
        <w:r>
          <w:rPr>
            <w:noProof/>
            <w:webHidden/>
          </w:rPr>
          <w:fldChar w:fldCharType="separate"/>
        </w:r>
        <w:r>
          <w:rPr>
            <w:noProof/>
            <w:webHidden/>
          </w:rPr>
          <w:t>10</w:t>
        </w:r>
        <w:r>
          <w:rPr>
            <w:noProof/>
            <w:webHidden/>
          </w:rPr>
          <w:fldChar w:fldCharType="end"/>
        </w:r>
      </w:hyperlink>
    </w:p>
    <w:p w:rsidR="00AA59F4" w14:paraId="1094AFE5" w14:textId="124F3F9A">
      <w:pPr>
        <w:pStyle w:val="TOC2"/>
        <w:tabs>
          <w:tab w:val="right" w:pos="9736"/>
        </w:tabs>
        <w:rPr>
          <w:rFonts w:asciiTheme="minorHAnsi" w:eastAsiaTheme="minorEastAsia" w:hAnsiTheme="minorHAnsi"/>
          <w:b w:val="0"/>
          <w:noProof/>
          <w:color w:val="auto"/>
          <w:spacing w:val="0"/>
          <w:kern w:val="2"/>
          <w:lang w:eastAsia="zh-CN"/>
          <w14:ligatures w14:val="standardContextual"/>
        </w:rPr>
      </w:pPr>
      <w:hyperlink w:anchor="_Toc166762008" w:history="1">
        <w:r w:rsidRPr="00736296">
          <w:rPr>
            <w:rStyle w:val="Hyperlink"/>
            <w:noProof/>
          </w:rPr>
          <w:t xml:space="preserve">2.6 </w:t>
        </w:r>
        <w:r w:rsidRPr="00736296">
          <w:rPr>
            <w:rStyle w:val="Hyperlink"/>
            <w:noProof/>
          </w:rPr>
          <w:t>中国与印尼合作</w:t>
        </w:r>
        <w:r>
          <w:rPr>
            <w:noProof/>
            <w:webHidden/>
          </w:rPr>
          <w:tab/>
        </w:r>
        <w:r>
          <w:rPr>
            <w:noProof/>
            <w:webHidden/>
          </w:rPr>
          <w:fldChar w:fldCharType="begin"/>
        </w:r>
        <w:r>
          <w:rPr>
            <w:noProof/>
            <w:webHidden/>
          </w:rPr>
          <w:instrText xml:space="preserve"> PAGEREF _Toc166762008 \h </w:instrText>
        </w:r>
        <w:r>
          <w:rPr>
            <w:noProof/>
            <w:webHidden/>
          </w:rPr>
          <w:fldChar w:fldCharType="separate"/>
        </w:r>
        <w:r>
          <w:rPr>
            <w:noProof/>
            <w:webHidden/>
          </w:rPr>
          <w:t>10</w:t>
        </w:r>
        <w:r>
          <w:rPr>
            <w:noProof/>
            <w:webHidden/>
          </w:rPr>
          <w:fldChar w:fldCharType="end"/>
        </w:r>
      </w:hyperlink>
    </w:p>
    <w:p w:rsidR="00AA59F4" w14:paraId="332CA41B" w14:textId="61BDDD82">
      <w:pPr>
        <w:pStyle w:val="TOC3"/>
        <w:rPr>
          <w:rFonts w:asciiTheme="minorHAnsi" w:eastAsiaTheme="minorEastAsia" w:hAnsiTheme="minorHAnsi"/>
          <w:noProof/>
          <w:color w:val="auto"/>
          <w:szCs w:val="22"/>
          <w14:ligatures w14:val="standardContextual"/>
        </w:rPr>
      </w:pPr>
      <w:hyperlink w:anchor="_Toc166762009" w:history="1">
        <w:r w:rsidRPr="00736296">
          <w:rPr>
            <w:rStyle w:val="Hyperlink"/>
            <w:noProof/>
          </w:rPr>
          <w:t xml:space="preserve">2.6.1 </w:t>
        </w:r>
        <w:r w:rsidRPr="00736296">
          <w:rPr>
            <w:rStyle w:val="Hyperlink"/>
            <w:noProof/>
          </w:rPr>
          <w:t>中国</w:t>
        </w:r>
        <w:r w:rsidRPr="00736296">
          <w:rPr>
            <w:rStyle w:val="Hyperlink"/>
            <w:noProof/>
          </w:rPr>
          <w:t xml:space="preserve"> - </w:t>
        </w:r>
        <w:r w:rsidRPr="00736296">
          <w:rPr>
            <w:rStyle w:val="Hyperlink"/>
            <w:noProof/>
          </w:rPr>
          <w:t>印尼经贸合作：海上丝绸之路</w:t>
        </w:r>
        <w:r>
          <w:rPr>
            <w:noProof/>
            <w:webHidden/>
          </w:rPr>
          <w:tab/>
        </w:r>
        <w:r>
          <w:rPr>
            <w:noProof/>
            <w:webHidden/>
          </w:rPr>
          <w:fldChar w:fldCharType="begin"/>
        </w:r>
        <w:r>
          <w:rPr>
            <w:noProof/>
            <w:webHidden/>
          </w:rPr>
          <w:instrText xml:space="preserve"> PAGEREF _Toc166762009 \h </w:instrText>
        </w:r>
        <w:r>
          <w:rPr>
            <w:noProof/>
            <w:webHidden/>
          </w:rPr>
          <w:fldChar w:fldCharType="separate"/>
        </w:r>
        <w:r>
          <w:rPr>
            <w:noProof/>
            <w:webHidden/>
          </w:rPr>
          <w:t>10</w:t>
        </w:r>
        <w:r>
          <w:rPr>
            <w:noProof/>
            <w:webHidden/>
          </w:rPr>
          <w:fldChar w:fldCharType="end"/>
        </w:r>
      </w:hyperlink>
    </w:p>
    <w:p w:rsidR="00AA59F4" w14:paraId="52A07753" w14:textId="2F508569">
      <w:pPr>
        <w:pStyle w:val="TOC3"/>
        <w:rPr>
          <w:rFonts w:asciiTheme="minorHAnsi" w:eastAsiaTheme="minorEastAsia" w:hAnsiTheme="minorHAnsi"/>
          <w:noProof/>
          <w:color w:val="auto"/>
          <w:szCs w:val="22"/>
          <w14:ligatures w14:val="standardContextual"/>
        </w:rPr>
      </w:pPr>
      <w:hyperlink w:anchor="_Toc166762010" w:history="1">
        <w:r w:rsidRPr="00736296">
          <w:rPr>
            <w:rStyle w:val="Hyperlink"/>
            <w:noProof/>
          </w:rPr>
          <w:t xml:space="preserve">2.6.2 </w:t>
        </w:r>
        <w:r w:rsidRPr="00736296">
          <w:rPr>
            <w:rStyle w:val="Hyperlink"/>
            <w:noProof/>
          </w:rPr>
          <w:t>政策演进</w:t>
        </w:r>
        <w:r>
          <w:rPr>
            <w:noProof/>
            <w:webHidden/>
          </w:rPr>
          <w:tab/>
        </w:r>
        <w:r>
          <w:rPr>
            <w:noProof/>
            <w:webHidden/>
          </w:rPr>
          <w:fldChar w:fldCharType="begin"/>
        </w:r>
        <w:r>
          <w:rPr>
            <w:noProof/>
            <w:webHidden/>
          </w:rPr>
          <w:instrText xml:space="preserve"> PAGEREF _Toc166762010 \h </w:instrText>
        </w:r>
        <w:r>
          <w:rPr>
            <w:noProof/>
            <w:webHidden/>
          </w:rPr>
          <w:fldChar w:fldCharType="separate"/>
        </w:r>
        <w:r>
          <w:rPr>
            <w:noProof/>
            <w:webHidden/>
          </w:rPr>
          <w:t>11</w:t>
        </w:r>
        <w:r>
          <w:rPr>
            <w:noProof/>
            <w:webHidden/>
          </w:rPr>
          <w:fldChar w:fldCharType="end"/>
        </w:r>
      </w:hyperlink>
    </w:p>
    <w:p w:rsidR="00AA59F4" w14:paraId="710E8AFC" w14:textId="7ACB488A">
      <w:pPr>
        <w:pStyle w:val="TOC3"/>
        <w:rPr>
          <w:rFonts w:asciiTheme="minorHAnsi" w:eastAsiaTheme="minorEastAsia" w:hAnsiTheme="minorHAnsi"/>
          <w:noProof/>
          <w:color w:val="auto"/>
          <w:szCs w:val="22"/>
          <w14:ligatures w14:val="standardContextual"/>
        </w:rPr>
      </w:pPr>
      <w:hyperlink w:anchor="_Toc166762011" w:history="1">
        <w:r w:rsidRPr="00736296">
          <w:rPr>
            <w:rStyle w:val="Hyperlink"/>
            <w:noProof/>
          </w:rPr>
          <w:t xml:space="preserve">2.6.3 </w:t>
        </w:r>
        <w:r w:rsidRPr="00736296">
          <w:rPr>
            <w:rStyle w:val="Hyperlink"/>
            <w:noProof/>
          </w:rPr>
          <w:t>资金融通</w:t>
        </w:r>
        <w:r>
          <w:rPr>
            <w:noProof/>
            <w:webHidden/>
          </w:rPr>
          <w:tab/>
        </w:r>
        <w:r>
          <w:rPr>
            <w:noProof/>
            <w:webHidden/>
          </w:rPr>
          <w:fldChar w:fldCharType="begin"/>
        </w:r>
        <w:r>
          <w:rPr>
            <w:noProof/>
            <w:webHidden/>
          </w:rPr>
          <w:instrText xml:space="preserve"> PAGEREF _Toc166762011 \h </w:instrText>
        </w:r>
        <w:r>
          <w:rPr>
            <w:noProof/>
            <w:webHidden/>
          </w:rPr>
          <w:fldChar w:fldCharType="separate"/>
        </w:r>
        <w:r>
          <w:rPr>
            <w:noProof/>
            <w:webHidden/>
          </w:rPr>
          <w:t>11</w:t>
        </w:r>
        <w:r>
          <w:rPr>
            <w:noProof/>
            <w:webHidden/>
          </w:rPr>
          <w:fldChar w:fldCharType="end"/>
        </w:r>
      </w:hyperlink>
    </w:p>
    <w:p w:rsidR="00AA59F4" w14:paraId="55F6CB99" w14:textId="7B08A267">
      <w:pPr>
        <w:pStyle w:val="TOC3"/>
        <w:rPr>
          <w:rFonts w:asciiTheme="minorHAnsi" w:eastAsiaTheme="minorEastAsia" w:hAnsiTheme="minorHAnsi"/>
          <w:noProof/>
          <w:color w:val="auto"/>
          <w:szCs w:val="22"/>
          <w14:ligatures w14:val="standardContextual"/>
        </w:rPr>
      </w:pPr>
      <w:hyperlink w:anchor="_Toc166762012" w:history="1">
        <w:r w:rsidRPr="00736296">
          <w:rPr>
            <w:rStyle w:val="Hyperlink"/>
            <w:noProof/>
          </w:rPr>
          <w:t xml:space="preserve">2.6.4 </w:t>
        </w:r>
        <w:r w:rsidRPr="00736296">
          <w:rPr>
            <w:rStyle w:val="Hyperlink"/>
            <w:noProof/>
          </w:rPr>
          <w:t>企业出海</w:t>
        </w:r>
        <w:r>
          <w:rPr>
            <w:noProof/>
            <w:webHidden/>
          </w:rPr>
          <w:tab/>
        </w:r>
        <w:r>
          <w:rPr>
            <w:noProof/>
            <w:webHidden/>
          </w:rPr>
          <w:fldChar w:fldCharType="begin"/>
        </w:r>
        <w:r>
          <w:rPr>
            <w:noProof/>
            <w:webHidden/>
          </w:rPr>
          <w:instrText xml:space="preserve"> PAGEREF _Toc166762012 \h </w:instrText>
        </w:r>
        <w:r>
          <w:rPr>
            <w:noProof/>
            <w:webHidden/>
          </w:rPr>
          <w:fldChar w:fldCharType="separate"/>
        </w:r>
        <w:r>
          <w:rPr>
            <w:noProof/>
            <w:webHidden/>
          </w:rPr>
          <w:t>11</w:t>
        </w:r>
        <w:r>
          <w:rPr>
            <w:noProof/>
            <w:webHidden/>
          </w:rPr>
          <w:fldChar w:fldCharType="end"/>
        </w:r>
      </w:hyperlink>
    </w:p>
    <w:p w:rsidR="00AA59F4" w14:paraId="77ED95B4" w14:textId="61583A59">
      <w:pPr>
        <w:pStyle w:val="TOC3"/>
        <w:rPr>
          <w:rFonts w:asciiTheme="minorHAnsi" w:eastAsiaTheme="minorEastAsia" w:hAnsiTheme="minorHAnsi"/>
          <w:noProof/>
          <w:color w:val="auto"/>
          <w:szCs w:val="22"/>
          <w14:ligatures w14:val="standardContextual"/>
        </w:rPr>
      </w:pPr>
      <w:hyperlink w:anchor="_Toc166762013" w:history="1">
        <w:r w:rsidRPr="00736296">
          <w:rPr>
            <w:rStyle w:val="Hyperlink"/>
            <w:noProof/>
          </w:rPr>
          <w:t xml:space="preserve">2.6.5 </w:t>
        </w:r>
        <w:r w:rsidRPr="00736296">
          <w:rPr>
            <w:rStyle w:val="Hyperlink"/>
            <w:noProof/>
          </w:rPr>
          <w:t>从投资合作角度，</w:t>
        </w:r>
        <w:r w:rsidR="001C34EF">
          <w:rPr>
            <w:rStyle w:val="Hyperlink"/>
            <w:noProof/>
          </w:rPr>
          <w:t>东南亚市场</w:t>
        </w:r>
        <w:r w:rsidRPr="00736296">
          <w:rPr>
            <w:rStyle w:val="Hyperlink"/>
            <w:noProof/>
          </w:rPr>
          <w:t>的吸引力主要表现在以下方面：</w:t>
        </w:r>
        <w:r>
          <w:rPr>
            <w:noProof/>
            <w:webHidden/>
          </w:rPr>
          <w:tab/>
        </w:r>
        <w:r>
          <w:rPr>
            <w:noProof/>
            <w:webHidden/>
          </w:rPr>
          <w:fldChar w:fldCharType="begin"/>
        </w:r>
        <w:r>
          <w:rPr>
            <w:noProof/>
            <w:webHidden/>
          </w:rPr>
          <w:instrText xml:space="preserve"> PAGEREF _Toc166762013 \h </w:instrText>
        </w:r>
        <w:r>
          <w:rPr>
            <w:noProof/>
            <w:webHidden/>
          </w:rPr>
          <w:fldChar w:fldCharType="separate"/>
        </w:r>
        <w:r>
          <w:rPr>
            <w:noProof/>
            <w:webHidden/>
          </w:rPr>
          <w:t>11</w:t>
        </w:r>
        <w:r>
          <w:rPr>
            <w:noProof/>
            <w:webHidden/>
          </w:rPr>
          <w:fldChar w:fldCharType="end"/>
        </w:r>
      </w:hyperlink>
    </w:p>
    <w:p w:rsidR="00AA59F4" w14:paraId="70951485" w14:textId="4B72B2E0">
      <w:pPr>
        <w:pStyle w:val="TOC2"/>
        <w:tabs>
          <w:tab w:val="right" w:pos="9736"/>
        </w:tabs>
        <w:rPr>
          <w:rFonts w:asciiTheme="minorHAnsi" w:eastAsiaTheme="minorEastAsia" w:hAnsiTheme="minorHAnsi"/>
          <w:b w:val="0"/>
          <w:noProof/>
          <w:color w:val="auto"/>
          <w:spacing w:val="0"/>
          <w:kern w:val="2"/>
          <w:lang w:eastAsia="zh-CN"/>
          <w14:ligatures w14:val="standardContextual"/>
        </w:rPr>
      </w:pPr>
      <w:hyperlink w:anchor="_Toc166762014" w:history="1">
        <w:r w:rsidRPr="00736296">
          <w:rPr>
            <w:rStyle w:val="Hyperlink"/>
            <w:noProof/>
          </w:rPr>
          <w:t>2.7 2023“</w:t>
        </w:r>
        <w:r w:rsidRPr="00736296">
          <w:rPr>
            <w:rStyle w:val="Hyperlink"/>
            <w:noProof/>
          </w:rPr>
          <w:t>一带一路</w:t>
        </w:r>
        <w:r w:rsidRPr="00736296">
          <w:rPr>
            <w:rStyle w:val="Hyperlink"/>
            <w:noProof/>
          </w:rPr>
          <w:t>”</w:t>
        </w:r>
        <w:r w:rsidRPr="00736296">
          <w:rPr>
            <w:rStyle w:val="Hyperlink"/>
            <w:noProof/>
          </w:rPr>
          <w:t>共建国家基础设施发展指数</w:t>
        </w:r>
        <w:r>
          <w:rPr>
            <w:noProof/>
            <w:webHidden/>
          </w:rPr>
          <w:tab/>
        </w:r>
        <w:r>
          <w:rPr>
            <w:noProof/>
            <w:webHidden/>
          </w:rPr>
          <w:fldChar w:fldCharType="begin"/>
        </w:r>
        <w:r>
          <w:rPr>
            <w:noProof/>
            <w:webHidden/>
          </w:rPr>
          <w:instrText xml:space="preserve"> PAGEREF _Toc166762014 \h </w:instrText>
        </w:r>
        <w:r>
          <w:rPr>
            <w:noProof/>
            <w:webHidden/>
          </w:rPr>
          <w:fldChar w:fldCharType="separate"/>
        </w:r>
        <w:r>
          <w:rPr>
            <w:noProof/>
            <w:webHidden/>
          </w:rPr>
          <w:t>13</w:t>
        </w:r>
        <w:r>
          <w:rPr>
            <w:noProof/>
            <w:webHidden/>
          </w:rPr>
          <w:fldChar w:fldCharType="end"/>
        </w:r>
      </w:hyperlink>
    </w:p>
    <w:p w:rsidR="00AA59F4" w14:paraId="22413585" w14:textId="1C279BA5">
      <w:pPr>
        <w:pStyle w:val="TOC1"/>
        <w:rPr>
          <w:rFonts w:asciiTheme="minorHAnsi" w:eastAsiaTheme="minorEastAsia" w:hAnsiTheme="minorHAnsi" w:cstheme="minorBidi"/>
          <w:b w:val="0"/>
          <w:bCs w:val="0"/>
          <w:color w:val="auto"/>
          <w:kern w:val="2"/>
          <w:szCs w:val="22"/>
          <w:lang w:val="en-US" w:eastAsia="zh-CN"/>
          <w14:ligatures w14:val="standardContextual"/>
        </w:rPr>
      </w:pPr>
      <w:hyperlink w:anchor="_Toc166762015" w:history="1">
        <w:r w:rsidRPr="00736296">
          <w:rPr>
            <w:rStyle w:val="Hyperlink"/>
            <w:lang w:eastAsia="zh-CN"/>
          </w:rPr>
          <w:t xml:space="preserve">3 </w:t>
        </w:r>
        <w:r w:rsidRPr="00736296">
          <w:rPr>
            <w:rStyle w:val="Hyperlink"/>
            <w:lang w:eastAsia="zh-CN"/>
          </w:rPr>
          <w:t>行业竞争格局</w:t>
        </w:r>
        <w:r>
          <w:rPr>
            <w:webHidden/>
          </w:rPr>
          <w:tab/>
        </w:r>
        <w:r>
          <w:rPr>
            <w:webHidden/>
          </w:rPr>
          <w:fldChar w:fldCharType="begin"/>
        </w:r>
        <w:r>
          <w:rPr>
            <w:webHidden/>
          </w:rPr>
          <w:instrText xml:space="preserve"> PAGEREF _Toc166762015 \h </w:instrText>
        </w:r>
        <w:r>
          <w:rPr>
            <w:webHidden/>
          </w:rPr>
          <w:fldChar w:fldCharType="separate"/>
        </w:r>
        <w:r>
          <w:rPr>
            <w:webHidden/>
          </w:rPr>
          <w:t>15</w:t>
        </w:r>
        <w:r>
          <w:rPr>
            <w:webHidden/>
          </w:rPr>
          <w:fldChar w:fldCharType="end"/>
        </w:r>
      </w:hyperlink>
    </w:p>
    <w:p w:rsidR="00AA59F4" w14:paraId="3AAEE4E4" w14:textId="772A90BD">
      <w:pPr>
        <w:pStyle w:val="TOC2"/>
        <w:tabs>
          <w:tab w:val="right" w:pos="9736"/>
        </w:tabs>
        <w:rPr>
          <w:rFonts w:asciiTheme="minorHAnsi" w:eastAsiaTheme="minorEastAsia" w:hAnsiTheme="minorHAnsi"/>
          <w:b w:val="0"/>
          <w:noProof/>
          <w:color w:val="auto"/>
          <w:spacing w:val="0"/>
          <w:kern w:val="2"/>
          <w:lang w:eastAsia="zh-CN"/>
          <w14:ligatures w14:val="standardContextual"/>
        </w:rPr>
      </w:pPr>
      <w:hyperlink w:anchor="_Toc166762016" w:history="1">
        <w:r w:rsidRPr="00736296">
          <w:rPr>
            <w:rStyle w:val="Hyperlink"/>
            <w:noProof/>
            <w:lang w:val="en-IN"/>
          </w:rPr>
          <w:t>3.1</w:t>
        </w:r>
        <w:r w:rsidRPr="00736296">
          <w:rPr>
            <w:rStyle w:val="Hyperlink"/>
            <w:noProof/>
          </w:rPr>
          <w:t xml:space="preserve"> </w:t>
        </w:r>
        <w:r w:rsidRPr="00736296">
          <w:rPr>
            <w:rStyle w:val="Hyperlink"/>
            <w:noProof/>
          </w:rPr>
          <w:t>全球市场</w:t>
        </w:r>
        <w:r w:rsidRPr="00736296">
          <w:rPr>
            <w:rStyle w:val="Hyperlink"/>
            <w:noProof/>
          </w:rPr>
          <w:t>电子式热分配表(HCA)</w:t>
        </w:r>
        <w:r w:rsidRPr="00736296">
          <w:rPr>
            <w:rStyle w:val="Hyperlink"/>
            <w:noProof/>
          </w:rPr>
          <w:t>竞争格局</w:t>
        </w:r>
        <w:r>
          <w:rPr>
            <w:noProof/>
            <w:webHidden/>
          </w:rPr>
          <w:tab/>
        </w:r>
        <w:r>
          <w:rPr>
            <w:noProof/>
            <w:webHidden/>
          </w:rPr>
          <w:fldChar w:fldCharType="begin"/>
        </w:r>
        <w:r>
          <w:rPr>
            <w:noProof/>
            <w:webHidden/>
          </w:rPr>
          <w:instrText xml:space="preserve"> PAGEREF _Toc166762016 \h </w:instrText>
        </w:r>
        <w:r>
          <w:rPr>
            <w:noProof/>
            <w:webHidden/>
          </w:rPr>
          <w:fldChar w:fldCharType="separate"/>
        </w:r>
        <w:r>
          <w:rPr>
            <w:noProof/>
            <w:webHidden/>
          </w:rPr>
          <w:t>15</w:t>
        </w:r>
        <w:r>
          <w:rPr>
            <w:noProof/>
            <w:webHidden/>
          </w:rPr>
          <w:fldChar w:fldCharType="end"/>
        </w:r>
      </w:hyperlink>
    </w:p>
    <w:p w:rsidR="00AA59F4" w14:paraId="628FD3CC" w14:textId="38EC4850">
      <w:pPr>
        <w:pStyle w:val="TOC3"/>
        <w:rPr>
          <w:rFonts w:asciiTheme="minorHAnsi" w:eastAsiaTheme="minorEastAsia" w:hAnsiTheme="minorHAnsi"/>
          <w:noProof/>
          <w:color w:val="auto"/>
          <w:szCs w:val="22"/>
          <w14:ligatures w14:val="standardContextual"/>
        </w:rPr>
      </w:pPr>
      <w:hyperlink w:anchor="_Toc166762017" w:history="1">
        <w:r w:rsidRPr="00736296">
          <w:rPr>
            <w:rStyle w:val="Hyperlink"/>
            <w:noProof/>
          </w:rPr>
          <w:t xml:space="preserve">3.1.1 </w:t>
        </w:r>
        <w:r w:rsidRPr="00736296">
          <w:rPr>
            <w:rStyle w:val="Hyperlink"/>
            <w:noProof/>
          </w:rPr>
          <w:t>全球市场</w:t>
        </w:r>
        <w:r w:rsidRPr="00736296">
          <w:rPr>
            <w:rStyle w:val="Hyperlink"/>
            <w:noProof/>
          </w:rPr>
          <w:t>电子式热分配表(HCA)</w:t>
        </w:r>
        <w:r w:rsidRPr="00736296">
          <w:rPr>
            <w:rStyle w:val="Hyperlink"/>
            <w:noProof/>
          </w:rPr>
          <w:t>厂商份额（</w:t>
        </w:r>
        <w:r w:rsidRPr="00736296">
          <w:rPr>
            <w:rStyle w:val="Hyperlink"/>
            <w:noProof/>
          </w:rPr>
          <w:t>2023</w:t>
        </w:r>
        <w:r w:rsidRPr="00736296">
          <w:rPr>
            <w:rStyle w:val="Hyperlink"/>
            <w:noProof/>
          </w:rPr>
          <w:t>）</w:t>
        </w:r>
        <w:r>
          <w:rPr>
            <w:noProof/>
            <w:webHidden/>
          </w:rPr>
          <w:tab/>
        </w:r>
        <w:r>
          <w:rPr>
            <w:noProof/>
            <w:webHidden/>
          </w:rPr>
          <w:fldChar w:fldCharType="begin"/>
        </w:r>
        <w:r>
          <w:rPr>
            <w:noProof/>
            <w:webHidden/>
          </w:rPr>
          <w:instrText xml:space="preserve"> PAGEREF _Toc166762017 \h </w:instrText>
        </w:r>
        <w:r>
          <w:rPr>
            <w:noProof/>
            <w:webHidden/>
          </w:rPr>
          <w:fldChar w:fldCharType="separate"/>
        </w:r>
        <w:r>
          <w:rPr>
            <w:noProof/>
            <w:webHidden/>
          </w:rPr>
          <w:t>15</w:t>
        </w:r>
        <w:r>
          <w:rPr>
            <w:noProof/>
            <w:webHidden/>
          </w:rPr>
          <w:fldChar w:fldCharType="end"/>
        </w:r>
      </w:hyperlink>
    </w:p>
    <w:p w:rsidR="00AA59F4" w14:paraId="42BD1233" w14:textId="5FA39614">
      <w:pPr>
        <w:pStyle w:val="TOC3"/>
        <w:rPr>
          <w:rFonts w:asciiTheme="minorHAnsi" w:eastAsiaTheme="minorEastAsia" w:hAnsiTheme="minorHAnsi"/>
          <w:noProof/>
          <w:color w:val="auto"/>
          <w:szCs w:val="22"/>
          <w14:ligatures w14:val="standardContextual"/>
        </w:rPr>
      </w:pPr>
      <w:hyperlink w:anchor="_Toc166762018" w:history="1">
        <w:r w:rsidRPr="00736296">
          <w:rPr>
            <w:rStyle w:val="Hyperlink"/>
            <w:noProof/>
          </w:rPr>
          <w:t xml:space="preserve">3.1.2 </w:t>
        </w:r>
        <w:r w:rsidRPr="00736296">
          <w:rPr>
            <w:rStyle w:val="Hyperlink"/>
            <w:noProof/>
          </w:rPr>
          <w:t>全球市场</w:t>
        </w:r>
        <w:r w:rsidRPr="00736296">
          <w:rPr>
            <w:rStyle w:val="Hyperlink"/>
            <w:noProof/>
          </w:rPr>
          <w:t>电子式热分配表(HCA)</w:t>
        </w:r>
        <w:r w:rsidRPr="00736296">
          <w:rPr>
            <w:rStyle w:val="Hyperlink"/>
            <w:noProof/>
          </w:rPr>
          <w:t>竞争分析</w:t>
        </w:r>
        <w:r>
          <w:rPr>
            <w:noProof/>
            <w:webHidden/>
          </w:rPr>
          <w:tab/>
        </w:r>
        <w:r>
          <w:rPr>
            <w:noProof/>
            <w:webHidden/>
          </w:rPr>
          <w:fldChar w:fldCharType="begin"/>
        </w:r>
        <w:r>
          <w:rPr>
            <w:noProof/>
            <w:webHidden/>
          </w:rPr>
          <w:instrText xml:space="preserve"> PAGEREF _Toc166762018 \h </w:instrText>
        </w:r>
        <w:r>
          <w:rPr>
            <w:noProof/>
            <w:webHidden/>
          </w:rPr>
          <w:fldChar w:fldCharType="separate"/>
        </w:r>
        <w:r>
          <w:rPr>
            <w:noProof/>
            <w:webHidden/>
          </w:rPr>
          <w:t>15</w:t>
        </w:r>
        <w:r>
          <w:rPr>
            <w:noProof/>
            <w:webHidden/>
          </w:rPr>
          <w:fldChar w:fldCharType="end"/>
        </w:r>
      </w:hyperlink>
    </w:p>
    <w:p w:rsidR="00AA59F4" w14:paraId="6A70073D" w14:textId="08624B23">
      <w:pPr>
        <w:pStyle w:val="TOC3"/>
        <w:rPr>
          <w:rFonts w:asciiTheme="minorHAnsi" w:eastAsiaTheme="minorEastAsia" w:hAnsiTheme="minorHAnsi"/>
          <w:noProof/>
          <w:color w:val="auto"/>
          <w:szCs w:val="22"/>
          <w14:ligatures w14:val="standardContextual"/>
        </w:rPr>
      </w:pPr>
      <w:hyperlink w:anchor="_Toc166762019" w:history="1">
        <w:r w:rsidRPr="00736296">
          <w:rPr>
            <w:rStyle w:val="Hyperlink"/>
            <w:noProof/>
          </w:rPr>
          <w:t xml:space="preserve">3.1.3 </w:t>
        </w:r>
        <w:r w:rsidRPr="00736296">
          <w:rPr>
            <w:rStyle w:val="Hyperlink"/>
            <w:noProof/>
          </w:rPr>
          <w:t>主要厂商</w:t>
        </w:r>
        <w:r w:rsidRPr="00736296">
          <w:rPr>
            <w:rStyle w:val="Hyperlink"/>
            <w:noProof/>
          </w:rPr>
          <w:t>电子式热分配表(HCA)</w:t>
        </w:r>
        <w:r w:rsidRPr="00736296">
          <w:rPr>
            <w:rStyle w:val="Hyperlink"/>
            <w:noProof/>
          </w:rPr>
          <w:t>总部及产地分布</w:t>
        </w:r>
        <w:r>
          <w:rPr>
            <w:noProof/>
            <w:webHidden/>
          </w:rPr>
          <w:tab/>
        </w:r>
        <w:r>
          <w:rPr>
            <w:noProof/>
            <w:webHidden/>
          </w:rPr>
          <w:fldChar w:fldCharType="begin"/>
        </w:r>
        <w:r>
          <w:rPr>
            <w:noProof/>
            <w:webHidden/>
          </w:rPr>
          <w:instrText xml:space="preserve"> PAGEREF _Toc166762019 \h </w:instrText>
        </w:r>
        <w:r>
          <w:rPr>
            <w:noProof/>
            <w:webHidden/>
          </w:rPr>
          <w:fldChar w:fldCharType="separate"/>
        </w:r>
        <w:r>
          <w:rPr>
            <w:noProof/>
            <w:webHidden/>
          </w:rPr>
          <w:t>15</w:t>
        </w:r>
        <w:r>
          <w:rPr>
            <w:noProof/>
            <w:webHidden/>
          </w:rPr>
          <w:fldChar w:fldCharType="end"/>
        </w:r>
      </w:hyperlink>
    </w:p>
    <w:p w:rsidR="00AA59F4" w14:paraId="66D2B1C2" w14:textId="3D7C1B9F">
      <w:pPr>
        <w:pStyle w:val="TOC3"/>
        <w:rPr>
          <w:rFonts w:asciiTheme="minorHAnsi" w:eastAsiaTheme="minorEastAsia" w:hAnsiTheme="minorHAnsi"/>
          <w:noProof/>
          <w:color w:val="auto"/>
          <w:szCs w:val="22"/>
          <w14:ligatures w14:val="standardContextual"/>
        </w:rPr>
      </w:pPr>
      <w:hyperlink w:anchor="_Toc166762020" w:history="1">
        <w:r w:rsidRPr="00736296">
          <w:rPr>
            <w:rStyle w:val="Hyperlink"/>
            <w:noProof/>
          </w:rPr>
          <w:t xml:space="preserve">3.1.4 </w:t>
        </w:r>
        <w:r w:rsidRPr="00736296">
          <w:rPr>
            <w:rStyle w:val="Hyperlink"/>
            <w:noProof/>
          </w:rPr>
          <w:t>主要厂商</w:t>
        </w:r>
        <w:r w:rsidRPr="00736296">
          <w:rPr>
            <w:rStyle w:val="Hyperlink"/>
            <w:noProof/>
          </w:rPr>
          <w:t>电子式热分配表(HCA)</w:t>
        </w:r>
        <w:r w:rsidRPr="00736296">
          <w:rPr>
            <w:rStyle w:val="Hyperlink"/>
            <w:noProof/>
          </w:rPr>
          <w:t>产品类型及应用</w:t>
        </w:r>
        <w:r>
          <w:rPr>
            <w:noProof/>
            <w:webHidden/>
          </w:rPr>
          <w:tab/>
        </w:r>
        <w:r>
          <w:rPr>
            <w:noProof/>
            <w:webHidden/>
          </w:rPr>
          <w:fldChar w:fldCharType="begin"/>
        </w:r>
        <w:r>
          <w:rPr>
            <w:noProof/>
            <w:webHidden/>
          </w:rPr>
          <w:instrText xml:space="preserve"> PAGEREF _Toc166762020 \h </w:instrText>
        </w:r>
        <w:r>
          <w:rPr>
            <w:noProof/>
            <w:webHidden/>
          </w:rPr>
          <w:fldChar w:fldCharType="separate"/>
        </w:r>
        <w:r>
          <w:rPr>
            <w:noProof/>
            <w:webHidden/>
          </w:rPr>
          <w:t>17</w:t>
        </w:r>
        <w:r>
          <w:rPr>
            <w:noProof/>
            <w:webHidden/>
          </w:rPr>
          <w:fldChar w:fldCharType="end"/>
        </w:r>
      </w:hyperlink>
    </w:p>
    <w:p w:rsidR="00AA59F4" w14:paraId="3BFA5052" w14:textId="38CC19D8">
      <w:pPr>
        <w:pStyle w:val="TOC2"/>
        <w:tabs>
          <w:tab w:val="right" w:pos="9736"/>
        </w:tabs>
        <w:rPr>
          <w:rFonts w:asciiTheme="minorHAnsi" w:eastAsiaTheme="minorEastAsia" w:hAnsiTheme="minorHAnsi"/>
          <w:b w:val="0"/>
          <w:noProof/>
          <w:color w:val="auto"/>
          <w:spacing w:val="0"/>
          <w:kern w:val="2"/>
          <w:lang w:eastAsia="zh-CN"/>
          <w14:ligatures w14:val="standardContextual"/>
        </w:rPr>
      </w:pPr>
      <w:hyperlink w:anchor="_Toc166762021" w:history="1">
        <w:r w:rsidRPr="00736296">
          <w:rPr>
            <w:rStyle w:val="Hyperlink"/>
            <w:noProof/>
          </w:rPr>
          <w:t xml:space="preserve">3.2 </w:t>
        </w:r>
        <w:r w:rsidR="001C34EF">
          <w:rPr>
            <w:rStyle w:val="Hyperlink"/>
            <w:noProof/>
          </w:rPr>
          <w:t>东南亚市场</w:t>
        </w:r>
        <w:r w:rsidR="001C34EF">
          <w:rPr>
            <w:rStyle w:val="Hyperlink"/>
            <w:noProof/>
          </w:rPr>
          <w:t>电子式热分配表(HCA)</w:t>
        </w:r>
        <w:r w:rsidRPr="00736296">
          <w:rPr>
            <w:rStyle w:val="Hyperlink"/>
            <w:noProof/>
          </w:rPr>
          <w:t>竞争格局</w:t>
        </w:r>
        <w:r>
          <w:rPr>
            <w:noProof/>
            <w:webHidden/>
          </w:rPr>
          <w:tab/>
        </w:r>
        <w:r>
          <w:rPr>
            <w:noProof/>
            <w:webHidden/>
          </w:rPr>
          <w:fldChar w:fldCharType="begin"/>
        </w:r>
        <w:r>
          <w:rPr>
            <w:noProof/>
            <w:webHidden/>
          </w:rPr>
          <w:instrText xml:space="preserve"> PAGEREF _Toc166762021 \h </w:instrText>
        </w:r>
        <w:r>
          <w:rPr>
            <w:noProof/>
            <w:webHidden/>
          </w:rPr>
          <w:fldChar w:fldCharType="separate"/>
        </w:r>
        <w:r>
          <w:rPr>
            <w:noProof/>
            <w:webHidden/>
          </w:rPr>
          <w:t>18</w:t>
        </w:r>
        <w:r>
          <w:rPr>
            <w:noProof/>
            <w:webHidden/>
          </w:rPr>
          <w:fldChar w:fldCharType="end"/>
        </w:r>
      </w:hyperlink>
    </w:p>
    <w:p w:rsidR="00AA59F4" w14:paraId="0CE82266" w14:textId="3229B17B">
      <w:pPr>
        <w:pStyle w:val="TOC3"/>
        <w:rPr>
          <w:rFonts w:asciiTheme="minorHAnsi" w:eastAsiaTheme="minorEastAsia" w:hAnsiTheme="minorHAnsi"/>
          <w:noProof/>
          <w:color w:val="auto"/>
          <w:szCs w:val="22"/>
          <w14:ligatures w14:val="standardContextual"/>
        </w:rPr>
      </w:pPr>
      <w:hyperlink w:anchor="_Toc166762022" w:history="1">
        <w:r w:rsidRPr="00736296">
          <w:rPr>
            <w:rStyle w:val="Hyperlink"/>
            <w:noProof/>
          </w:rPr>
          <w:t xml:space="preserve">3.2.1 </w:t>
        </w:r>
        <w:r w:rsidR="001C34EF">
          <w:rPr>
            <w:rStyle w:val="Hyperlink"/>
            <w:noProof/>
          </w:rPr>
          <w:t>东南亚市场</w:t>
        </w:r>
        <w:r w:rsidRPr="00736296">
          <w:rPr>
            <w:rStyle w:val="Hyperlink"/>
            <w:noProof/>
          </w:rPr>
          <w:t>主要厂商</w:t>
        </w:r>
        <w:r w:rsidRPr="00736296">
          <w:rPr>
            <w:rStyle w:val="Hyperlink"/>
            <w:noProof/>
          </w:rPr>
          <w:t>电子式热分配表(HCA)</w:t>
        </w:r>
        <w:r w:rsidRPr="00736296">
          <w:rPr>
            <w:rStyle w:val="Hyperlink"/>
            <w:noProof/>
          </w:rPr>
          <w:t>销量（</w:t>
        </w:r>
        <w:r w:rsidRPr="00736296">
          <w:rPr>
            <w:rStyle w:val="Hyperlink"/>
            <w:noProof/>
          </w:rPr>
          <w:t>2019-2024</w:t>
        </w:r>
        <w:r w:rsidRPr="00736296">
          <w:rPr>
            <w:rStyle w:val="Hyperlink"/>
            <w:noProof/>
          </w:rPr>
          <w:t>）</w:t>
        </w:r>
        <w:r>
          <w:rPr>
            <w:noProof/>
            <w:webHidden/>
          </w:rPr>
          <w:tab/>
        </w:r>
        <w:r>
          <w:rPr>
            <w:noProof/>
            <w:webHidden/>
          </w:rPr>
          <w:fldChar w:fldCharType="begin"/>
        </w:r>
        <w:r>
          <w:rPr>
            <w:noProof/>
            <w:webHidden/>
          </w:rPr>
          <w:instrText xml:space="preserve"> PAGEREF _Toc166762022 \h </w:instrText>
        </w:r>
        <w:r>
          <w:rPr>
            <w:noProof/>
            <w:webHidden/>
          </w:rPr>
          <w:fldChar w:fldCharType="separate"/>
        </w:r>
        <w:r>
          <w:rPr>
            <w:noProof/>
            <w:webHidden/>
          </w:rPr>
          <w:t>18</w:t>
        </w:r>
        <w:r>
          <w:rPr>
            <w:noProof/>
            <w:webHidden/>
          </w:rPr>
          <w:fldChar w:fldCharType="end"/>
        </w:r>
      </w:hyperlink>
    </w:p>
    <w:p w:rsidR="00AA59F4" w14:paraId="407C56E8" w14:textId="4F9D7522">
      <w:pPr>
        <w:pStyle w:val="TOC3"/>
        <w:rPr>
          <w:rFonts w:asciiTheme="minorHAnsi" w:eastAsiaTheme="minorEastAsia" w:hAnsiTheme="minorHAnsi"/>
          <w:noProof/>
          <w:color w:val="auto"/>
          <w:szCs w:val="22"/>
          <w14:ligatures w14:val="standardContextual"/>
        </w:rPr>
      </w:pPr>
      <w:hyperlink w:anchor="_Toc166762023" w:history="1">
        <w:r w:rsidRPr="00736296">
          <w:rPr>
            <w:rStyle w:val="Hyperlink"/>
            <w:noProof/>
          </w:rPr>
          <w:t xml:space="preserve">3.2.2 </w:t>
        </w:r>
        <w:r w:rsidR="001C34EF">
          <w:rPr>
            <w:rStyle w:val="Hyperlink"/>
            <w:noProof/>
          </w:rPr>
          <w:t>东南亚市场</w:t>
        </w:r>
        <w:r w:rsidRPr="00736296">
          <w:rPr>
            <w:rStyle w:val="Hyperlink"/>
            <w:noProof/>
          </w:rPr>
          <w:t>主要厂商</w:t>
        </w:r>
        <w:r w:rsidRPr="00736296">
          <w:rPr>
            <w:rStyle w:val="Hyperlink"/>
            <w:noProof/>
          </w:rPr>
          <w:t>电子式热分配表(HCA)</w:t>
        </w:r>
        <w:r w:rsidRPr="00736296">
          <w:rPr>
            <w:rStyle w:val="Hyperlink"/>
            <w:noProof/>
          </w:rPr>
          <w:t>销量市场份额（</w:t>
        </w:r>
        <w:r w:rsidRPr="00736296">
          <w:rPr>
            <w:rStyle w:val="Hyperlink"/>
            <w:noProof/>
          </w:rPr>
          <w:t>2019-2024</w:t>
        </w:r>
        <w:r w:rsidRPr="00736296">
          <w:rPr>
            <w:rStyle w:val="Hyperlink"/>
            <w:noProof/>
          </w:rPr>
          <w:t>）</w:t>
        </w:r>
        <w:r>
          <w:rPr>
            <w:noProof/>
            <w:webHidden/>
          </w:rPr>
          <w:tab/>
        </w:r>
        <w:r>
          <w:rPr>
            <w:noProof/>
            <w:webHidden/>
          </w:rPr>
          <w:fldChar w:fldCharType="begin"/>
        </w:r>
        <w:r>
          <w:rPr>
            <w:noProof/>
            <w:webHidden/>
          </w:rPr>
          <w:instrText xml:space="preserve"> PAGEREF _Toc166762023 \h </w:instrText>
        </w:r>
        <w:r>
          <w:rPr>
            <w:noProof/>
            <w:webHidden/>
          </w:rPr>
          <w:fldChar w:fldCharType="separate"/>
        </w:r>
        <w:r>
          <w:rPr>
            <w:noProof/>
            <w:webHidden/>
          </w:rPr>
          <w:t>19</w:t>
        </w:r>
        <w:r>
          <w:rPr>
            <w:noProof/>
            <w:webHidden/>
          </w:rPr>
          <w:fldChar w:fldCharType="end"/>
        </w:r>
      </w:hyperlink>
    </w:p>
    <w:p w:rsidR="00AA59F4" w14:paraId="7D1ED06E" w14:textId="279DEF71">
      <w:pPr>
        <w:pStyle w:val="TOC2"/>
        <w:tabs>
          <w:tab w:val="right" w:pos="9736"/>
        </w:tabs>
        <w:rPr>
          <w:rFonts w:asciiTheme="minorHAnsi" w:eastAsiaTheme="minorEastAsia" w:hAnsiTheme="minorHAnsi"/>
          <w:b w:val="0"/>
          <w:noProof/>
          <w:color w:val="auto"/>
          <w:spacing w:val="0"/>
          <w:kern w:val="2"/>
          <w:lang w:eastAsia="zh-CN"/>
          <w14:ligatures w14:val="standardContextual"/>
        </w:rPr>
      </w:pPr>
      <w:hyperlink w:anchor="_Toc166762024" w:history="1">
        <w:r w:rsidRPr="00736296">
          <w:rPr>
            <w:rStyle w:val="Hyperlink"/>
            <w:noProof/>
          </w:rPr>
          <w:t xml:space="preserve">3.3 </w:t>
        </w:r>
        <w:r w:rsidR="001C34EF">
          <w:rPr>
            <w:rStyle w:val="Hyperlink"/>
            <w:noProof/>
          </w:rPr>
          <w:t>东南亚市场</w:t>
        </w:r>
        <w:r w:rsidRPr="00736296">
          <w:rPr>
            <w:rStyle w:val="Hyperlink"/>
            <w:noProof/>
          </w:rPr>
          <w:t>主要厂商</w:t>
        </w:r>
        <w:r w:rsidRPr="00736296">
          <w:rPr>
            <w:rStyle w:val="Hyperlink"/>
            <w:noProof/>
          </w:rPr>
          <w:t>电子式热分配表(HCA)</w:t>
        </w:r>
        <w:r w:rsidRPr="00736296">
          <w:rPr>
            <w:rStyle w:val="Hyperlink"/>
            <w:noProof/>
          </w:rPr>
          <w:t>收入及市场占有率</w:t>
        </w:r>
        <w:r>
          <w:rPr>
            <w:noProof/>
            <w:webHidden/>
          </w:rPr>
          <w:tab/>
        </w:r>
        <w:r>
          <w:rPr>
            <w:noProof/>
            <w:webHidden/>
          </w:rPr>
          <w:fldChar w:fldCharType="begin"/>
        </w:r>
        <w:r>
          <w:rPr>
            <w:noProof/>
            <w:webHidden/>
          </w:rPr>
          <w:instrText xml:space="preserve"> PAGEREF _Toc166762024 \h </w:instrText>
        </w:r>
        <w:r>
          <w:rPr>
            <w:noProof/>
            <w:webHidden/>
          </w:rPr>
          <w:fldChar w:fldCharType="separate"/>
        </w:r>
        <w:r>
          <w:rPr>
            <w:noProof/>
            <w:webHidden/>
          </w:rPr>
          <w:t>21</w:t>
        </w:r>
        <w:r>
          <w:rPr>
            <w:noProof/>
            <w:webHidden/>
          </w:rPr>
          <w:fldChar w:fldCharType="end"/>
        </w:r>
      </w:hyperlink>
    </w:p>
    <w:p w:rsidR="00AA59F4" w14:paraId="222EF71C" w14:textId="6122452D">
      <w:pPr>
        <w:pStyle w:val="TOC3"/>
        <w:rPr>
          <w:rFonts w:asciiTheme="minorHAnsi" w:eastAsiaTheme="minorEastAsia" w:hAnsiTheme="minorHAnsi"/>
          <w:noProof/>
          <w:color w:val="auto"/>
          <w:szCs w:val="22"/>
          <w14:ligatures w14:val="standardContextual"/>
        </w:rPr>
      </w:pPr>
      <w:hyperlink w:anchor="_Toc166762025" w:history="1">
        <w:r w:rsidRPr="00736296">
          <w:rPr>
            <w:rStyle w:val="Hyperlink"/>
            <w:noProof/>
          </w:rPr>
          <w:t xml:space="preserve">3.3.1 </w:t>
        </w:r>
        <w:r w:rsidR="001C34EF">
          <w:rPr>
            <w:rStyle w:val="Hyperlink"/>
            <w:noProof/>
          </w:rPr>
          <w:t>东南亚市场</w:t>
        </w:r>
        <w:r w:rsidRPr="00736296">
          <w:rPr>
            <w:rStyle w:val="Hyperlink"/>
            <w:noProof/>
          </w:rPr>
          <w:t>主要厂商</w:t>
        </w:r>
        <w:r w:rsidRPr="00736296">
          <w:rPr>
            <w:rStyle w:val="Hyperlink"/>
            <w:noProof/>
          </w:rPr>
          <w:t>电子式热分配表(HCA)</w:t>
        </w:r>
        <w:r w:rsidRPr="00736296">
          <w:rPr>
            <w:rStyle w:val="Hyperlink"/>
            <w:noProof/>
          </w:rPr>
          <w:t>收入（</w:t>
        </w:r>
        <w:r w:rsidRPr="00736296">
          <w:rPr>
            <w:rStyle w:val="Hyperlink"/>
            <w:noProof/>
          </w:rPr>
          <w:t>2019-2024</w:t>
        </w:r>
        <w:r w:rsidRPr="00736296">
          <w:rPr>
            <w:rStyle w:val="Hyperlink"/>
            <w:noProof/>
          </w:rPr>
          <w:t>）</w:t>
        </w:r>
        <w:r>
          <w:rPr>
            <w:noProof/>
            <w:webHidden/>
          </w:rPr>
          <w:tab/>
        </w:r>
        <w:r>
          <w:rPr>
            <w:noProof/>
            <w:webHidden/>
          </w:rPr>
          <w:fldChar w:fldCharType="begin"/>
        </w:r>
        <w:r>
          <w:rPr>
            <w:noProof/>
            <w:webHidden/>
          </w:rPr>
          <w:instrText xml:space="preserve"> PAGEREF _Toc166762025 \h </w:instrText>
        </w:r>
        <w:r>
          <w:rPr>
            <w:noProof/>
            <w:webHidden/>
          </w:rPr>
          <w:fldChar w:fldCharType="separate"/>
        </w:r>
        <w:r>
          <w:rPr>
            <w:noProof/>
            <w:webHidden/>
          </w:rPr>
          <w:t>21</w:t>
        </w:r>
        <w:r>
          <w:rPr>
            <w:noProof/>
            <w:webHidden/>
          </w:rPr>
          <w:fldChar w:fldCharType="end"/>
        </w:r>
      </w:hyperlink>
    </w:p>
    <w:p w:rsidR="00AA59F4" w14:paraId="7ECABD6B" w14:textId="6AC5AC9E">
      <w:pPr>
        <w:pStyle w:val="TOC3"/>
        <w:rPr>
          <w:rFonts w:asciiTheme="minorHAnsi" w:eastAsiaTheme="minorEastAsia" w:hAnsiTheme="minorHAnsi"/>
          <w:noProof/>
          <w:color w:val="auto"/>
          <w:szCs w:val="22"/>
          <w14:ligatures w14:val="standardContextual"/>
        </w:rPr>
      </w:pPr>
      <w:hyperlink w:anchor="_Toc166762026" w:history="1">
        <w:r w:rsidRPr="00736296">
          <w:rPr>
            <w:rStyle w:val="Hyperlink"/>
            <w:noProof/>
          </w:rPr>
          <w:t xml:space="preserve">3.3.2 </w:t>
        </w:r>
        <w:r w:rsidR="001C34EF">
          <w:rPr>
            <w:rStyle w:val="Hyperlink"/>
            <w:noProof/>
          </w:rPr>
          <w:t>东南亚市场</w:t>
        </w:r>
        <w:r w:rsidRPr="00736296">
          <w:rPr>
            <w:rStyle w:val="Hyperlink"/>
            <w:noProof/>
          </w:rPr>
          <w:t>主要厂商</w:t>
        </w:r>
        <w:r w:rsidRPr="00736296">
          <w:rPr>
            <w:rStyle w:val="Hyperlink"/>
            <w:noProof/>
          </w:rPr>
          <w:t>电子式热分配表(HCA)</w:t>
        </w:r>
        <w:r w:rsidRPr="00736296">
          <w:rPr>
            <w:rStyle w:val="Hyperlink"/>
            <w:noProof/>
          </w:rPr>
          <w:t>收入市场份额（</w:t>
        </w:r>
        <w:r w:rsidRPr="00736296">
          <w:rPr>
            <w:rStyle w:val="Hyperlink"/>
            <w:noProof/>
          </w:rPr>
          <w:t>2019-2024</w:t>
        </w:r>
        <w:r w:rsidRPr="00736296">
          <w:rPr>
            <w:rStyle w:val="Hyperlink"/>
            <w:noProof/>
          </w:rPr>
          <w:t>）</w:t>
        </w:r>
        <w:r>
          <w:rPr>
            <w:noProof/>
            <w:webHidden/>
          </w:rPr>
          <w:tab/>
        </w:r>
        <w:r>
          <w:rPr>
            <w:noProof/>
            <w:webHidden/>
          </w:rPr>
          <w:fldChar w:fldCharType="begin"/>
        </w:r>
        <w:r>
          <w:rPr>
            <w:noProof/>
            <w:webHidden/>
          </w:rPr>
          <w:instrText xml:space="preserve"> PAGEREF _Toc166762026 \h </w:instrText>
        </w:r>
        <w:r>
          <w:rPr>
            <w:noProof/>
            <w:webHidden/>
          </w:rPr>
          <w:fldChar w:fldCharType="separate"/>
        </w:r>
        <w:r>
          <w:rPr>
            <w:noProof/>
            <w:webHidden/>
          </w:rPr>
          <w:t>22</w:t>
        </w:r>
        <w:r>
          <w:rPr>
            <w:noProof/>
            <w:webHidden/>
          </w:rPr>
          <w:fldChar w:fldCharType="end"/>
        </w:r>
      </w:hyperlink>
    </w:p>
    <w:p w:rsidR="00AA59F4" w14:paraId="42D1A051" w14:textId="7FE7E69F">
      <w:pPr>
        <w:pStyle w:val="TOC2"/>
        <w:tabs>
          <w:tab w:val="right" w:pos="9736"/>
        </w:tabs>
        <w:rPr>
          <w:rFonts w:asciiTheme="minorHAnsi" w:eastAsiaTheme="minorEastAsia" w:hAnsiTheme="minorHAnsi"/>
          <w:b w:val="0"/>
          <w:noProof/>
          <w:color w:val="auto"/>
          <w:spacing w:val="0"/>
          <w:kern w:val="2"/>
          <w:lang w:eastAsia="zh-CN"/>
          <w14:ligatures w14:val="standardContextual"/>
        </w:rPr>
      </w:pPr>
      <w:hyperlink w:anchor="_Toc166762027" w:history="1">
        <w:r w:rsidRPr="00736296">
          <w:rPr>
            <w:rStyle w:val="Hyperlink"/>
            <w:noProof/>
          </w:rPr>
          <w:t xml:space="preserve">3.4 </w:t>
        </w:r>
        <w:r w:rsidR="001C34EF">
          <w:rPr>
            <w:rStyle w:val="Hyperlink"/>
            <w:noProof/>
          </w:rPr>
          <w:t>东南亚市场</w:t>
        </w:r>
        <w:r w:rsidRPr="00736296">
          <w:rPr>
            <w:rStyle w:val="Hyperlink"/>
            <w:noProof/>
          </w:rPr>
          <w:t>主要厂商</w:t>
        </w:r>
        <w:r w:rsidRPr="00736296">
          <w:rPr>
            <w:rStyle w:val="Hyperlink"/>
            <w:noProof/>
          </w:rPr>
          <w:t>电子式热分配表(HCA)</w:t>
        </w:r>
        <w:r w:rsidRPr="00736296">
          <w:rPr>
            <w:rStyle w:val="Hyperlink"/>
            <w:noProof/>
          </w:rPr>
          <w:t>价格（</w:t>
        </w:r>
        <w:r w:rsidRPr="00736296">
          <w:rPr>
            <w:rStyle w:val="Hyperlink"/>
            <w:noProof/>
          </w:rPr>
          <w:t>2019-2024</w:t>
        </w:r>
        <w:r w:rsidRPr="00736296">
          <w:rPr>
            <w:rStyle w:val="Hyperlink"/>
            <w:noProof/>
          </w:rPr>
          <w:t>）</w:t>
        </w:r>
        <w:r>
          <w:rPr>
            <w:noProof/>
            <w:webHidden/>
          </w:rPr>
          <w:tab/>
        </w:r>
        <w:r>
          <w:rPr>
            <w:noProof/>
            <w:webHidden/>
          </w:rPr>
          <w:fldChar w:fldCharType="begin"/>
        </w:r>
        <w:r>
          <w:rPr>
            <w:noProof/>
            <w:webHidden/>
          </w:rPr>
          <w:instrText xml:space="preserve"> PAGEREF _Toc166762027 \h </w:instrText>
        </w:r>
        <w:r>
          <w:rPr>
            <w:noProof/>
            <w:webHidden/>
          </w:rPr>
          <w:fldChar w:fldCharType="separate"/>
        </w:r>
        <w:r>
          <w:rPr>
            <w:noProof/>
            <w:webHidden/>
          </w:rPr>
          <w:t>24</w:t>
        </w:r>
        <w:r>
          <w:rPr>
            <w:noProof/>
            <w:webHidden/>
          </w:rPr>
          <w:fldChar w:fldCharType="end"/>
        </w:r>
      </w:hyperlink>
    </w:p>
    <w:p w:rsidR="00AA59F4" w14:paraId="7F00135F" w14:textId="274736FF">
      <w:pPr>
        <w:pStyle w:val="TOC2"/>
        <w:tabs>
          <w:tab w:val="right" w:pos="9736"/>
        </w:tabs>
        <w:rPr>
          <w:rFonts w:asciiTheme="minorHAnsi" w:eastAsiaTheme="minorEastAsia" w:hAnsiTheme="minorHAnsi"/>
          <w:b w:val="0"/>
          <w:noProof/>
          <w:color w:val="auto"/>
          <w:spacing w:val="0"/>
          <w:kern w:val="2"/>
          <w:lang w:eastAsia="zh-CN"/>
          <w14:ligatures w14:val="standardContextual"/>
        </w:rPr>
      </w:pPr>
      <w:hyperlink w:anchor="_Toc166762028" w:history="1">
        <w:r w:rsidRPr="00736296">
          <w:rPr>
            <w:rStyle w:val="Hyperlink"/>
            <w:noProof/>
          </w:rPr>
          <w:t>3.5 电子式热分配表(HCA)</w:t>
        </w:r>
        <w:r w:rsidRPr="00736296">
          <w:rPr>
            <w:rStyle w:val="Hyperlink"/>
            <w:noProof/>
          </w:rPr>
          <w:t>行业集中度、竞争程度分析</w:t>
        </w:r>
        <w:r>
          <w:rPr>
            <w:noProof/>
            <w:webHidden/>
          </w:rPr>
          <w:tab/>
        </w:r>
        <w:r>
          <w:rPr>
            <w:noProof/>
            <w:webHidden/>
          </w:rPr>
          <w:fldChar w:fldCharType="begin"/>
        </w:r>
        <w:r>
          <w:rPr>
            <w:noProof/>
            <w:webHidden/>
          </w:rPr>
          <w:instrText xml:space="preserve"> PAGEREF _Toc166762028 \h </w:instrText>
        </w:r>
        <w:r>
          <w:rPr>
            <w:noProof/>
            <w:webHidden/>
          </w:rPr>
          <w:fldChar w:fldCharType="separate"/>
        </w:r>
        <w:r>
          <w:rPr>
            <w:noProof/>
            <w:webHidden/>
          </w:rPr>
          <w:t>25</w:t>
        </w:r>
        <w:r>
          <w:rPr>
            <w:noProof/>
            <w:webHidden/>
          </w:rPr>
          <w:fldChar w:fldCharType="end"/>
        </w:r>
      </w:hyperlink>
    </w:p>
    <w:p w:rsidR="00AA59F4" w14:paraId="40F41C72" w14:textId="3BA6B0D5">
      <w:pPr>
        <w:pStyle w:val="TOC2"/>
        <w:tabs>
          <w:tab w:val="right" w:pos="9736"/>
        </w:tabs>
        <w:rPr>
          <w:rFonts w:asciiTheme="minorHAnsi" w:eastAsiaTheme="minorEastAsia" w:hAnsiTheme="minorHAnsi"/>
          <w:b w:val="0"/>
          <w:noProof/>
          <w:color w:val="auto"/>
          <w:spacing w:val="0"/>
          <w:kern w:val="2"/>
          <w:lang w:eastAsia="zh-CN"/>
          <w14:ligatures w14:val="standardContextual"/>
        </w:rPr>
      </w:pPr>
      <w:hyperlink w:anchor="_Toc166762029" w:history="1">
        <w:r w:rsidRPr="00736296">
          <w:rPr>
            <w:rStyle w:val="Hyperlink"/>
            <w:noProof/>
          </w:rPr>
          <w:t xml:space="preserve">3.6 </w:t>
        </w:r>
        <w:r w:rsidR="001C34EF">
          <w:rPr>
            <w:rStyle w:val="Hyperlink"/>
            <w:noProof/>
          </w:rPr>
          <w:t>东南亚本土厂商</w:t>
        </w:r>
        <w:r w:rsidRPr="00736296">
          <w:rPr>
            <w:rStyle w:val="Hyperlink"/>
            <w:noProof/>
          </w:rPr>
          <w:t>情况分析</w:t>
        </w:r>
        <w:r>
          <w:rPr>
            <w:noProof/>
            <w:webHidden/>
          </w:rPr>
          <w:tab/>
        </w:r>
        <w:r>
          <w:rPr>
            <w:noProof/>
            <w:webHidden/>
          </w:rPr>
          <w:fldChar w:fldCharType="begin"/>
        </w:r>
        <w:r>
          <w:rPr>
            <w:noProof/>
            <w:webHidden/>
          </w:rPr>
          <w:instrText xml:space="preserve"> PAGEREF _Toc166762029 \h </w:instrText>
        </w:r>
        <w:r>
          <w:rPr>
            <w:noProof/>
            <w:webHidden/>
          </w:rPr>
          <w:fldChar w:fldCharType="separate"/>
        </w:r>
        <w:r>
          <w:rPr>
            <w:noProof/>
            <w:webHidden/>
          </w:rPr>
          <w:t>25</w:t>
        </w:r>
        <w:r>
          <w:rPr>
            <w:noProof/>
            <w:webHidden/>
          </w:rPr>
          <w:fldChar w:fldCharType="end"/>
        </w:r>
      </w:hyperlink>
    </w:p>
    <w:p w:rsidR="00AA59F4" w14:paraId="6FF421D8" w14:textId="1E0C2710">
      <w:pPr>
        <w:pStyle w:val="TOC2"/>
        <w:tabs>
          <w:tab w:val="right" w:pos="9736"/>
        </w:tabs>
        <w:rPr>
          <w:rFonts w:asciiTheme="minorHAnsi" w:eastAsiaTheme="minorEastAsia" w:hAnsiTheme="minorHAnsi"/>
          <w:b w:val="0"/>
          <w:noProof/>
          <w:color w:val="auto"/>
          <w:spacing w:val="0"/>
          <w:kern w:val="2"/>
          <w:lang w:eastAsia="zh-CN"/>
          <w14:ligatures w14:val="standardContextual"/>
        </w:rPr>
      </w:pPr>
      <w:hyperlink w:anchor="_Toc166762030" w:history="1">
        <w:r w:rsidRPr="00736296">
          <w:rPr>
            <w:rStyle w:val="Hyperlink"/>
            <w:noProof/>
          </w:rPr>
          <w:t xml:space="preserve">3.7 </w:t>
        </w:r>
        <w:r w:rsidR="001C34EF">
          <w:rPr>
            <w:rStyle w:val="Hyperlink"/>
            <w:noProof/>
          </w:rPr>
          <w:t>东南亚市场</w:t>
        </w:r>
        <w:r w:rsidR="001C34EF">
          <w:rPr>
            <w:rStyle w:val="Hyperlink"/>
            <w:noProof/>
          </w:rPr>
          <w:t>电子式热分配表(HCA)</w:t>
        </w:r>
        <w:r w:rsidRPr="00736296">
          <w:rPr>
            <w:rStyle w:val="Hyperlink"/>
            <w:noProof/>
          </w:rPr>
          <w:t>市场机会分析</w:t>
        </w:r>
        <w:r>
          <w:rPr>
            <w:noProof/>
            <w:webHidden/>
          </w:rPr>
          <w:tab/>
        </w:r>
        <w:r>
          <w:rPr>
            <w:noProof/>
            <w:webHidden/>
          </w:rPr>
          <w:fldChar w:fldCharType="begin"/>
        </w:r>
        <w:r>
          <w:rPr>
            <w:noProof/>
            <w:webHidden/>
          </w:rPr>
          <w:instrText xml:space="preserve"> PAGEREF _Toc166762030 \h </w:instrText>
        </w:r>
        <w:r>
          <w:rPr>
            <w:noProof/>
            <w:webHidden/>
          </w:rPr>
          <w:fldChar w:fldCharType="separate"/>
        </w:r>
        <w:r>
          <w:rPr>
            <w:noProof/>
            <w:webHidden/>
          </w:rPr>
          <w:t>26</w:t>
        </w:r>
        <w:r>
          <w:rPr>
            <w:noProof/>
            <w:webHidden/>
          </w:rPr>
          <w:fldChar w:fldCharType="end"/>
        </w:r>
      </w:hyperlink>
    </w:p>
    <w:p w:rsidR="00AA59F4" w14:paraId="03C352E9" w14:textId="267181C6">
      <w:pPr>
        <w:pStyle w:val="TOC1"/>
        <w:rPr>
          <w:rFonts w:asciiTheme="minorHAnsi" w:eastAsiaTheme="minorEastAsia" w:hAnsiTheme="minorHAnsi" w:cstheme="minorBidi"/>
          <w:b w:val="0"/>
          <w:bCs w:val="0"/>
          <w:color w:val="auto"/>
          <w:kern w:val="2"/>
          <w:szCs w:val="22"/>
          <w:lang w:val="en-US" w:eastAsia="zh-CN"/>
          <w14:ligatures w14:val="standardContextual"/>
        </w:rPr>
      </w:pPr>
      <w:hyperlink w:anchor="_Toc166762031" w:history="1">
        <w:r w:rsidRPr="00736296">
          <w:rPr>
            <w:rStyle w:val="Hyperlink"/>
            <w:lang w:eastAsia="zh-CN"/>
          </w:rPr>
          <w:t xml:space="preserve">4 </w:t>
        </w:r>
        <w:r w:rsidRPr="00736296">
          <w:rPr>
            <w:rStyle w:val="Hyperlink"/>
            <w:lang w:eastAsia="zh-CN"/>
          </w:rPr>
          <w:t>主要企业简介</w:t>
        </w:r>
        <w:r>
          <w:rPr>
            <w:webHidden/>
          </w:rPr>
          <w:tab/>
        </w:r>
        <w:r>
          <w:rPr>
            <w:webHidden/>
          </w:rPr>
          <w:fldChar w:fldCharType="begin"/>
        </w:r>
        <w:r>
          <w:rPr>
            <w:webHidden/>
          </w:rPr>
          <w:instrText xml:space="preserve"> PAGEREF _Toc166762031 \h </w:instrText>
        </w:r>
        <w:r>
          <w:rPr>
            <w:webHidden/>
          </w:rPr>
          <w:fldChar w:fldCharType="separate"/>
        </w:r>
        <w:r>
          <w:rPr>
            <w:webHidden/>
          </w:rPr>
          <w:t>27</w:t>
        </w:r>
        <w:r>
          <w:rPr>
            <w:webHidden/>
          </w:rPr>
          <w:fldChar w:fldCharType="end"/>
        </w:r>
      </w:hyperlink>
    </w:p>
    <w:p w:rsidR="00AA59F4" w14:paraId="7750566F" w14:textId="7651E1F1">
      <w:pPr>
        <w:pStyle w:val="TOC2"/>
        <w:tabs>
          <w:tab w:val="right" w:pos="9736"/>
        </w:tabs>
        <w:rPr>
          <w:rFonts w:asciiTheme="minorHAnsi" w:eastAsiaTheme="minorEastAsia" w:hAnsiTheme="minorHAnsi"/>
          <w:b w:val="0"/>
          <w:noProof/>
          <w:color w:val="auto"/>
          <w:spacing w:val="0"/>
          <w:kern w:val="2"/>
          <w:lang w:eastAsia="zh-CN"/>
          <w14:ligatures w14:val="standardContextual"/>
        </w:rPr>
      </w:pPr>
      <w:hyperlink w:anchor="_Toc166762032" w:history="1">
        <w:r w:rsidRPr="00736296">
          <w:rPr>
            <w:rStyle w:val="Hyperlink"/>
            <w:noProof/>
          </w:rPr>
          <w:t>4.1 Zenner</w:t>
        </w:r>
        <w:r>
          <w:rPr>
            <w:noProof/>
            <w:webHidden/>
          </w:rPr>
          <w:tab/>
        </w:r>
        <w:r>
          <w:rPr>
            <w:noProof/>
            <w:webHidden/>
          </w:rPr>
          <w:fldChar w:fldCharType="begin"/>
        </w:r>
        <w:r>
          <w:rPr>
            <w:noProof/>
            <w:webHidden/>
          </w:rPr>
          <w:instrText xml:space="preserve"> PAGEREF _Toc166762032 \h </w:instrText>
        </w:r>
        <w:r>
          <w:rPr>
            <w:noProof/>
            <w:webHidden/>
          </w:rPr>
          <w:fldChar w:fldCharType="separate"/>
        </w:r>
        <w:r>
          <w:rPr>
            <w:noProof/>
            <w:webHidden/>
          </w:rPr>
          <w:t>27</w:t>
        </w:r>
        <w:r>
          <w:rPr>
            <w:noProof/>
            <w:webHidden/>
          </w:rPr>
          <w:fldChar w:fldCharType="end"/>
        </w:r>
      </w:hyperlink>
    </w:p>
    <w:p w:rsidR="00AA59F4" w14:paraId="6010DD74" w14:textId="0CE416EB">
      <w:pPr>
        <w:pStyle w:val="TOC3"/>
        <w:rPr>
          <w:rFonts w:asciiTheme="minorHAnsi" w:eastAsiaTheme="minorEastAsia" w:hAnsiTheme="minorHAnsi"/>
          <w:noProof/>
          <w:color w:val="auto"/>
          <w:szCs w:val="22"/>
          <w14:ligatures w14:val="standardContextual"/>
        </w:rPr>
      </w:pPr>
      <w:hyperlink w:anchor="_Toc166762033" w:history="1">
        <w:r w:rsidRPr="00736296">
          <w:rPr>
            <w:rStyle w:val="Hyperlink"/>
            <w:noProof/>
          </w:rPr>
          <w:t>4.1.1 Zenner</w:t>
        </w:r>
        <w:r w:rsidRPr="00736296">
          <w:rPr>
            <w:rStyle w:val="Hyperlink"/>
            <w:noProof/>
          </w:rPr>
          <w:t>基本信息、</w:t>
        </w:r>
        <w:r w:rsidRPr="00736296">
          <w:rPr>
            <w:rStyle w:val="Hyperlink"/>
            <w:noProof/>
          </w:rPr>
          <w:t>电子式热分配表(HCA)</w:t>
        </w:r>
        <w:r w:rsidRPr="00736296">
          <w:rPr>
            <w:rStyle w:val="Hyperlink"/>
            <w:noProof/>
          </w:rPr>
          <w:t>生产基地、总部、竞争对手及市场地位</w:t>
        </w:r>
        <w:r>
          <w:rPr>
            <w:noProof/>
            <w:webHidden/>
          </w:rPr>
          <w:tab/>
        </w:r>
        <w:r>
          <w:rPr>
            <w:noProof/>
            <w:webHidden/>
          </w:rPr>
          <w:fldChar w:fldCharType="begin"/>
        </w:r>
        <w:r>
          <w:rPr>
            <w:noProof/>
            <w:webHidden/>
          </w:rPr>
          <w:instrText xml:space="preserve"> PAGEREF _Toc166762033 \h </w:instrText>
        </w:r>
        <w:r>
          <w:rPr>
            <w:noProof/>
            <w:webHidden/>
          </w:rPr>
          <w:fldChar w:fldCharType="separate"/>
        </w:r>
        <w:r>
          <w:rPr>
            <w:noProof/>
            <w:webHidden/>
          </w:rPr>
          <w:t>27</w:t>
        </w:r>
        <w:r>
          <w:rPr>
            <w:noProof/>
            <w:webHidden/>
          </w:rPr>
          <w:fldChar w:fldCharType="end"/>
        </w:r>
      </w:hyperlink>
    </w:p>
    <w:p w:rsidR="00AA59F4" w14:paraId="020C922C" w14:textId="7BC83280">
      <w:pPr>
        <w:pStyle w:val="TOC3"/>
        <w:rPr>
          <w:rFonts w:asciiTheme="minorHAnsi" w:eastAsiaTheme="minorEastAsia" w:hAnsiTheme="minorHAnsi"/>
          <w:noProof/>
          <w:color w:val="auto"/>
          <w:szCs w:val="22"/>
          <w14:ligatures w14:val="standardContextual"/>
        </w:rPr>
      </w:pPr>
      <w:hyperlink w:anchor="_Toc166762034" w:history="1">
        <w:r w:rsidRPr="00736296">
          <w:rPr>
            <w:rStyle w:val="Hyperlink"/>
            <w:noProof/>
          </w:rPr>
          <w:t>4.1.2 Zenner 电子式热分配表(HCA)</w:t>
        </w:r>
        <w:r w:rsidRPr="00736296">
          <w:rPr>
            <w:rStyle w:val="Hyperlink"/>
            <w:noProof/>
          </w:rPr>
          <w:t>产品规格、参数及市场应用</w:t>
        </w:r>
        <w:r>
          <w:rPr>
            <w:noProof/>
            <w:webHidden/>
          </w:rPr>
          <w:tab/>
        </w:r>
        <w:r>
          <w:rPr>
            <w:noProof/>
            <w:webHidden/>
          </w:rPr>
          <w:fldChar w:fldCharType="begin"/>
        </w:r>
        <w:r>
          <w:rPr>
            <w:noProof/>
            <w:webHidden/>
          </w:rPr>
          <w:instrText xml:space="preserve"> PAGEREF _Toc166762034 \h </w:instrText>
        </w:r>
        <w:r>
          <w:rPr>
            <w:noProof/>
            <w:webHidden/>
          </w:rPr>
          <w:fldChar w:fldCharType="separate"/>
        </w:r>
        <w:r>
          <w:rPr>
            <w:noProof/>
            <w:webHidden/>
          </w:rPr>
          <w:t>27</w:t>
        </w:r>
        <w:r>
          <w:rPr>
            <w:noProof/>
            <w:webHidden/>
          </w:rPr>
          <w:fldChar w:fldCharType="end"/>
        </w:r>
      </w:hyperlink>
    </w:p>
    <w:p w:rsidR="00AA59F4" w14:paraId="37504C18" w14:textId="7A381066">
      <w:pPr>
        <w:pStyle w:val="TOC3"/>
        <w:rPr>
          <w:rFonts w:asciiTheme="minorHAnsi" w:eastAsiaTheme="minorEastAsia" w:hAnsiTheme="minorHAnsi"/>
          <w:noProof/>
          <w:color w:val="auto"/>
          <w:szCs w:val="22"/>
          <w14:ligatures w14:val="standardContextual"/>
        </w:rPr>
      </w:pPr>
      <w:hyperlink w:anchor="_Toc166762035" w:history="1">
        <w:r w:rsidRPr="00736296">
          <w:rPr>
            <w:rStyle w:val="Hyperlink"/>
            <w:noProof/>
          </w:rPr>
          <w:t>4.1.3 Zenner</w:t>
        </w:r>
        <w:r w:rsidRPr="00736296">
          <w:rPr>
            <w:rStyle w:val="Hyperlink"/>
            <w:noProof/>
          </w:rPr>
          <w:t>公司简介及主要业务</w:t>
        </w:r>
        <w:r>
          <w:rPr>
            <w:noProof/>
            <w:webHidden/>
          </w:rPr>
          <w:tab/>
        </w:r>
        <w:r>
          <w:rPr>
            <w:noProof/>
            <w:webHidden/>
          </w:rPr>
          <w:fldChar w:fldCharType="begin"/>
        </w:r>
        <w:r>
          <w:rPr>
            <w:noProof/>
            <w:webHidden/>
          </w:rPr>
          <w:instrText xml:space="preserve"> PAGEREF _Toc166762035 \h </w:instrText>
        </w:r>
        <w:r>
          <w:rPr>
            <w:noProof/>
            <w:webHidden/>
          </w:rPr>
          <w:fldChar w:fldCharType="separate"/>
        </w:r>
        <w:r>
          <w:rPr>
            <w:noProof/>
            <w:webHidden/>
          </w:rPr>
          <w:t>27</w:t>
        </w:r>
        <w:r>
          <w:rPr>
            <w:noProof/>
            <w:webHidden/>
          </w:rPr>
          <w:fldChar w:fldCharType="end"/>
        </w:r>
      </w:hyperlink>
    </w:p>
    <w:p w:rsidR="00AA59F4" w14:paraId="1E8411B6" w14:textId="12058989">
      <w:pPr>
        <w:pStyle w:val="TOC3"/>
        <w:rPr>
          <w:rFonts w:asciiTheme="minorHAnsi" w:eastAsiaTheme="minorEastAsia" w:hAnsiTheme="minorHAnsi"/>
          <w:noProof/>
          <w:color w:val="auto"/>
          <w:szCs w:val="22"/>
          <w14:ligatures w14:val="standardContextual"/>
        </w:rPr>
      </w:pPr>
      <w:hyperlink w:anchor="_Toc166762036" w:history="1">
        <w:r w:rsidRPr="00736296">
          <w:rPr>
            <w:rStyle w:val="Hyperlink"/>
            <w:noProof/>
          </w:rPr>
          <w:t>4.1.4 Zenner</w:t>
        </w:r>
        <w:r w:rsidRPr="00736296">
          <w:rPr>
            <w:rStyle w:val="Hyperlink"/>
            <w:noProof/>
          </w:rPr>
          <w:t>企业最新动态</w:t>
        </w:r>
        <w:r>
          <w:rPr>
            <w:noProof/>
            <w:webHidden/>
          </w:rPr>
          <w:tab/>
        </w:r>
        <w:r>
          <w:rPr>
            <w:noProof/>
            <w:webHidden/>
          </w:rPr>
          <w:fldChar w:fldCharType="begin"/>
        </w:r>
        <w:r>
          <w:rPr>
            <w:noProof/>
            <w:webHidden/>
          </w:rPr>
          <w:instrText xml:space="preserve"> PAGEREF _Toc166762036 \h </w:instrText>
        </w:r>
        <w:r>
          <w:rPr>
            <w:noProof/>
            <w:webHidden/>
          </w:rPr>
          <w:fldChar w:fldCharType="separate"/>
        </w:r>
        <w:r>
          <w:rPr>
            <w:noProof/>
            <w:webHidden/>
          </w:rPr>
          <w:t>28</w:t>
        </w:r>
        <w:r>
          <w:rPr>
            <w:noProof/>
            <w:webHidden/>
          </w:rPr>
          <w:fldChar w:fldCharType="end"/>
        </w:r>
      </w:hyperlink>
    </w:p>
    <w:p w:rsidR="00AA59F4" w14:paraId="4BA82731" w14:textId="051DF250">
      <w:pPr>
        <w:pStyle w:val="TOC2"/>
        <w:tabs>
          <w:tab w:val="right" w:pos="9736"/>
        </w:tabs>
        <w:rPr>
          <w:rFonts w:asciiTheme="minorHAnsi" w:eastAsiaTheme="minorEastAsia" w:hAnsiTheme="minorHAnsi"/>
          <w:b w:val="0"/>
          <w:noProof/>
          <w:color w:val="auto"/>
          <w:spacing w:val="0"/>
          <w:kern w:val="2"/>
          <w:lang w:eastAsia="zh-CN"/>
          <w14:ligatures w14:val="standardContextual"/>
        </w:rPr>
      </w:pPr>
      <w:hyperlink w:anchor="_Toc166762037" w:history="1">
        <w:r w:rsidRPr="00736296">
          <w:rPr>
            <w:rStyle w:val="Hyperlink"/>
            <w:noProof/>
          </w:rPr>
          <w:t>4.2 Ista</w:t>
        </w:r>
        <w:r>
          <w:rPr>
            <w:noProof/>
            <w:webHidden/>
          </w:rPr>
          <w:tab/>
        </w:r>
        <w:r>
          <w:rPr>
            <w:noProof/>
            <w:webHidden/>
          </w:rPr>
          <w:fldChar w:fldCharType="begin"/>
        </w:r>
        <w:r>
          <w:rPr>
            <w:noProof/>
            <w:webHidden/>
          </w:rPr>
          <w:instrText xml:space="preserve"> PAGEREF _Toc166762037 \h </w:instrText>
        </w:r>
        <w:r>
          <w:rPr>
            <w:noProof/>
            <w:webHidden/>
          </w:rPr>
          <w:fldChar w:fldCharType="separate"/>
        </w:r>
        <w:r>
          <w:rPr>
            <w:noProof/>
            <w:webHidden/>
          </w:rPr>
          <w:t>28</w:t>
        </w:r>
        <w:r>
          <w:rPr>
            <w:noProof/>
            <w:webHidden/>
          </w:rPr>
          <w:fldChar w:fldCharType="end"/>
        </w:r>
      </w:hyperlink>
    </w:p>
    <w:p w:rsidR="00AA59F4" w14:paraId="0CF465DC" w14:textId="10967BE7">
      <w:pPr>
        <w:pStyle w:val="TOC3"/>
        <w:rPr>
          <w:rFonts w:asciiTheme="minorHAnsi" w:eastAsiaTheme="minorEastAsia" w:hAnsiTheme="minorHAnsi"/>
          <w:noProof/>
          <w:color w:val="auto"/>
          <w:szCs w:val="22"/>
          <w14:ligatures w14:val="standardContextual"/>
        </w:rPr>
      </w:pPr>
      <w:hyperlink w:anchor="_Toc166762038" w:history="1">
        <w:r w:rsidRPr="00736296">
          <w:rPr>
            <w:rStyle w:val="Hyperlink"/>
            <w:noProof/>
          </w:rPr>
          <w:t>4.2.1 Ista</w:t>
        </w:r>
        <w:r w:rsidRPr="00736296">
          <w:rPr>
            <w:rStyle w:val="Hyperlink"/>
            <w:noProof/>
          </w:rPr>
          <w:t>基本信息、</w:t>
        </w:r>
        <w:r w:rsidRPr="00736296">
          <w:rPr>
            <w:rStyle w:val="Hyperlink"/>
            <w:noProof/>
          </w:rPr>
          <w:t>电子式热分配表(HCA)</w:t>
        </w:r>
        <w:r w:rsidRPr="00736296">
          <w:rPr>
            <w:rStyle w:val="Hyperlink"/>
            <w:noProof/>
          </w:rPr>
          <w:t>生产基地、总部、竞争对手及市场地位</w:t>
        </w:r>
        <w:r>
          <w:rPr>
            <w:noProof/>
            <w:webHidden/>
          </w:rPr>
          <w:tab/>
        </w:r>
        <w:r>
          <w:rPr>
            <w:noProof/>
            <w:webHidden/>
          </w:rPr>
          <w:fldChar w:fldCharType="begin"/>
        </w:r>
        <w:r>
          <w:rPr>
            <w:noProof/>
            <w:webHidden/>
          </w:rPr>
          <w:instrText xml:space="preserve"> PAGEREF _Toc166762038 \h </w:instrText>
        </w:r>
        <w:r>
          <w:rPr>
            <w:noProof/>
            <w:webHidden/>
          </w:rPr>
          <w:fldChar w:fldCharType="separate"/>
        </w:r>
        <w:r>
          <w:rPr>
            <w:noProof/>
            <w:webHidden/>
          </w:rPr>
          <w:t>28</w:t>
        </w:r>
        <w:r>
          <w:rPr>
            <w:noProof/>
            <w:webHidden/>
          </w:rPr>
          <w:fldChar w:fldCharType="end"/>
        </w:r>
      </w:hyperlink>
    </w:p>
    <w:p w:rsidR="00AA59F4" w14:paraId="16F46159" w14:textId="1DF8E1A5">
      <w:pPr>
        <w:pStyle w:val="TOC3"/>
        <w:rPr>
          <w:rFonts w:asciiTheme="minorHAnsi" w:eastAsiaTheme="minorEastAsia" w:hAnsiTheme="minorHAnsi"/>
          <w:noProof/>
          <w:color w:val="auto"/>
          <w:szCs w:val="22"/>
          <w14:ligatures w14:val="standardContextual"/>
        </w:rPr>
      </w:pPr>
      <w:hyperlink w:anchor="_Toc166762039" w:history="1">
        <w:r w:rsidRPr="00736296">
          <w:rPr>
            <w:rStyle w:val="Hyperlink"/>
            <w:noProof/>
          </w:rPr>
          <w:t>4.2.2 Ista 电子式热分配表(HCA)</w:t>
        </w:r>
        <w:r w:rsidRPr="00736296">
          <w:rPr>
            <w:rStyle w:val="Hyperlink"/>
            <w:noProof/>
          </w:rPr>
          <w:t>产品规格、参数及市场应用</w:t>
        </w:r>
        <w:r>
          <w:rPr>
            <w:noProof/>
            <w:webHidden/>
          </w:rPr>
          <w:tab/>
        </w:r>
        <w:r>
          <w:rPr>
            <w:noProof/>
            <w:webHidden/>
          </w:rPr>
          <w:fldChar w:fldCharType="begin"/>
        </w:r>
        <w:r>
          <w:rPr>
            <w:noProof/>
            <w:webHidden/>
          </w:rPr>
          <w:instrText xml:space="preserve"> PAGEREF _Toc166762039 \h </w:instrText>
        </w:r>
        <w:r>
          <w:rPr>
            <w:noProof/>
            <w:webHidden/>
          </w:rPr>
          <w:fldChar w:fldCharType="separate"/>
        </w:r>
        <w:r>
          <w:rPr>
            <w:noProof/>
            <w:webHidden/>
          </w:rPr>
          <w:t>29</w:t>
        </w:r>
        <w:r>
          <w:rPr>
            <w:noProof/>
            <w:webHidden/>
          </w:rPr>
          <w:fldChar w:fldCharType="end"/>
        </w:r>
      </w:hyperlink>
    </w:p>
    <w:p w:rsidR="00AA59F4" w14:paraId="38473E31" w14:textId="77B82A25">
      <w:pPr>
        <w:pStyle w:val="TOC3"/>
        <w:rPr>
          <w:rFonts w:asciiTheme="minorHAnsi" w:eastAsiaTheme="minorEastAsia" w:hAnsiTheme="minorHAnsi"/>
          <w:noProof/>
          <w:color w:val="auto"/>
          <w:szCs w:val="22"/>
          <w14:ligatures w14:val="standardContextual"/>
        </w:rPr>
      </w:pPr>
      <w:hyperlink w:anchor="_Toc166762040" w:history="1">
        <w:r w:rsidRPr="00736296">
          <w:rPr>
            <w:rStyle w:val="Hyperlink"/>
            <w:noProof/>
          </w:rPr>
          <w:t>4.2.3 Ista</w:t>
        </w:r>
        <w:r w:rsidRPr="00736296">
          <w:rPr>
            <w:rStyle w:val="Hyperlink"/>
            <w:noProof/>
          </w:rPr>
          <w:t>公司简介及主要业务</w:t>
        </w:r>
        <w:r>
          <w:rPr>
            <w:noProof/>
            <w:webHidden/>
          </w:rPr>
          <w:tab/>
        </w:r>
        <w:r>
          <w:rPr>
            <w:noProof/>
            <w:webHidden/>
          </w:rPr>
          <w:fldChar w:fldCharType="begin"/>
        </w:r>
        <w:r>
          <w:rPr>
            <w:noProof/>
            <w:webHidden/>
          </w:rPr>
          <w:instrText xml:space="preserve"> PAGEREF _Toc166762040 \h </w:instrText>
        </w:r>
        <w:r>
          <w:rPr>
            <w:noProof/>
            <w:webHidden/>
          </w:rPr>
          <w:fldChar w:fldCharType="separate"/>
        </w:r>
        <w:r>
          <w:rPr>
            <w:noProof/>
            <w:webHidden/>
          </w:rPr>
          <w:t>29</w:t>
        </w:r>
        <w:r>
          <w:rPr>
            <w:noProof/>
            <w:webHidden/>
          </w:rPr>
          <w:fldChar w:fldCharType="end"/>
        </w:r>
      </w:hyperlink>
    </w:p>
    <w:p w:rsidR="00AA59F4" w14:paraId="2029B3BF" w14:textId="10E0A025">
      <w:pPr>
        <w:pStyle w:val="TOC3"/>
        <w:rPr>
          <w:rFonts w:asciiTheme="minorHAnsi" w:eastAsiaTheme="minorEastAsia" w:hAnsiTheme="minorHAnsi"/>
          <w:noProof/>
          <w:color w:val="auto"/>
          <w:szCs w:val="22"/>
          <w14:ligatures w14:val="standardContextual"/>
        </w:rPr>
      </w:pPr>
      <w:hyperlink w:anchor="_Toc166762041" w:history="1">
        <w:r w:rsidRPr="00736296">
          <w:rPr>
            <w:rStyle w:val="Hyperlink"/>
            <w:noProof/>
          </w:rPr>
          <w:t>4.2.4 Ista</w:t>
        </w:r>
        <w:r w:rsidRPr="00736296">
          <w:rPr>
            <w:rStyle w:val="Hyperlink"/>
            <w:noProof/>
          </w:rPr>
          <w:t>企业最新动态</w:t>
        </w:r>
        <w:r>
          <w:rPr>
            <w:noProof/>
            <w:webHidden/>
          </w:rPr>
          <w:tab/>
        </w:r>
        <w:r>
          <w:rPr>
            <w:noProof/>
            <w:webHidden/>
          </w:rPr>
          <w:fldChar w:fldCharType="begin"/>
        </w:r>
        <w:r>
          <w:rPr>
            <w:noProof/>
            <w:webHidden/>
          </w:rPr>
          <w:instrText xml:space="preserve"> PAGEREF _Toc166762041 \h </w:instrText>
        </w:r>
        <w:r>
          <w:rPr>
            <w:noProof/>
            <w:webHidden/>
          </w:rPr>
          <w:fldChar w:fldCharType="separate"/>
        </w:r>
        <w:r>
          <w:rPr>
            <w:noProof/>
            <w:webHidden/>
          </w:rPr>
          <w:t>29</w:t>
        </w:r>
        <w:r>
          <w:rPr>
            <w:noProof/>
            <w:webHidden/>
          </w:rPr>
          <w:fldChar w:fldCharType="end"/>
        </w:r>
      </w:hyperlink>
    </w:p>
    <w:p w:rsidR="00AA59F4" w14:paraId="7AE166F9" w14:textId="33EB5142">
      <w:pPr>
        <w:pStyle w:val="TOC2"/>
        <w:tabs>
          <w:tab w:val="right" w:pos="9736"/>
        </w:tabs>
        <w:rPr>
          <w:rFonts w:asciiTheme="minorHAnsi" w:eastAsiaTheme="minorEastAsia" w:hAnsiTheme="minorHAnsi"/>
          <w:b w:val="0"/>
          <w:noProof/>
          <w:color w:val="auto"/>
          <w:spacing w:val="0"/>
          <w:kern w:val="2"/>
          <w:lang w:eastAsia="zh-CN"/>
          <w14:ligatures w14:val="standardContextual"/>
        </w:rPr>
      </w:pPr>
      <w:hyperlink w:anchor="_Toc166762042" w:history="1">
        <w:r w:rsidRPr="00736296">
          <w:rPr>
            <w:rStyle w:val="Hyperlink"/>
            <w:noProof/>
          </w:rPr>
          <w:t>4.3 Techem</w:t>
        </w:r>
        <w:r>
          <w:rPr>
            <w:noProof/>
            <w:webHidden/>
          </w:rPr>
          <w:tab/>
        </w:r>
        <w:r>
          <w:rPr>
            <w:noProof/>
            <w:webHidden/>
          </w:rPr>
          <w:fldChar w:fldCharType="begin"/>
        </w:r>
        <w:r>
          <w:rPr>
            <w:noProof/>
            <w:webHidden/>
          </w:rPr>
          <w:instrText xml:space="preserve"> PAGEREF _Toc166762042 \h </w:instrText>
        </w:r>
        <w:r>
          <w:rPr>
            <w:noProof/>
            <w:webHidden/>
          </w:rPr>
          <w:fldChar w:fldCharType="separate"/>
        </w:r>
        <w:r>
          <w:rPr>
            <w:noProof/>
            <w:webHidden/>
          </w:rPr>
          <w:t>29</w:t>
        </w:r>
        <w:r>
          <w:rPr>
            <w:noProof/>
            <w:webHidden/>
          </w:rPr>
          <w:fldChar w:fldCharType="end"/>
        </w:r>
      </w:hyperlink>
    </w:p>
    <w:p w:rsidR="00AA59F4" w14:paraId="34384E53" w14:textId="13CADD4A">
      <w:pPr>
        <w:pStyle w:val="TOC3"/>
        <w:rPr>
          <w:rFonts w:asciiTheme="minorHAnsi" w:eastAsiaTheme="minorEastAsia" w:hAnsiTheme="minorHAnsi"/>
          <w:noProof/>
          <w:color w:val="auto"/>
          <w:szCs w:val="22"/>
          <w14:ligatures w14:val="standardContextual"/>
        </w:rPr>
      </w:pPr>
      <w:hyperlink w:anchor="_Toc166762043" w:history="1">
        <w:r w:rsidRPr="00736296">
          <w:rPr>
            <w:rStyle w:val="Hyperlink"/>
            <w:noProof/>
          </w:rPr>
          <w:t>4.3.1 Techem</w:t>
        </w:r>
        <w:r w:rsidRPr="00736296">
          <w:rPr>
            <w:rStyle w:val="Hyperlink"/>
            <w:noProof/>
          </w:rPr>
          <w:t>基本信息、</w:t>
        </w:r>
        <w:r w:rsidRPr="00736296">
          <w:rPr>
            <w:rStyle w:val="Hyperlink"/>
            <w:noProof/>
          </w:rPr>
          <w:t>电子式热分配表(HCA)</w:t>
        </w:r>
        <w:r w:rsidRPr="00736296">
          <w:rPr>
            <w:rStyle w:val="Hyperlink"/>
            <w:noProof/>
          </w:rPr>
          <w:t>生产基地、总部、竞争对手及市场地位</w:t>
        </w:r>
        <w:r>
          <w:rPr>
            <w:noProof/>
            <w:webHidden/>
          </w:rPr>
          <w:tab/>
        </w:r>
        <w:r>
          <w:rPr>
            <w:noProof/>
            <w:webHidden/>
          </w:rPr>
          <w:fldChar w:fldCharType="begin"/>
        </w:r>
        <w:r>
          <w:rPr>
            <w:noProof/>
            <w:webHidden/>
          </w:rPr>
          <w:instrText xml:space="preserve"> PAGEREF _Toc166762043 \h </w:instrText>
        </w:r>
        <w:r>
          <w:rPr>
            <w:noProof/>
            <w:webHidden/>
          </w:rPr>
          <w:fldChar w:fldCharType="separate"/>
        </w:r>
        <w:r>
          <w:rPr>
            <w:noProof/>
            <w:webHidden/>
          </w:rPr>
          <w:t>30</w:t>
        </w:r>
        <w:r>
          <w:rPr>
            <w:noProof/>
            <w:webHidden/>
          </w:rPr>
          <w:fldChar w:fldCharType="end"/>
        </w:r>
      </w:hyperlink>
    </w:p>
    <w:p w:rsidR="00AA59F4" w14:paraId="6F21A755" w14:textId="39A1A9B7">
      <w:pPr>
        <w:pStyle w:val="TOC3"/>
        <w:rPr>
          <w:rFonts w:asciiTheme="minorHAnsi" w:eastAsiaTheme="minorEastAsia" w:hAnsiTheme="minorHAnsi"/>
          <w:noProof/>
          <w:color w:val="auto"/>
          <w:szCs w:val="22"/>
          <w14:ligatures w14:val="standardContextual"/>
        </w:rPr>
      </w:pPr>
      <w:hyperlink w:anchor="_Toc166762044" w:history="1">
        <w:r w:rsidRPr="00736296">
          <w:rPr>
            <w:rStyle w:val="Hyperlink"/>
            <w:noProof/>
          </w:rPr>
          <w:t>4.3.2 Techem 电子式热分配表(HCA)</w:t>
        </w:r>
        <w:r w:rsidRPr="00736296">
          <w:rPr>
            <w:rStyle w:val="Hyperlink"/>
            <w:noProof/>
          </w:rPr>
          <w:t>产品规格、参数及市场应用</w:t>
        </w:r>
        <w:r>
          <w:rPr>
            <w:noProof/>
            <w:webHidden/>
          </w:rPr>
          <w:tab/>
        </w:r>
        <w:r>
          <w:rPr>
            <w:noProof/>
            <w:webHidden/>
          </w:rPr>
          <w:fldChar w:fldCharType="begin"/>
        </w:r>
        <w:r>
          <w:rPr>
            <w:noProof/>
            <w:webHidden/>
          </w:rPr>
          <w:instrText xml:space="preserve"> PAGEREF _Toc166762044 \h </w:instrText>
        </w:r>
        <w:r>
          <w:rPr>
            <w:noProof/>
            <w:webHidden/>
          </w:rPr>
          <w:fldChar w:fldCharType="separate"/>
        </w:r>
        <w:r>
          <w:rPr>
            <w:noProof/>
            <w:webHidden/>
          </w:rPr>
          <w:t>30</w:t>
        </w:r>
        <w:r>
          <w:rPr>
            <w:noProof/>
            <w:webHidden/>
          </w:rPr>
          <w:fldChar w:fldCharType="end"/>
        </w:r>
      </w:hyperlink>
    </w:p>
    <w:p w:rsidR="00AA59F4" w14:paraId="791D5845" w14:textId="03F2192C">
      <w:pPr>
        <w:pStyle w:val="TOC3"/>
        <w:rPr>
          <w:rFonts w:asciiTheme="minorHAnsi" w:eastAsiaTheme="minorEastAsia" w:hAnsiTheme="minorHAnsi"/>
          <w:noProof/>
          <w:color w:val="auto"/>
          <w:szCs w:val="22"/>
          <w14:ligatures w14:val="standardContextual"/>
        </w:rPr>
      </w:pPr>
      <w:hyperlink w:anchor="_Toc166762045" w:history="1">
        <w:r w:rsidRPr="00736296">
          <w:rPr>
            <w:rStyle w:val="Hyperlink"/>
            <w:noProof/>
          </w:rPr>
          <w:t>4.3.3 Techem</w:t>
        </w:r>
        <w:r w:rsidRPr="00736296">
          <w:rPr>
            <w:rStyle w:val="Hyperlink"/>
            <w:noProof/>
          </w:rPr>
          <w:t>公司简介及主要业务</w:t>
        </w:r>
        <w:r>
          <w:rPr>
            <w:noProof/>
            <w:webHidden/>
          </w:rPr>
          <w:tab/>
        </w:r>
        <w:r>
          <w:rPr>
            <w:noProof/>
            <w:webHidden/>
          </w:rPr>
          <w:fldChar w:fldCharType="begin"/>
        </w:r>
        <w:r>
          <w:rPr>
            <w:noProof/>
            <w:webHidden/>
          </w:rPr>
          <w:instrText xml:space="preserve"> PAGEREF _Toc166762045 \h </w:instrText>
        </w:r>
        <w:r>
          <w:rPr>
            <w:noProof/>
            <w:webHidden/>
          </w:rPr>
          <w:fldChar w:fldCharType="separate"/>
        </w:r>
        <w:r>
          <w:rPr>
            <w:noProof/>
            <w:webHidden/>
          </w:rPr>
          <w:t>30</w:t>
        </w:r>
        <w:r>
          <w:rPr>
            <w:noProof/>
            <w:webHidden/>
          </w:rPr>
          <w:fldChar w:fldCharType="end"/>
        </w:r>
      </w:hyperlink>
    </w:p>
    <w:p w:rsidR="00AA59F4" w14:paraId="75D03A96" w14:textId="59E21D3B">
      <w:pPr>
        <w:pStyle w:val="TOC3"/>
        <w:rPr>
          <w:rFonts w:asciiTheme="minorHAnsi" w:eastAsiaTheme="minorEastAsia" w:hAnsiTheme="minorHAnsi"/>
          <w:noProof/>
          <w:color w:val="auto"/>
          <w:szCs w:val="22"/>
          <w14:ligatures w14:val="standardContextual"/>
        </w:rPr>
      </w:pPr>
      <w:hyperlink w:anchor="_Toc166762046" w:history="1">
        <w:r w:rsidRPr="00736296">
          <w:rPr>
            <w:rStyle w:val="Hyperlink"/>
            <w:noProof/>
          </w:rPr>
          <w:t>4.3.4 Techem</w:t>
        </w:r>
        <w:r w:rsidRPr="00736296">
          <w:rPr>
            <w:rStyle w:val="Hyperlink"/>
            <w:noProof/>
          </w:rPr>
          <w:t>企业最新动态</w:t>
        </w:r>
        <w:r>
          <w:rPr>
            <w:noProof/>
            <w:webHidden/>
          </w:rPr>
          <w:tab/>
        </w:r>
        <w:r>
          <w:rPr>
            <w:noProof/>
            <w:webHidden/>
          </w:rPr>
          <w:fldChar w:fldCharType="begin"/>
        </w:r>
        <w:r>
          <w:rPr>
            <w:noProof/>
            <w:webHidden/>
          </w:rPr>
          <w:instrText xml:space="preserve"> PAGEREF _Toc166762046 \h </w:instrText>
        </w:r>
        <w:r>
          <w:rPr>
            <w:noProof/>
            <w:webHidden/>
          </w:rPr>
          <w:fldChar w:fldCharType="separate"/>
        </w:r>
        <w:r>
          <w:rPr>
            <w:noProof/>
            <w:webHidden/>
          </w:rPr>
          <w:t>31</w:t>
        </w:r>
        <w:r>
          <w:rPr>
            <w:noProof/>
            <w:webHidden/>
          </w:rPr>
          <w:fldChar w:fldCharType="end"/>
        </w:r>
      </w:hyperlink>
    </w:p>
    <w:p w:rsidR="00AA59F4" w14:paraId="50647F82" w14:textId="62DC2240">
      <w:pPr>
        <w:pStyle w:val="TOC2"/>
        <w:tabs>
          <w:tab w:val="right" w:pos="9736"/>
        </w:tabs>
        <w:rPr>
          <w:rFonts w:asciiTheme="minorHAnsi" w:eastAsiaTheme="minorEastAsia" w:hAnsiTheme="minorHAnsi"/>
          <w:b w:val="0"/>
          <w:noProof/>
          <w:color w:val="auto"/>
          <w:spacing w:val="0"/>
          <w:kern w:val="2"/>
          <w:lang w:eastAsia="zh-CN"/>
          <w14:ligatures w14:val="standardContextual"/>
        </w:rPr>
      </w:pPr>
      <w:hyperlink w:anchor="_Toc166762047" w:history="1">
        <w:r w:rsidRPr="00736296">
          <w:rPr>
            <w:rStyle w:val="Hyperlink"/>
            <w:noProof/>
          </w:rPr>
          <w:t>4.4 Siemens</w:t>
        </w:r>
        <w:r>
          <w:rPr>
            <w:noProof/>
            <w:webHidden/>
          </w:rPr>
          <w:tab/>
        </w:r>
        <w:r>
          <w:rPr>
            <w:noProof/>
            <w:webHidden/>
          </w:rPr>
          <w:fldChar w:fldCharType="begin"/>
        </w:r>
        <w:r>
          <w:rPr>
            <w:noProof/>
            <w:webHidden/>
          </w:rPr>
          <w:instrText xml:space="preserve"> PAGEREF _Toc166762047 \h </w:instrText>
        </w:r>
        <w:r>
          <w:rPr>
            <w:noProof/>
            <w:webHidden/>
          </w:rPr>
          <w:fldChar w:fldCharType="separate"/>
        </w:r>
        <w:r>
          <w:rPr>
            <w:noProof/>
            <w:webHidden/>
          </w:rPr>
          <w:t>31</w:t>
        </w:r>
        <w:r>
          <w:rPr>
            <w:noProof/>
            <w:webHidden/>
          </w:rPr>
          <w:fldChar w:fldCharType="end"/>
        </w:r>
      </w:hyperlink>
    </w:p>
    <w:p w:rsidR="00AA59F4" w14:paraId="3A7C712C" w14:textId="6B173003">
      <w:pPr>
        <w:pStyle w:val="TOC2"/>
        <w:tabs>
          <w:tab w:val="right" w:pos="9736"/>
        </w:tabs>
        <w:rPr>
          <w:rFonts w:asciiTheme="minorHAnsi" w:eastAsiaTheme="minorEastAsia" w:hAnsiTheme="minorHAnsi"/>
          <w:b w:val="0"/>
          <w:noProof/>
          <w:color w:val="auto"/>
          <w:spacing w:val="0"/>
          <w:kern w:val="2"/>
          <w:lang w:eastAsia="zh-CN"/>
          <w14:ligatures w14:val="standardContextual"/>
        </w:rPr>
      </w:pPr>
      <w:hyperlink w:anchor="_Toc166762048" w:history="1">
        <w:r w:rsidRPr="00736296">
          <w:rPr>
            <w:rStyle w:val="Hyperlink"/>
            <w:noProof/>
          </w:rPr>
          <w:t>4.5 Engelmnn</w:t>
        </w:r>
        <w:r>
          <w:rPr>
            <w:noProof/>
            <w:webHidden/>
          </w:rPr>
          <w:tab/>
        </w:r>
        <w:r>
          <w:rPr>
            <w:noProof/>
            <w:webHidden/>
          </w:rPr>
          <w:fldChar w:fldCharType="begin"/>
        </w:r>
        <w:r>
          <w:rPr>
            <w:noProof/>
            <w:webHidden/>
          </w:rPr>
          <w:instrText xml:space="preserve"> PAGEREF _Toc166762048 \h </w:instrText>
        </w:r>
        <w:r>
          <w:rPr>
            <w:noProof/>
            <w:webHidden/>
          </w:rPr>
          <w:fldChar w:fldCharType="separate"/>
        </w:r>
        <w:r>
          <w:rPr>
            <w:noProof/>
            <w:webHidden/>
          </w:rPr>
          <w:t>31</w:t>
        </w:r>
        <w:r>
          <w:rPr>
            <w:noProof/>
            <w:webHidden/>
          </w:rPr>
          <w:fldChar w:fldCharType="end"/>
        </w:r>
      </w:hyperlink>
    </w:p>
    <w:p w:rsidR="00AA59F4" w14:paraId="530E81BF" w14:textId="2F475C17">
      <w:pPr>
        <w:pStyle w:val="TOC2"/>
        <w:tabs>
          <w:tab w:val="right" w:pos="9736"/>
        </w:tabs>
        <w:rPr>
          <w:rFonts w:asciiTheme="minorHAnsi" w:eastAsiaTheme="minorEastAsia" w:hAnsiTheme="minorHAnsi"/>
          <w:b w:val="0"/>
          <w:noProof/>
          <w:color w:val="auto"/>
          <w:spacing w:val="0"/>
          <w:kern w:val="2"/>
          <w:lang w:eastAsia="zh-CN"/>
          <w14:ligatures w14:val="standardContextual"/>
        </w:rPr>
      </w:pPr>
      <w:hyperlink w:anchor="_Toc166762049" w:history="1">
        <w:r w:rsidRPr="00736296">
          <w:rPr>
            <w:rStyle w:val="Hyperlink"/>
            <w:noProof/>
          </w:rPr>
          <w:t>4.6 Te-sa s.r.l.</w:t>
        </w:r>
        <w:r>
          <w:rPr>
            <w:noProof/>
            <w:webHidden/>
          </w:rPr>
          <w:tab/>
        </w:r>
        <w:r>
          <w:rPr>
            <w:noProof/>
            <w:webHidden/>
          </w:rPr>
          <w:fldChar w:fldCharType="begin"/>
        </w:r>
        <w:r>
          <w:rPr>
            <w:noProof/>
            <w:webHidden/>
          </w:rPr>
          <w:instrText xml:space="preserve"> PAGEREF _Toc166762049 \h </w:instrText>
        </w:r>
        <w:r>
          <w:rPr>
            <w:noProof/>
            <w:webHidden/>
          </w:rPr>
          <w:fldChar w:fldCharType="separate"/>
        </w:r>
        <w:r>
          <w:rPr>
            <w:noProof/>
            <w:webHidden/>
          </w:rPr>
          <w:t>31</w:t>
        </w:r>
        <w:r>
          <w:rPr>
            <w:noProof/>
            <w:webHidden/>
          </w:rPr>
          <w:fldChar w:fldCharType="end"/>
        </w:r>
      </w:hyperlink>
    </w:p>
    <w:p w:rsidR="00AA59F4" w14:paraId="6E945147" w14:textId="71741621">
      <w:pPr>
        <w:pStyle w:val="TOC2"/>
        <w:tabs>
          <w:tab w:val="right" w:pos="9736"/>
        </w:tabs>
        <w:rPr>
          <w:rFonts w:asciiTheme="minorHAnsi" w:eastAsiaTheme="minorEastAsia" w:hAnsiTheme="minorHAnsi"/>
          <w:b w:val="0"/>
          <w:noProof/>
          <w:color w:val="auto"/>
          <w:spacing w:val="0"/>
          <w:kern w:val="2"/>
          <w:lang w:eastAsia="zh-CN"/>
          <w14:ligatures w14:val="standardContextual"/>
        </w:rPr>
      </w:pPr>
      <w:hyperlink w:anchor="_Toc166762050" w:history="1">
        <w:r w:rsidRPr="00736296">
          <w:rPr>
            <w:rStyle w:val="Hyperlink"/>
            <w:noProof/>
          </w:rPr>
          <w:t>4.7 Itron</w:t>
        </w:r>
        <w:r>
          <w:rPr>
            <w:noProof/>
            <w:webHidden/>
          </w:rPr>
          <w:tab/>
        </w:r>
        <w:r>
          <w:rPr>
            <w:noProof/>
            <w:webHidden/>
          </w:rPr>
          <w:fldChar w:fldCharType="begin"/>
        </w:r>
        <w:r>
          <w:rPr>
            <w:noProof/>
            <w:webHidden/>
          </w:rPr>
          <w:instrText xml:space="preserve"> PAGEREF _Toc166762050 \h </w:instrText>
        </w:r>
        <w:r>
          <w:rPr>
            <w:noProof/>
            <w:webHidden/>
          </w:rPr>
          <w:fldChar w:fldCharType="separate"/>
        </w:r>
        <w:r>
          <w:rPr>
            <w:noProof/>
            <w:webHidden/>
          </w:rPr>
          <w:t>31</w:t>
        </w:r>
        <w:r>
          <w:rPr>
            <w:noProof/>
            <w:webHidden/>
          </w:rPr>
          <w:fldChar w:fldCharType="end"/>
        </w:r>
      </w:hyperlink>
    </w:p>
    <w:p w:rsidR="00AA59F4" w14:paraId="4AFF0947" w14:textId="441B334B">
      <w:pPr>
        <w:pStyle w:val="TOC2"/>
        <w:tabs>
          <w:tab w:val="right" w:pos="9736"/>
        </w:tabs>
        <w:rPr>
          <w:rFonts w:asciiTheme="minorHAnsi" w:eastAsiaTheme="minorEastAsia" w:hAnsiTheme="minorHAnsi"/>
          <w:b w:val="0"/>
          <w:noProof/>
          <w:color w:val="auto"/>
          <w:spacing w:val="0"/>
          <w:kern w:val="2"/>
          <w:lang w:eastAsia="zh-CN"/>
          <w14:ligatures w14:val="standardContextual"/>
        </w:rPr>
      </w:pPr>
      <w:hyperlink w:anchor="_Toc166762051" w:history="1">
        <w:r w:rsidRPr="00736296">
          <w:rPr>
            <w:rStyle w:val="Hyperlink"/>
            <w:noProof/>
          </w:rPr>
          <w:t>4.8 Sontex</w:t>
        </w:r>
        <w:r>
          <w:rPr>
            <w:noProof/>
            <w:webHidden/>
          </w:rPr>
          <w:tab/>
        </w:r>
        <w:r>
          <w:rPr>
            <w:noProof/>
            <w:webHidden/>
          </w:rPr>
          <w:fldChar w:fldCharType="begin"/>
        </w:r>
        <w:r>
          <w:rPr>
            <w:noProof/>
            <w:webHidden/>
          </w:rPr>
          <w:instrText xml:space="preserve"> PAGEREF _Toc166762051 \h </w:instrText>
        </w:r>
        <w:r>
          <w:rPr>
            <w:noProof/>
            <w:webHidden/>
          </w:rPr>
          <w:fldChar w:fldCharType="separate"/>
        </w:r>
        <w:r>
          <w:rPr>
            <w:noProof/>
            <w:webHidden/>
          </w:rPr>
          <w:t>31</w:t>
        </w:r>
        <w:r>
          <w:rPr>
            <w:noProof/>
            <w:webHidden/>
          </w:rPr>
          <w:fldChar w:fldCharType="end"/>
        </w:r>
      </w:hyperlink>
    </w:p>
    <w:p w:rsidR="00AA59F4" w14:paraId="3513C5A1" w14:textId="276ECBDF">
      <w:pPr>
        <w:pStyle w:val="TOC2"/>
        <w:tabs>
          <w:tab w:val="right" w:pos="9736"/>
        </w:tabs>
        <w:rPr>
          <w:rFonts w:asciiTheme="minorHAnsi" w:eastAsiaTheme="minorEastAsia" w:hAnsiTheme="minorHAnsi"/>
          <w:b w:val="0"/>
          <w:noProof/>
          <w:color w:val="auto"/>
          <w:spacing w:val="0"/>
          <w:kern w:val="2"/>
          <w:lang w:eastAsia="zh-CN"/>
          <w14:ligatures w14:val="standardContextual"/>
        </w:rPr>
      </w:pPr>
      <w:hyperlink w:anchor="_Toc166762052" w:history="1">
        <w:r w:rsidRPr="00736296">
          <w:rPr>
            <w:rStyle w:val="Hyperlink"/>
            <w:noProof/>
          </w:rPr>
          <w:t>4.9 乐业节能</w:t>
        </w:r>
        <w:r>
          <w:rPr>
            <w:noProof/>
            <w:webHidden/>
          </w:rPr>
          <w:tab/>
        </w:r>
        <w:r>
          <w:rPr>
            <w:noProof/>
            <w:webHidden/>
          </w:rPr>
          <w:fldChar w:fldCharType="begin"/>
        </w:r>
        <w:r>
          <w:rPr>
            <w:noProof/>
            <w:webHidden/>
          </w:rPr>
          <w:instrText xml:space="preserve"> PAGEREF _Toc166762052 \h </w:instrText>
        </w:r>
        <w:r>
          <w:rPr>
            <w:noProof/>
            <w:webHidden/>
          </w:rPr>
          <w:fldChar w:fldCharType="separate"/>
        </w:r>
        <w:r>
          <w:rPr>
            <w:noProof/>
            <w:webHidden/>
          </w:rPr>
          <w:t>31</w:t>
        </w:r>
        <w:r>
          <w:rPr>
            <w:noProof/>
            <w:webHidden/>
          </w:rPr>
          <w:fldChar w:fldCharType="end"/>
        </w:r>
      </w:hyperlink>
    </w:p>
    <w:p w:rsidR="00AA59F4" w14:paraId="52918D59" w14:textId="3F360894">
      <w:pPr>
        <w:pStyle w:val="TOC2"/>
        <w:tabs>
          <w:tab w:val="right" w:pos="9736"/>
        </w:tabs>
        <w:rPr>
          <w:rFonts w:asciiTheme="minorHAnsi" w:eastAsiaTheme="minorEastAsia" w:hAnsiTheme="minorHAnsi"/>
          <w:b w:val="0"/>
          <w:noProof/>
          <w:color w:val="auto"/>
          <w:spacing w:val="0"/>
          <w:kern w:val="2"/>
          <w:lang w:eastAsia="zh-CN"/>
          <w14:ligatures w14:val="standardContextual"/>
        </w:rPr>
      </w:pPr>
      <w:hyperlink w:anchor="_Toc166762053" w:history="1">
        <w:r w:rsidRPr="00736296">
          <w:rPr>
            <w:rStyle w:val="Hyperlink"/>
            <w:noProof/>
          </w:rPr>
          <w:t>4.10 Brunata</w:t>
        </w:r>
        <w:r>
          <w:rPr>
            <w:noProof/>
            <w:webHidden/>
          </w:rPr>
          <w:tab/>
        </w:r>
        <w:r>
          <w:rPr>
            <w:noProof/>
            <w:webHidden/>
          </w:rPr>
          <w:fldChar w:fldCharType="begin"/>
        </w:r>
        <w:r>
          <w:rPr>
            <w:noProof/>
            <w:webHidden/>
          </w:rPr>
          <w:instrText xml:space="preserve"> PAGEREF _Toc166762053 \h </w:instrText>
        </w:r>
        <w:r>
          <w:rPr>
            <w:noProof/>
            <w:webHidden/>
          </w:rPr>
          <w:fldChar w:fldCharType="separate"/>
        </w:r>
        <w:r>
          <w:rPr>
            <w:noProof/>
            <w:webHidden/>
          </w:rPr>
          <w:t>31</w:t>
        </w:r>
        <w:r>
          <w:rPr>
            <w:noProof/>
            <w:webHidden/>
          </w:rPr>
          <w:fldChar w:fldCharType="end"/>
        </w:r>
      </w:hyperlink>
    </w:p>
    <w:p w:rsidR="00AA59F4" w14:paraId="1AEF9F57" w14:textId="13E7F826">
      <w:pPr>
        <w:pStyle w:val="TOC1"/>
        <w:rPr>
          <w:rFonts w:asciiTheme="minorHAnsi" w:eastAsiaTheme="minorEastAsia" w:hAnsiTheme="minorHAnsi" w:cstheme="minorBidi"/>
          <w:b w:val="0"/>
          <w:bCs w:val="0"/>
          <w:color w:val="auto"/>
          <w:kern w:val="2"/>
          <w:szCs w:val="22"/>
          <w:lang w:val="en-US" w:eastAsia="zh-CN"/>
          <w14:ligatures w14:val="standardContextual"/>
        </w:rPr>
      </w:pPr>
      <w:hyperlink w:anchor="_Toc166762084" w:history="1">
        <w:r w:rsidRPr="00736296">
          <w:rPr>
            <w:rStyle w:val="Hyperlink"/>
            <w:lang w:eastAsia="zh-CN"/>
          </w:rPr>
          <w:t xml:space="preserve">5 </w:t>
        </w:r>
        <w:r w:rsidRPr="00736296">
          <w:rPr>
            <w:rStyle w:val="Hyperlink"/>
            <w:lang w:eastAsia="zh-CN"/>
          </w:rPr>
          <w:t>销售渠道及客户偏好分析</w:t>
        </w:r>
        <w:r>
          <w:rPr>
            <w:webHidden/>
          </w:rPr>
          <w:tab/>
        </w:r>
        <w:r>
          <w:rPr>
            <w:webHidden/>
          </w:rPr>
          <w:fldChar w:fldCharType="begin"/>
        </w:r>
        <w:r>
          <w:rPr>
            <w:webHidden/>
          </w:rPr>
          <w:instrText xml:space="preserve"> PAGEREF _Toc166762084 \h </w:instrText>
        </w:r>
        <w:r>
          <w:rPr>
            <w:webHidden/>
          </w:rPr>
          <w:fldChar w:fldCharType="separate"/>
        </w:r>
        <w:r>
          <w:rPr>
            <w:webHidden/>
          </w:rPr>
          <w:t>35</w:t>
        </w:r>
        <w:r>
          <w:rPr>
            <w:webHidden/>
          </w:rPr>
          <w:fldChar w:fldCharType="end"/>
        </w:r>
      </w:hyperlink>
    </w:p>
    <w:p w:rsidR="00AA59F4" w14:paraId="75C08EC4" w14:textId="5ABBAD38">
      <w:pPr>
        <w:pStyle w:val="TOC2"/>
        <w:tabs>
          <w:tab w:val="right" w:pos="9736"/>
        </w:tabs>
        <w:rPr>
          <w:rFonts w:asciiTheme="minorHAnsi" w:eastAsiaTheme="minorEastAsia" w:hAnsiTheme="minorHAnsi"/>
          <w:b w:val="0"/>
          <w:noProof/>
          <w:color w:val="auto"/>
          <w:spacing w:val="0"/>
          <w:kern w:val="2"/>
          <w:lang w:eastAsia="zh-CN"/>
          <w14:ligatures w14:val="standardContextual"/>
        </w:rPr>
      </w:pPr>
      <w:hyperlink w:anchor="_Toc166762085" w:history="1">
        <w:r w:rsidRPr="00736296">
          <w:rPr>
            <w:rStyle w:val="Hyperlink"/>
            <w:noProof/>
            <w:lang w:val="en-IN"/>
          </w:rPr>
          <w:t>5.1</w:t>
        </w:r>
        <w:r w:rsidRPr="00736296">
          <w:rPr>
            <w:rStyle w:val="Hyperlink"/>
            <w:noProof/>
          </w:rPr>
          <w:t xml:space="preserve"> </w:t>
        </w:r>
        <w:r w:rsidR="001C34EF">
          <w:rPr>
            <w:rStyle w:val="Hyperlink"/>
            <w:noProof/>
          </w:rPr>
          <w:t>东南亚市场</w:t>
        </w:r>
        <w:r w:rsidR="001C34EF">
          <w:rPr>
            <w:rStyle w:val="Hyperlink"/>
            <w:noProof/>
          </w:rPr>
          <w:t>电子式热分配表(HCA)</w:t>
        </w:r>
        <w:r w:rsidRPr="00736296">
          <w:rPr>
            <w:rStyle w:val="Hyperlink"/>
            <w:noProof/>
          </w:rPr>
          <w:t>消费形态及客户偏好</w:t>
        </w:r>
        <w:r>
          <w:rPr>
            <w:noProof/>
            <w:webHidden/>
          </w:rPr>
          <w:tab/>
        </w:r>
        <w:r>
          <w:rPr>
            <w:noProof/>
            <w:webHidden/>
          </w:rPr>
          <w:fldChar w:fldCharType="begin"/>
        </w:r>
        <w:r>
          <w:rPr>
            <w:noProof/>
            <w:webHidden/>
          </w:rPr>
          <w:instrText xml:space="preserve"> PAGEREF _Toc166762085 \h </w:instrText>
        </w:r>
        <w:r>
          <w:rPr>
            <w:noProof/>
            <w:webHidden/>
          </w:rPr>
          <w:fldChar w:fldCharType="separate"/>
        </w:r>
        <w:r>
          <w:rPr>
            <w:noProof/>
            <w:webHidden/>
          </w:rPr>
          <w:t>35</w:t>
        </w:r>
        <w:r>
          <w:rPr>
            <w:noProof/>
            <w:webHidden/>
          </w:rPr>
          <w:fldChar w:fldCharType="end"/>
        </w:r>
      </w:hyperlink>
    </w:p>
    <w:p w:rsidR="00AA59F4" w14:paraId="7731DDF3" w14:textId="7BF00B41">
      <w:pPr>
        <w:pStyle w:val="TOC2"/>
        <w:tabs>
          <w:tab w:val="right" w:pos="9736"/>
        </w:tabs>
        <w:rPr>
          <w:rFonts w:asciiTheme="minorHAnsi" w:eastAsiaTheme="minorEastAsia" w:hAnsiTheme="minorHAnsi"/>
          <w:b w:val="0"/>
          <w:noProof/>
          <w:color w:val="auto"/>
          <w:spacing w:val="0"/>
          <w:kern w:val="2"/>
          <w:lang w:eastAsia="zh-CN"/>
          <w14:ligatures w14:val="standardContextual"/>
        </w:rPr>
      </w:pPr>
      <w:hyperlink w:anchor="_Toc166762086" w:history="1">
        <w:r w:rsidRPr="00736296">
          <w:rPr>
            <w:rStyle w:val="Hyperlink"/>
            <w:noProof/>
          </w:rPr>
          <w:t xml:space="preserve">5.2 </w:t>
        </w:r>
        <w:r w:rsidR="001C34EF">
          <w:rPr>
            <w:rStyle w:val="Hyperlink"/>
            <w:noProof/>
          </w:rPr>
          <w:t>东南亚市场</w:t>
        </w:r>
        <w:r w:rsidR="001C34EF">
          <w:rPr>
            <w:rStyle w:val="Hyperlink"/>
            <w:noProof/>
          </w:rPr>
          <w:t>电子式热分配表(HCA)</w:t>
        </w:r>
        <w:r w:rsidRPr="00736296">
          <w:rPr>
            <w:rStyle w:val="Hyperlink"/>
            <w:noProof/>
          </w:rPr>
          <w:t>代表性客户分析</w:t>
        </w:r>
        <w:r>
          <w:rPr>
            <w:noProof/>
            <w:webHidden/>
          </w:rPr>
          <w:tab/>
        </w:r>
        <w:r>
          <w:rPr>
            <w:noProof/>
            <w:webHidden/>
          </w:rPr>
          <w:fldChar w:fldCharType="begin"/>
        </w:r>
        <w:r>
          <w:rPr>
            <w:noProof/>
            <w:webHidden/>
          </w:rPr>
          <w:instrText xml:space="preserve"> PAGEREF _Toc166762086 \h </w:instrText>
        </w:r>
        <w:r>
          <w:rPr>
            <w:noProof/>
            <w:webHidden/>
          </w:rPr>
          <w:fldChar w:fldCharType="separate"/>
        </w:r>
        <w:r>
          <w:rPr>
            <w:noProof/>
            <w:webHidden/>
          </w:rPr>
          <w:t>35</w:t>
        </w:r>
        <w:r>
          <w:rPr>
            <w:noProof/>
            <w:webHidden/>
          </w:rPr>
          <w:fldChar w:fldCharType="end"/>
        </w:r>
      </w:hyperlink>
    </w:p>
    <w:p w:rsidR="00AA59F4" w14:paraId="4F1CB115" w14:textId="0F4DED17">
      <w:pPr>
        <w:pStyle w:val="TOC2"/>
        <w:tabs>
          <w:tab w:val="right" w:pos="9736"/>
        </w:tabs>
        <w:rPr>
          <w:rFonts w:asciiTheme="minorHAnsi" w:eastAsiaTheme="minorEastAsia" w:hAnsiTheme="minorHAnsi"/>
          <w:b w:val="0"/>
          <w:noProof/>
          <w:color w:val="auto"/>
          <w:spacing w:val="0"/>
          <w:kern w:val="2"/>
          <w:lang w:eastAsia="zh-CN"/>
          <w14:ligatures w14:val="standardContextual"/>
        </w:rPr>
      </w:pPr>
      <w:hyperlink w:anchor="_Toc166762087" w:history="1">
        <w:r w:rsidRPr="00736296">
          <w:rPr>
            <w:rStyle w:val="Hyperlink"/>
            <w:noProof/>
          </w:rPr>
          <w:t xml:space="preserve">5.3 </w:t>
        </w:r>
        <w:r w:rsidR="001C34EF">
          <w:rPr>
            <w:rStyle w:val="Hyperlink"/>
            <w:noProof/>
          </w:rPr>
          <w:t>东南亚市场</w:t>
        </w:r>
        <w:r w:rsidR="001C34EF">
          <w:rPr>
            <w:rStyle w:val="Hyperlink"/>
            <w:noProof/>
          </w:rPr>
          <w:t>电子式热分配表(HCA)</w:t>
        </w:r>
        <w:r w:rsidRPr="00736296">
          <w:rPr>
            <w:rStyle w:val="Hyperlink"/>
            <w:noProof/>
          </w:rPr>
          <w:t>销售渠道及销售模式分析</w:t>
        </w:r>
        <w:r>
          <w:rPr>
            <w:noProof/>
            <w:webHidden/>
          </w:rPr>
          <w:tab/>
        </w:r>
        <w:r>
          <w:rPr>
            <w:noProof/>
            <w:webHidden/>
          </w:rPr>
          <w:fldChar w:fldCharType="begin"/>
        </w:r>
        <w:r>
          <w:rPr>
            <w:noProof/>
            <w:webHidden/>
          </w:rPr>
          <w:instrText xml:space="preserve"> PAGEREF _Toc166762087 \h </w:instrText>
        </w:r>
        <w:r>
          <w:rPr>
            <w:noProof/>
            <w:webHidden/>
          </w:rPr>
          <w:fldChar w:fldCharType="separate"/>
        </w:r>
        <w:r>
          <w:rPr>
            <w:noProof/>
            <w:webHidden/>
          </w:rPr>
          <w:t>35</w:t>
        </w:r>
        <w:r>
          <w:rPr>
            <w:noProof/>
            <w:webHidden/>
          </w:rPr>
          <w:fldChar w:fldCharType="end"/>
        </w:r>
      </w:hyperlink>
    </w:p>
    <w:p w:rsidR="00AA59F4" w14:paraId="1AC24B92" w14:textId="5B877E98">
      <w:pPr>
        <w:pStyle w:val="TOC3"/>
        <w:rPr>
          <w:rFonts w:asciiTheme="minorHAnsi" w:eastAsiaTheme="minorEastAsia" w:hAnsiTheme="minorHAnsi"/>
          <w:noProof/>
          <w:color w:val="auto"/>
          <w:szCs w:val="22"/>
          <w14:ligatures w14:val="standardContextual"/>
        </w:rPr>
      </w:pPr>
      <w:hyperlink w:anchor="_Toc166762088" w:history="1">
        <w:r w:rsidRPr="00736296">
          <w:rPr>
            <w:rStyle w:val="Hyperlink"/>
            <w:noProof/>
          </w:rPr>
          <w:t xml:space="preserve">5.3.1 </w:t>
        </w:r>
        <w:r w:rsidRPr="00736296">
          <w:rPr>
            <w:rStyle w:val="Hyperlink"/>
            <w:noProof/>
          </w:rPr>
          <w:t>直销模式</w:t>
        </w:r>
        <w:r>
          <w:rPr>
            <w:noProof/>
            <w:webHidden/>
          </w:rPr>
          <w:tab/>
        </w:r>
        <w:r>
          <w:rPr>
            <w:noProof/>
            <w:webHidden/>
          </w:rPr>
          <w:fldChar w:fldCharType="begin"/>
        </w:r>
        <w:r>
          <w:rPr>
            <w:noProof/>
            <w:webHidden/>
          </w:rPr>
          <w:instrText xml:space="preserve"> PAGEREF _Toc166762088 \h </w:instrText>
        </w:r>
        <w:r>
          <w:rPr>
            <w:noProof/>
            <w:webHidden/>
          </w:rPr>
          <w:fldChar w:fldCharType="separate"/>
        </w:r>
        <w:r>
          <w:rPr>
            <w:noProof/>
            <w:webHidden/>
          </w:rPr>
          <w:t>35</w:t>
        </w:r>
        <w:r>
          <w:rPr>
            <w:noProof/>
            <w:webHidden/>
          </w:rPr>
          <w:fldChar w:fldCharType="end"/>
        </w:r>
      </w:hyperlink>
    </w:p>
    <w:p w:rsidR="00AA59F4" w14:paraId="2AD9EAD2" w14:textId="7B64CBEE">
      <w:pPr>
        <w:pStyle w:val="TOC3"/>
        <w:rPr>
          <w:rFonts w:asciiTheme="minorHAnsi" w:eastAsiaTheme="minorEastAsia" w:hAnsiTheme="minorHAnsi"/>
          <w:noProof/>
          <w:color w:val="auto"/>
          <w:szCs w:val="22"/>
          <w14:ligatures w14:val="standardContextual"/>
        </w:rPr>
      </w:pPr>
      <w:hyperlink w:anchor="_Toc166762089" w:history="1">
        <w:r w:rsidRPr="00736296">
          <w:rPr>
            <w:rStyle w:val="Hyperlink"/>
            <w:noProof/>
          </w:rPr>
          <w:t xml:space="preserve">5.3.2 </w:t>
        </w:r>
        <w:r w:rsidRPr="00736296">
          <w:rPr>
            <w:rStyle w:val="Hyperlink"/>
            <w:noProof/>
          </w:rPr>
          <w:t>经销</w:t>
        </w:r>
        <w:r w:rsidRPr="00736296">
          <w:rPr>
            <w:rStyle w:val="Hyperlink"/>
            <w:noProof/>
          </w:rPr>
          <w:t>/</w:t>
        </w:r>
        <w:r w:rsidRPr="00736296">
          <w:rPr>
            <w:rStyle w:val="Hyperlink"/>
            <w:noProof/>
          </w:rPr>
          <w:t>代理模式</w:t>
        </w:r>
        <w:r>
          <w:rPr>
            <w:noProof/>
            <w:webHidden/>
          </w:rPr>
          <w:tab/>
        </w:r>
        <w:r>
          <w:rPr>
            <w:noProof/>
            <w:webHidden/>
          </w:rPr>
          <w:fldChar w:fldCharType="begin"/>
        </w:r>
        <w:r>
          <w:rPr>
            <w:noProof/>
            <w:webHidden/>
          </w:rPr>
          <w:instrText xml:space="preserve"> PAGEREF _Toc166762089 \h </w:instrText>
        </w:r>
        <w:r>
          <w:rPr>
            <w:noProof/>
            <w:webHidden/>
          </w:rPr>
          <w:fldChar w:fldCharType="separate"/>
        </w:r>
        <w:r>
          <w:rPr>
            <w:noProof/>
            <w:webHidden/>
          </w:rPr>
          <w:t>35</w:t>
        </w:r>
        <w:r>
          <w:rPr>
            <w:noProof/>
            <w:webHidden/>
          </w:rPr>
          <w:fldChar w:fldCharType="end"/>
        </w:r>
      </w:hyperlink>
    </w:p>
    <w:p w:rsidR="00AA59F4" w14:paraId="05123869" w14:textId="685E4D50">
      <w:pPr>
        <w:pStyle w:val="TOC3"/>
        <w:rPr>
          <w:rFonts w:asciiTheme="minorHAnsi" w:eastAsiaTheme="minorEastAsia" w:hAnsiTheme="minorHAnsi"/>
          <w:noProof/>
          <w:color w:val="auto"/>
          <w:szCs w:val="22"/>
          <w14:ligatures w14:val="standardContextual"/>
        </w:rPr>
      </w:pPr>
      <w:hyperlink w:anchor="_Toc166762090" w:history="1">
        <w:r w:rsidRPr="00736296">
          <w:rPr>
            <w:rStyle w:val="Hyperlink"/>
            <w:noProof/>
          </w:rPr>
          <w:t xml:space="preserve">5.3.3 </w:t>
        </w:r>
        <w:r w:rsidRPr="00736296">
          <w:rPr>
            <w:rStyle w:val="Hyperlink"/>
            <w:noProof/>
          </w:rPr>
          <w:t>销售渠道分析</w:t>
        </w:r>
        <w:r>
          <w:rPr>
            <w:noProof/>
            <w:webHidden/>
          </w:rPr>
          <w:tab/>
        </w:r>
        <w:r>
          <w:rPr>
            <w:noProof/>
            <w:webHidden/>
          </w:rPr>
          <w:fldChar w:fldCharType="begin"/>
        </w:r>
        <w:r>
          <w:rPr>
            <w:noProof/>
            <w:webHidden/>
          </w:rPr>
          <w:instrText xml:space="preserve"> PAGEREF _Toc166762090 \h </w:instrText>
        </w:r>
        <w:r>
          <w:rPr>
            <w:noProof/>
            <w:webHidden/>
          </w:rPr>
          <w:fldChar w:fldCharType="separate"/>
        </w:r>
        <w:r>
          <w:rPr>
            <w:noProof/>
            <w:webHidden/>
          </w:rPr>
          <w:t>35</w:t>
        </w:r>
        <w:r>
          <w:rPr>
            <w:noProof/>
            <w:webHidden/>
          </w:rPr>
          <w:fldChar w:fldCharType="end"/>
        </w:r>
      </w:hyperlink>
    </w:p>
    <w:p w:rsidR="00AA59F4" w14:paraId="270AB783" w14:textId="34CFE1A1">
      <w:pPr>
        <w:pStyle w:val="TOC3"/>
        <w:rPr>
          <w:rFonts w:asciiTheme="minorHAnsi" w:eastAsiaTheme="minorEastAsia" w:hAnsiTheme="minorHAnsi"/>
          <w:noProof/>
          <w:color w:val="auto"/>
          <w:szCs w:val="22"/>
          <w14:ligatures w14:val="standardContextual"/>
        </w:rPr>
      </w:pPr>
      <w:hyperlink w:anchor="_Toc166762091" w:history="1">
        <w:r w:rsidRPr="00736296">
          <w:rPr>
            <w:rStyle w:val="Hyperlink"/>
            <w:noProof/>
          </w:rPr>
          <w:t xml:space="preserve">5.3.4 </w:t>
        </w:r>
        <w:r w:rsidR="001C34EF">
          <w:rPr>
            <w:rStyle w:val="Hyperlink"/>
            <w:noProof/>
          </w:rPr>
          <w:t>东南亚市场</w:t>
        </w:r>
        <w:r w:rsidR="001C34EF">
          <w:rPr>
            <w:rStyle w:val="Hyperlink"/>
            <w:noProof/>
          </w:rPr>
          <w:t>电子式热分配表(HCA)</w:t>
        </w:r>
        <w:r w:rsidRPr="00736296">
          <w:rPr>
            <w:rStyle w:val="Hyperlink"/>
            <w:noProof/>
          </w:rPr>
          <w:t>代表性代理商分析</w:t>
        </w:r>
        <w:r>
          <w:rPr>
            <w:noProof/>
            <w:webHidden/>
          </w:rPr>
          <w:tab/>
        </w:r>
        <w:r>
          <w:rPr>
            <w:noProof/>
            <w:webHidden/>
          </w:rPr>
          <w:fldChar w:fldCharType="begin"/>
        </w:r>
        <w:r>
          <w:rPr>
            <w:noProof/>
            <w:webHidden/>
          </w:rPr>
          <w:instrText xml:space="preserve"> PAGEREF _Toc166762091 \h </w:instrText>
        </w:r>
        <w:r>
          <w:rPr>
            <w:noProof/>
            <w:webHidden/>
          </w:rPr>
          <w:fldChar w:fldCharType="separate"/>
        </w:r>
        <w:r>
          <w:rPr>
            <w:noProof/>
            <w:webHidden/>
          </w:rPr>
          <w:t>36</w:t>
        </w:r>
        <w:r>
          <w:rPr>
            <w:noProof/>
            <w:webHidden/>
          </w:rPr>
          <w:fldChar w:fldCharType="end"/>
        </w:r>
      </w:hyperlink>
    </w:p>
    <w:p w:rsidR="00AA59F4" w14:paraId="612EEC3D" w14:textId="71D59146">
      <w:pPr>
        <w:pStyle w:val="TOC2"/>
        <w:tabs>
          <w:tab w:val="right" w:pos="9736"/>
        </w:tabs>
        <w:rPr>
          <w:rFonts w:asciiTheme="minorHAnsi" w:eastAsiaTheme="minorEastAsia" w:hAnsiTheme="minorHAnsi"/>
          <w:b w:val="0"/>
          <w:noProof/>
          <w:color w:val="auto"/>
          <w:spacing w:val="0"/>
          <w:kern w:val="2"/>
          <w:lang w:eastAsia="zh-CN"/>
          <w14:ligatures w14:val="standardContextual"/>
        </w:rPr>
      </w:pPr>
      <w:hyperlink w:anchor="_Toc166762092" w:history="1">
        <w:r w:rsidRPr="00736296">
          <w:rPr>
            <w:rStyle w:val="Hyperlink"/>
            <w:noProof/>
            <w:lang w:val="en-IN"/>
          </w:rPr>
          <w:t>5.4</w:t>
        </w:r>
        <w:r w:rsidRPr="00736296">
          <w:rPr>
            <w:rStyle w:val="Hyperlink"/>
            <w:noProof/>
          </w:rPr>
          <w:t xml:space="preserve"> 电子式热分配表(HCA)</w:t>
        </w:r>
        <w:r w:rsidRPr="00736296">
          <w:rPr>
            <w:rStyle w:val="Hyperlink"/>
            <w:noProof/>
          </w:rPr>
          <w:t>行业生产模式</w:t>
        </w:r>
        <w:r>
          <w:rPr>
            <w:noProof/>
            <w:webHidden/>
          </w:rPr>
          <w:tab/>
        </w:r>
        <w:r>
          <w:rPr>
            <w:noProof/>
            <w:webHidden/>
          </w:rPr>
          <w:fldChar w:fldCharType="begin"/>
        </w:r>
        <w:r>
          <w:rPr>
            <w:noProof/>
            <w:webHidden/>
          </w:rPr>
          <w:instrText xml:space="preserve"> PAGEREF _Toc166762092 \h </w:instrText>
        </w:r>
        <w:r>
          <w:rPr>
            <w:noProof/>
            <w:webHidden/>
          </w:rPr>
          <w:fldChar w:fldCharType="separate"/>
        </w:r>
        <w:r>
          <w:rPr>
            <w:noProof/>
            <w:webHidden/>
          </w:rPr>
          <w:t>36</w:t>
        </w:r>
        <w:r>
          <w:rPr>
            <w:noProof/>
            <w:webHidden/>
          </w:rPr>
          <w:fldChar w:fldCharType="end"/>
        </w:r>
      </w:hyperlink>
    </w:p>
    <w:p w:rsidR="00AA59F4" w14:paraId="6029BD38" w14:textId="60AF9B61">
      <w:pPr>
        <w:pStyle w:val="TOC2"/>
        <w:tabs>
          <w:tab w:val="right" w:pos="9736"/>
        </w:tabs>
        <w:rPr>
          <w:rFonts w:asciiTheme="minorHAnsi" w:eastAsiaTheme="minorEastAsia" w:hAnsiTheme="minorHAnsi"/>
          <w:b w:val="0"/>
          <w:noProof/>
          <w:color w:val="auto"/>
          <w:spacing w:val="0"/>
          <w:kern w:val="2"/>
          <w:lang w:eastAsia="zh-CN"/>
          <w14:ligatures w14:val="standardContextual"/>
        </w:rPr>
      </w:pPr>
      <w:hyperlink w:anchor="_Toc166762093" w:history="1">
        <w:r w:rsidRPr="00736296">
          <w:rPr>
            <w:rStyle w:val="Hyperlink"/>
            <w:noProof/>
          </w:rPr>
          <w:t xml:space="preserve">5.5 </w:t>
        </w:r>
        <w:r w:rsidR="001C34EF">
          <w:rPr>
            <w:rStyle w:val="Hyperlink"/>
            <w:noProof/>
          </w:rPr>
          <w:t>东南亚</w:t>
        </w:r>
        <w:r w:rsidR="001C34EF">
          <w:rPr>
            <w:rStyle w:val="Hyperlink"/>
            <w:noProof/>
          </w:rPr>
          <w:t>电子式热分配表(HCA)</w:t>
        </w:r>
        <w:r w:rsidRPr="00736296">
          <w:rPr>
            <w:rStyle w:val="Hyperlink"/>
            <w:noProof/>
          </w:rPr>
          <w:t>进出口分析</w:t>
        </w:r>
        <w:r>
          <w:rPr>
            <w:noProof/>
            <w:webHidden/>
          </w:rPr>
          <w:tab/>
        </w:r>
        <w:r>
          <w:rPr>
            <w:noProof/>
            <w:webHidden/>
          </w:rPr>
          <w:fldChar w:fldCharType="begin"/>
        </w:r>
        <w:r>
          <w:rPr>
            <w:noProof/>
            <w:webHidden/>
          </w:rPr>
          <w:instrText xml:space="preserve"> PAGEREF _Toc166762093 \h </w:instrText>
        </w:r>
        <w:r>
          <w:rPr>
            <w:noProof/>
            <w:webHidden/>
          </w:rPr>
          <w:fldChar w:fldCharType="separate"/>
        </w:r>
        <w:r>
          <w:rPr>
            <w:noProof/>
            <w:webHidden/>
          </w:rPr>
          <w:t>36</w:t>
        </w:r>
        <w:r>
          <w:rPr>
            <w:noProof/>
            <w:webHidden/>
          </w:rPr>
          <w:fldChar w:fldCharType="end"/>
        </w:r>
      </w:hyperlink>
    </w:p>
    <w:p w:rsidR="00AA59F4" w14:paraId="3C4CFE1D" w14:textId="42DC4FFE">
      <w:pPr>
        <w:pStyle w:val="TOC3"/>
        <w:rPr>
          <w:rFonts w:asciiTheme="minorHAnsi" w:eastAsiaTheme="minorEastAsia" w:hAnsiTheme="minorHAnsi"/>
          <w:noProof/>
          <w:color w:val="auto"/>
          <w:szCs w:val="22"/>
          <w14:ligatures w14:val="standardContextual"/>
        </w:rPr>
      </w:pPr>
      <w:hyperlink w:anchor="_Toc166762094" w:history="1">
        <w:r w:rsidRPr="00736296">
          <w:rPr>
            <w:rStyle w:val="Hyperlink"/>
            <w:noProof/>
          </w:rPr>
          <w:t xml:space="preserve">5.5.1 </w:t>
        </w:r>
        <w:r w:rsidR="001C34EF">
          <w:rPr>
            <w:rStyle w:val="Hyperlink"/>
            <w:noProof/>
          </w:rPr>
          <w:t>东南亚市场</w:t>
        </w:r>
        <w:r w:rsidR="001C34EF">
          <w:rPr>
            <w:rStyle w:val="Hyperlink"/>
            <w:noProof/>
          </w:rPr>
          <w:t>电子式热分配表(HCA)</w:t>
        </w:r>
        <w:r w:rsidRPr="00736296">
          <w:rPr>
            <w:rStyle w:val="Hyperlink"/>
            <w:noProof/>
          </w:rPr>
          <w:t>主要进口来源</w:t>
        </w:r>
        <w:r>
          <w:rPr>
            <w:noProof/>
            <w:webHidden/>
          </w:rPr>
          <w:tab/>
        </w:r>
        <w:r>
          <w:rPr>
            <w:noProof/>
            <w:webHidden/>
          </w:rPr>
          <w:fldChar w:fldCharType="begin"/>
        </w:r>
        <w:r>
          <w:rPr>
            <w:noProof/>
            <w:webHidden/>
          </w:rPr>
          <w:instrText xml:space="preserve"> PAGEREF _Toc166762094 \h </w:instrText>
        </w:r>
        <w:r>
          <w:rPr>
            <w:noProof/>
            <w:webHidden/>
          </w:rPr>
          <w:fldChar w:fldCharType="separate"/>
        </w:r>
        <w:r>
          <w:rPr>
            <w:noProof/>
            <w:webHidden/>
          </w:rPr>
          <w:t>36</w:t>
        </w:r>
        <w:r>
          <w:rPr>
            <w:noProof/>
            <w:webHidden/>
          </w:rPr>
          <w:fldChar w:fldCharType="end"/>
        </w:r>
      </w:hyperlink>
    </w:p>
    <w:p w:rsidR="00AA59F4" w14:paraId="70BD602B" w14:textId="1F6E6C2B">
      <w:pPr>
        <w:pStyle w:val="TOC3"/>
        <w:rPr>
          <w:rFonts w:asciiTheme="minorHAnsi" w:eastAsiaTheme="minorEastAsia" w:hAnsiTheme="minorHAnsi"/>
          <w:noProof/>
          <w:color w:val="auto"/>
          <w:szCs w:val="22"/>
          <w14:ligatures w14:val="standardContextual"/>
        </w:rPr>
      </w:pPr>
      <w:hyperlink w:anchor="_Toc166762095" w:history="1">
        <w:r w:rsidRPr="00736296">
          <w:rPr>
            <w:rStyle w:val="Hyperlink"/>
            <w:noProof/>
          </w:rPr>
          <w:t xml:space="preserve">5.5.2 </w:t>
        </w:r>
        <w:r w:rsidR="001C34EF">
          <w:rPr>
            <w:rStyle w:val="Hyperlink"/>
            <w:noProof/>
          </w:rPr>
          <w:t>东南亚市场</w:t>
        </w:r>
        <w:r w:rsidR="001C34EF">
          <w:rPr>
            <w:rStyle w:val="Hyperlink"/>
            <w:noProof/>
          </w:rPr>
          <w:t>电子式热分配表(HCA)</w:t>
        </w:r>
        <w:r w:rsidRPr="00736296">
          <w:rPr>
            <w:rStyle w:val="Hyperlink"/>
            <w:noProof/>
          </w:rPr>
          <w:t>主要出口目的地</w:t>
        </w:r>
        <w:r>
          <w:rPr>
            <w:noProof/>
            <w:webHidden/>
          </w:rPr>
          <w:tab/>
        </w:r>
        <w:r>
          <w:rPr>
            <w:noProof/>
            <w:webHidden/>
          </w:rPr>
          <w:fldChar w:fldCharType="begin"/>
        </w:r>
        <w:r>
          <w:rPr>
            <w:noProof/>
            <w:webHidden/>
          </w:rPr>
          <w:instrText xml:space="preserve"> PAGEREF _Toc166762095 \h </w:instrText>
        </w:r>
        <w:r>
          <w:rPr>
            <w:noProof/>
            <w:webHidden/>
          </w:rPr>
          <w:fldChar w:fldCharType="separate"/>
        </w:r>
        <w:r>
          <w:rPr>
            <w:noProof/>
            <w:webHidden/>
          </w:rPr>
          <w:t>37</w:t>
        </w:r>
        <w:r>
          <w:rPr>
            <w:noProof/>
            <w:webHidden/>
          </w:rPr>
          <w:fldChar w:fldCharType="end"/>
        </w:r>
      </w:hyperlink>
    </w:p>
    <w:p w:rsidR="00AA59F4" w14:paraId="2C1F5652" w14:textId="1C53A9B8">
      <w:pPr>
        <w:pStyle w:val="TOC1"/>
        <w:rPr>
          <w:rFonts w:asciiTheme="minorHAnsi" w:eastAsiaTheme="minorEastAsia" w:hAnsiTheme="minorHAnsi" w:cstheme="minorBidi"/>
          <w:b w:val="0"/>
          <w:bCs w:val="0"/>
          <w:color w:val="auto"/>
          <w:kern w:val="2"/>
          <w:szCs w:val="22"/>
          <w:lang w:val="en-US" w:eastAsia="zh-CN"/>
          <w14:ligatures w14:val="standardContextual"/>
        </w:rPr>
      </w:pPr>
      <w:hyperlink w:anchor="_Toc166762096" w:history="1">
        <w:r w:rsidRPr="00736296">
          <w:rPr>
            <w:rStyle w:val="Hyperlink"/>
          </w:rPr>
          <w:t xml:space="preserve">6 </w:t>
        </w:r>
        <w:r w:rsidRPr="00736296">
          <w:rPr>
            <w:rStyle w:val="Hyperlink"/>
          </w:rPr>
          <w:t>行业</w:t>
        </w:r>
        <w:r w:rsidRPr="00736296">
          <w:rPr>
            <w:rStyle w:val="Hyperlink"/>
            <w:lang w:eastAsia="zh-CN"/>
          </w:rPr>
          <w:t>发展趋势及影响因素</w:t>
        </w:r>
        <w:r>
          <w:rPr>
            <w:webHidden/>
          </w:rPr>
          <w:tab/>
        </w:r>
        <w:r>
          <w:rPr>
            <w:webHidden/>
          </w:rPr>
          <w:fldChar w:fldCharType="begin"/>
        </w:r>
        <w:r>
          <w:rPr>
            <w:webHidden/>
          </w:rPr>
          <w:instrText xml:space="preserve"> PAGEREF _Toc166762096 \h </w:instrText>
        </w:r>
        <w:r>
          <w:rPr>
            <w:webHidden/>
          </w:rPr>
          <w:fldChar w:fldCharType="separate"/>
        </w:r>
        <w:r>
          <w:rPr>
            <w:webHidden/>
          </w:rPr>
          <w:t>38</w:t>
        </w:r>
        <w:r>
          <w:rPr>
            <w:webHidden/>
          </w:rPr>
          <w:fldChar w:fldCharType="end"/>
        </w:r>
      </w:hyperlink>
    </w:p>
    <w:p w:rsidR="00AA59F4" w14:paraId="493F55A4" w14:textId="1E6FEA8E">
      <w:pPr>
        <w:pStyle w:val="TOC2"/>
        <w:tabs>
          <w:tab w:val="right" w:pos="9736"/>
        </w:tabs>
        <w:rPr>
          <w:rFonts w:asciiTheme="minorHAnsi" w:eastAsiaTheme="minorEastAsia" w:hAnsiTheme="minorHAnsi"/>
          <w:b w:val="0"/>
          <w:noProof/>
          <w:color w:val="auto"/>
          <w:spacing w:val="0"/>
          <w:kern w:val="2"/>
          <w:lang w:eastAsia="zh-CN"/>
          <w14:ligatures w14:val="standardContextual"/>
        </w:rPr>
      </w:pPr>
      <w:hyperlink w:anchor="_Toc166762097" w:history="1">
        <w:r w:rsidRPr="00736296">
          <w:rPr>
            <w:rStyle w:val="Hyperlink"/>
            <w:noProof/>
          </w:rPr>
          <w:t>6.1 电子式热分配表(HCA)</w:t>
        </w:r>
        <w:r w:rsidRPr="00736296">
          <w:rPr>
            <w:rStyle w:val="Hyperlink"/>
            <w:noProof/>
          </w:rPr>
          <w:t>行业发展分析</w:t>
        </w:r>
        <w:r w:rsidRPr="00736296">
          <w:rPr>
            <w:rStyle w:val="Hyperlink"/>
            <w:noProof/>
          </w:rPr>
          <w:t>---</w:t>
        </w:r>
        <w:r w:rsidRPr="00736296">
          <w:rPr>
            <w:rStyle w:val="Hyperlink"/>
            <w:noProof/>
          </w:rPr>
          <w:t>发展趋势</w:t>
        </w:r>
        <w:r>
          <w:rPr>
            <w:noProof/>
            <w:webHidden/>
          </w:rPr>
          <w:tab/>
        </w:r>
        <w:r>
          <w:rPr>
            <w:noProof/>
            <w:webHidden/>
          </w:rPr>
          <w:fldChar w:fldCharType="begin"/>
        </w:r>
        <w:r>
          <w:rPr>
            <w:noProof/>
            <w:webHidden/>
          </w:rPr>
          <w:instrText xml:space="preserve"> PAGEREF _Toc166762097 \h </w:instrText>
        </w:r>
        <w:r>
          <w:rPr>
            <w:noProof/>
            <w:webHidden/>
          </w:rPr>
          <w:fldChar w:fldCharType="separate"/>
        </w:r>
        <w:r>
          <w:rPr>
            <w:noProof/>
            <w:webHidden/>
          </w:rPr>
          <w:t>38</w:t>
        </w:r>
        <w:r>
          <w:rPr>
            <w:noProof/>
            <w:webHidden/>
          </w:rPr>
          <w:fldChar w:fldCharType="end"/>
        </w:r>
      </w:hyperlink>
    </w:p>
    <w:p w:rsidR="00AA59F4" w14:paraId="1DC543DB" w14:textId="4D1D4AE2">
      <w:pPr>
        <w:pStyle w:val="TOC2"/>
        <w:tabs>
          <w:tab w:val="right" w:pos="9736"/>
        </w:tabs>
        <w:rPr>
          <w:rFonts w:asciiTheme="minorHAnsi" w:eastAsiaTheme="minorEastAsia" w:hAnsiTheme="minorHAnsi"/>
          <w:b w:val="0"/>
          <w:noProof/>
          <w:color w:val="auto"/>
          <w:spacing w:val="0"/>
          <w:kern w:val="2"/>
          <w:lang w:eastAsia="zh-CN"/>
          <w14:ligatures w14:val="standardContextual"/>
        </w:rPr>
      </w:pPr>
      <w:hyperlink w:anchor="_Toc166762098" w:history="1">
        <w:r w:rsidRPr="00736296">
          <w:rPr>
            <w:rStyle w:val="Hyperlink"/>
            <w:noProof/>
          </w:rPr>
          <w:t>6.2 电子式热分配表(HCA)</w:t>
        </w:r>
        <w:r w:rsidRPr="00736296">
          <w:rPr>
            <w:rStyle w:val="Hyperlink"/>
            <w:noProof/>
          </w:rPr>
          <w:t>行业发展分析</w:t>
        </w:r>
        <w:r w:rsidRPr="00736296">
          <w:rPr>
            <w:rStyle w:val="Hyperlink"/>
            <w:noProof/>
          </w:rPr>
          <w:t>---</w:t>
        </w:r>
        <w:r w:rsidRPr="00736296">
          <w:rPr>
            <w:rStyle w:val="Hyperlink"/>
            <w:noProof/>
          </w:rPr>
          <w:t>厂商壁垒</w:t>
        </w:r>
        <w:r>
          <w:rPr>
            <w:noProof/>
            <w:webHidden/>
          </w:rPr>
          <w:tab/>
        </w:r>
        <w:r>
          <w:rPr>
            <w:noProof/>
            <w:webHidden/>
          </w:rPr>
          <w:fldChar w:fldCharType="begin"/>
        </w:r>
        <w:r>
          <w:rPr>
            <w:noProof/>
            <w:webHidden/>
          </w:rPr>
          <w:instrText xml:space="preserve"> PAGEREF _Toc166762098 \h </w:instrText>
        </w:r>
        <w:r>
          <w:rPr>
            <w:noProof/>
            <w:webHidden/>
          </w:rPr>
          <w:fldChar w:fldCharType="separate"/>
        </w:r>
        <w:r>
          <w:rPr>
            <w:noProof/>
            <w:webHidden/>
          </w:rPr>
          <w:t>38</w:t>
        </w:r>
        <w:r>
          <w:rPr>
            <w:noProof/>
            <w:webHidden/>
          </w:rPr>
          <w:fldChar w:fldCharType="end"/>
        </w:r>
      </w:hyperlink>
    </w:p>
    <w:p w:rsidR="00AA59F4" w14:paraId="33C8E2C7" w14:textId="62C8D950">
      <w:pPr>
        <w:pStyle w:val="TOC2"/>
        <w:tabs>
          <w:tab w:val="right" w:pos="9736"/>
        </w:tabs>
        <w:rPr>
          <w:rFonts w:asciiTheme="minorHAnsi" w:eastAsiaTheme="minorEastAsia" w:hAnsiTheme="minorHAnsi"/>
          <w:b w:val="0"/>
          <w:noProof/>
          <w:color w:val="auto"/>
          <w:spacing w:val="0"/>
          <w:kern w:val="2"/>
          <w:lang w:eastAsia="zh-CN"/>
          <w14:ligatures w14:val="standardContextual"/>
        </w:rPr>
      </w:pPr>
      <w:hyperlink w:anchor="_Toc166762099" w:history="1">
        <w:r w:rsidRPr="00736296">
          <w:rPr>
            <w:rStyle w:val="Hyperlink"/>
            <w:noProof/>
          </w:rPr>
          <w:t>6.3 电子式热分配表(HCA)</w:t>
        </w:r>
        <w:r w:rsidRPr="00736296">
          <w:rPr>
            <w:rStyle w:val="Hyperlink"/>
            <w:noProof/>
          </w:rPr>
          <w:t>行业发展分析</w:t>
        </w:r>
        <w:r w:rsidRPr="00736296">
          <w:rPr>
            <w:rStyle w:val="Hyperlink"/>
            <w:noProof/>
          </w:rPr>
          <w:t>---</w:t>
        </w:r>
        <w:r w:rsidRPr="00736296">
          <w:rPr>
            <w:rStyle w:val="Hyperlink"/>
            <w:noProof/>
          </w:rPr>
          <w:t>驱动因素</w:t>
        </w:r>
        <w:r>
          <w:rPr>
            <w:noProof/>
            <w:webHidden/>
          </w:rPr>
          <w:tab/>
        </w:r>
        <w:r>
          <w:rPr>
            <w:noProof/>
            <w:webHidden/>
          </w:rPr>
          <w:fldChar w:fldCharType="begin"/>
        </w:r>
        <w:r>
          <w:rPr>
            <w:noProof/>
            <w:webHidden/>
          </w:rPr>
          <w:instrText xml:space="preserve"> PAGEREF _Toc166762099 \h </w:instrText>
        </w:r>
        <w:r>
          <w:rPr>
            <w:noProof/>
            <w:webHidden/>
          </w:rPr>
          <w:fldChar w:fldCharType="separate"/>
        </w:r>
        <w:r>
          <w:rPr>
            <w:noProof/>
            <w:webHidden/>
          </w:rPr>
          <w:t>38</w:t>
        </w:r>
        <w:r>
          <w:rPr>
            <w:noProof/>
            <w:webHidden/>
          </w:rPr>
          <w:fldChar w:fldCharType="end"/>
        </w:r>
      </w:hyperlink>
    </w:p>
    <w:p w:rsidR="00AA59F4" w14:paraId="3CB0CB4D" w14:textId="3F22F0BE">
      <w:pPr>
        <w:pStyle w:val="TOC2"/>
        <w:tabs>
          <w:tab w:val="right" w:pos="9736"/>
        </w:tabs>
        <w:rPr>
          <w:rFonts w:asciiTheme="minorHAnsi" w:eastAsiaTheme="minorEastAsia" w:hAnsiTheme="minorHAnsi"/>
          <w:b w:val="0"/>
          <w:noProof/>
          <w:color w:val="auto"/>
          <w:spacing w:val="0"/>
          <w:kern w:val="2"/>
          <w:lang w:eastAsia="zh-CN"/>
          <w14:ligatures w14:val="standardContextual"/>
        </w:rPr>
      </w:pPr>
      <w:hyperlink w:anchor="_Toc166762100" w:history="1">
        <w:r w:rsidRPr="00736296">
          <w:rPr>
            <w:rStyle w:val="Hyperlink"/>
            <w:noProof/>
          </w:rPr>
          <w:t>6.4 电子式热分配表(HCA)</w:t>
        </w:r>
        <w:r w:rsidRPr="00736296">
          <w:rPr>
            <w:rStyle w:val="Hyperlink"/>
            <w:noProof/>
          </w:rPr>
          <w:t>行业发展分析</w:t>
        </w:r>
        <w:r w:rsidRPr="00736296">
          <w:rPr>
            <w:rStyle w:val="Hyperlink"/>
            <w:noProof/>
          </w:rPr>
          <w:t>---</w:t>
        </w:r>
        <w:r w:rsidRPr="00736296">
          <w:rPr>
            <w:rStyle w:val="Hyperlink"/>
            <w:noProof/>
          </w:rPr>
          <w:t>制约因素</w:t>
        </w:r>
        <w:r>
          <w:rPr>
            <w:noProof/>
            <w:webHidden/>
          </w:rPr>
          <w:tab/>
        </w:r>
        <w:r>
          <w:rPr>
            <w:noProof/>
            <w:webHidden/>
          </w:rPr>
          <w:fldChar w:fldCharType="begin"/>
        </w:r>
        <w:r>
          <w:rPr>
            <w:noProof/>
            <w:webHidden/>
          </w:rPr>
          <w:instrText xml:space="preserve"> PAGEREF _Toc166762100 \h </w:instrText>
        </w:r>
        <w:r>
          <w:rPr>
            <w:noProof/>
            <w:webHidden/>
          </w:rPr>
          <w:fldChar w:fldCharType="separate"/>
        </w:r>
        <w:r>
          <w:rPr>
            <w:noProof/>
            <w:webHidden/>
          </w:rPr>
          <w:t>39</w:t>
        </w:r>
        <w:r>
          <w:rPr>
            <w:noProof/>
            <w:webHidden/>
          </w:rPr>
          <w:fldChar w:fldCharType="end"/>
        </w:r>
      </w:hyperlink>
    </w:p>
    <w:p w:rsidR="00AA59F4" w14:paraId="65742F19" w14:textId="7D1F62C4">
      <w:pPr>
        <w:pStyle w:val="TOC2"/>
        <w:tabs>
          <w:tab w:val="right" w:pos="9736"/>
        </w:tabs>
        <w:rPr>
          <w:rFonts w:asciiTheme="minorHAnsi" w:eastAsiaTheme="minorEastAsia" w:hAnsiTheme="minorHAnsi"/>
          <w:b w:val="0"/>
          <w:noProof/>
          <w:color w:val="auto"/>
          <w:spacing w:val="0"/>
          <w:kern w:val="2"/>
          <w:lang w:eastAsia="zh-CN"/>
          <w14:ligatures w14:val="standardContextual"/>
        </w:rPr>
      </w:pPr>
      <w:hyperlink w:anchor="_Toc166762101" w:history="1">
        <w:r w:rsidRPr="00736296">
          <w:rPr>
            <w:rStyle w:val="Hyperlink"/>
            <w:noProof/>
          </w:rPr>
          <w:t>6.5 电子式热分配表(HCA)</w:t>
        </w:r>
        <w:r w:rsidRPr="00736296">
          <w:rPr>
            <w:rStyle w:val="Hyperlink"/>
            <w:noProof/>
          </w:rPr>
          <w:t>行业发展分析</w:t>
        </w:r>
        <w:r w:rsidRPr="00736296">
          <w:rPr>
            <w:rStyle w:val="Hyperlink"/>
            <w:noProof/>
          </w:rPr>
          <w:t>---</w:t>
        </w:r>
        <w:r w:rsidRPr="00736296">
          <w:rPr>
            <w:rStyle w:val="Hyperlink"/>
            <w:noProof/>
          </w:rPr>
          <w:t>行业政策</w:t>
        </w:r>
        <w:r>
          <w:rPr>
            <w:noProof/>
            <w:webHidden/>
          </w:rPr>
          <w:tab/>
        </w:r>
        <w:r>
          <w:rPr>
            <w:noProof/>
            <w:webHidden/>
          </w:rPr>
          <w:fldChar w:fldCharType="begin"/>
        </w:r>
        <w:r>
          <w:rPr>
            <w:noProof/>
            <w:webHidden/>
          </w:rPr>
          <w:instrText xml:space="preserve"> PAGEREF _Toc166762101 \h </w:instrText>
        </w:r>
        <w:r>
          <w:rPr>
            <w:noProof/>
            <w:webHidden/>
          </w:rPr>
          <w:fldChar w:fldCharType="separate"/>
        </w:r>
        <w:r>
          <w:rPr>
            <w:noProof/>
            <w:webHidden/>
          </w:rPr>
          <w:t>39</w:t>
        </w:r>
        <w:r>
          <w:rPr>
            <w:noProof/>
            <w:webHidden/>
          </w:rPr>
          <w:fldChar w:fldCharType="end"/>
        </w:r>
      </w:hyperlink>
    </w:p>
    <w:p w:rsidR="00AA59F4" w14:paraId="353FC207" w14:textId="51ADAD5B">
      <w:pPr>
        <w:pStyle w:val="TOC1"/>
        <w:rPr>
          <w:rFonts w:asciiTheme="minorHAnsi" w:eastAsiaTheme="minorEastAsia" w:hAnsiTheme="minorHAnsi" w:cstheme="minorBidi"/>
          <w:b w:val="0"/>
          <w:bCs w:val="0"/>
          <w:color w:val="auto"/>
          <w:kern w:val="2"/>
          <w:szCs w:val="22"/>
          <w:lang w:val="en-US" w:eastAsia="zh-CN"/>
          <w14:ligatures w14:val="standardContextual"/>
        </w:rPr>
      </w:pPr>
      <w:hyperlink w:anchor="_Toc166762102" w:history="1">
        <w:r w:rsidRPr="00736296">
          <w:rPr>
            <w:rStyle w:val="Hyperlink"/>
            <w:lang w:eastAsia="zh-CN"/>
          </w:rPr>
          <w:t xml:space="preserve">7 </w:t>
        </w:r>
        <w:r w:rsidRPr="00736296">
          <w:rPr>
            <w:rStyle w:val="Hyperlink"/>
            <w:lang w:eastAsia="zh-CN"/>
          </w:rPr>
          <w:t>研究成果及结论</w:t>
        </w:r>
        <w:r>
          <w:rPr>
            <w:webHidden/>
          </w:rPr>
          <w:tab/>
        </w:r>
        <w:r>
          <w:rPr>
            <w:webHidden/>
          </w:rPr>
          <w:fldChar w:fldCharType="begin"/>
        </w:r>
        <w:r>
          <w:rPr>
            <w:webHidden/>
          </w:rPr>
          <w:instrText xml:space="preserve"> PAGEREF _Toc166762102 \h </w:instrText>
        </w:r>
        <w:r>
          <w:rPr>
            <w:webHidden/>
          </w:rPr>
          <w:fldChar w:fldCharType="separate"/>
        </w:r>
        <w:r>
          <w:rPr>
            <w:webHidden/>
          </w:rPr>
          <w:t>40</w:t>
        </w:r>
        <w:r>
          <w:rPr>
            <w:webHidden/>
          </w:rPr>
          <w:fldChar w:fldCharType="end"/>
        </w:r>
      </w:hyperlink>
    </w:p>
    <w:p w:rsidR="00AA59F4" w14:paraId="6A034841" w14:textId="1E0C1490">
      <w:pPr>
        <w:pStyle w:val="TOC1"/>
        <w:rPr>
          <w:rFonts w:asciiTheme="minorHAnsi" w:eastAsiaTheme="minorEastAsia" w:hAnsiTheme="minorHAnsi" w:cstheme="minorBidi"/>
          <w:b w:val="0"/>
          <w:bCs w:val="0"/>
          <w:color w:val="auto"/>
          <w:kern w:val="2"/>
          <w:szCs w:val="22"/>
          <w:lang w:val="en-US" w:eastAsia="zh-CN"/>
          <w14:ligatures w14:val="standardContextual"/>
        </w:rPr>
      </w:pPr>
      <w:hyperlink w:anchor="_Toc166762103" w:history="1">
        <w:r w:rsidRPr="00736296">
          <w:rPr>
            <w:rStyle w:val="Hyperlink"/>
          </w:rPr>
          <w:t xml:space="preserve">8 </w:t>
        </w:r>
        <w:r w:rsidRPr="00736296">
          <w:rPr>
            <w:rStyle w:val="Hyperlink"/>
          </w:rPr>
          <w:t>附录</w:t>
        </w:r>
        <w:r>
          <w:rPr>
            <w:webHidden/>
          </w:rPr>
          <w:tab/>
        </w:r>
        <w:r>
          <w:rPr>
            <w:webHidden/>
          </w:rPr>
          <w:fldChar w:fldCharType="begin"/>
        </w:r>
        <w:r>
          <w:rPr>
            <w:webHidden/>
          </w:rPr>
          <w:instrText xml:space="preserve"> PAGEREF _Toc166762103 \h </w:instrText>
        </w:r>
        <w:r>
          <w:rPr>
            <w:webHidden/>
          </w:rPr>
          <w:fldChar w:fldCharType="separate"/>
        </w:r>
        <w:r>
          <w:rPr>
            <w:webHidden/>
          </w:rPr>
          <w:t>41</w:t>
        </w:r>
        <w:r>
          <w:rPr>
            <w:webHidden/>
          </w:rPr>
          <w:fldChar w:fldCharType="end"/>
        </w:r>
      </w:hyperlink>
    </w:p>
    <w:p w:rsidR="00AA59F4" w14:paraId="1AF7CAEB" w14:textId="2327F3E9">
      <w:pPr>
        <w:pStyle w:val="TOC2"/>
        <w:tabs>
          <w:tab w:val="right" w:pos="9736"/>
        </w:tabs>
        <w:rPr>
          <w:rFonts w:asciiTheme="minorHAnsi" w:eastAsiaTheme="minorEastAsia" w:hAnsiTheme="minorHAnsi"/>
          <w:b w:val="0"/>
          <w:noProof/>
          <w:color w:val="auto"/>
          <w:spacing w:val="0"/>
          <w:kern w:val="2"/>
          <w:lang w:eastAsia="zh-CN"/>
          <w14:ligatures w14:val="standardContextual"/>
        </w:rPr>
      </w:pPr>
      <w:hyperlink w:anchor="_Toc166762104" w:history="1">
        <w:r w:rsidRPr="00736296">
          <w:rPr>
            <w:rStyle w:val="Hyperlink"/>
            <w:noProof/>
          </w:rPr>
          <w:t xml:space="preserve">8.1 </w:t>
        </w:r>
        <w:r w:rsidRPr="00736296">
          <w:rPr>
            <w:rStyle w:val="Hyperlink"/>
            <w:noProof/>
          </w:rPr>
          <w:t>研究方法</w:t>
        </w:r>
        <w:r>
          <w:rPr>
            <w:noProof/>
            <w:webHidden/>
          </w:rPr>
          <w:tab/>
        </w:r>
        <w:r>
          <w:rPr>
            <w:noProof/>
            <w:webHidden/>
          </w:rPr>
          <w:fldChar w:fldCharType="begin"/>
        </w:r>
        <w:r>
          <w:rPr>
            <w:noProof/>
            <w:webHidden/>
          </w:rPr>
          <w:instrText xml:space="preserve"> PAGEREF _Toc166762104 \h </w:instrText>
        </w:r>
        <w:r>
          <w:rPr>
            <w:noProof/>
            <w:webHidden/>
          </w:rPr>
          <w:fldChar w:fldCharType="separate"/>
        </w:r>
        <w:r>
          <w:rPr>
            <w:noProof/>
            <w:webHidden/>
          </w:rPr>
          <w:t>41</w:t>
        </w:r>
        <w:r>
          <w:rPr>
            <w:noProof/>
            <w:webHidden/>
          </w:rPr>
          <w:fldChar w:fldCharType="end"/>
        </w:r>
      </w:hyperlink>
    </w:p>
    <w:p w:rsidR="00AA59F4" w14:paraId="2F306307" w14:textId="1A9C3948">
      <w:pPr>
        <w:pStyle w:val="TOC2"/>
        <w:tabs>
          <w:tab w:val="right" w:pos="9736"/>
        </w:tabs>
        <w:rPr>
          <w:rFonts w:asciiTheme="minorHAnsi" w:eastAsiaTheme="minorEastAsia" w:hAnsiTheme="minorHAnsi"/>
          <w:b w:val="0"/>
          <w:noProof/>
          <w:color w:val="auto"/>
          <w:spacing w:val="0"/>
          <w:kern w:val="2"/>
          <w:lang w:eastAsia="zh-CN"/>
          <w14:ligatures w14:val="standardContextual"/>
        </w:rPr>
      </w:pPr>
      <w:hyperlink w:anchor="_Toc166762105" w:history="1">
        <w:r w:rsidRPr="00736296">
          <w:rPr>
            <w:rStyle w:val="Hyperlink"/>
            <w:noProof/>
          </w:rPr>
          <w:t xml:space="preserve">8.2 </w:t>
        </w:r>
        <w:r w:rsidRPr="00736296">
          <w:rPr>
            <w:rStyle w:val="Hyperlink"/>
            <w:noProof/>
          </w:rPr>
          <w:t>数据来源</w:t>
        </w:r>
        <w:r>
          <w:rPr>
            <w:noProof/>
            <w:webHidden/>
          </w:rPr>
          <w:tab/>
        </w:r>
        <w:r>
          <w:rPr>
            <w:noProof/>
            <w:webHidden/>
          </w:rPr>
          <w:fldChar w:fldCharType="begin"/>
        </w:r>
        <w:r>
          <w:rPr>
            <w:noProof/>
            <w:webHidden/>
          </w:rPr>
          <w:instrText xml:space="preserve"> PAGEREF _Toc166762105 \h </w:instrText>
        </w:r>
        <w:r>
          <w:rPr>
            <w:noProof/>
            <w:webHidden/>
          </w:rPr>
          <w:fldChar w:fldCharType="separate"/>
        </w:r>
        <w:r>
          <w:rPr>
            <w:noProof/>
            <w:webHidden/>
          </w:rPr>
          <w:t>42</w:t>
        </w:r>
        <w:r>
          <w:rPr>
            <w:noProof/>
            <w:webHidden/>
          </w:rPr>
          <w:fldChar w:fldCharType="end"/>
        </w:r>
      </w:hyperlink>
    </w:p>
    <w:p w:rsidR="00AA59F4" w14:paraId="6E53CC39" w14:textId="18A0A93B">
      <w:pPr>
        <w:pStyle w:val="TOC3"/>
        <w:rPr>
          <w:rFonts w:asciiTheme="minorHAnsi" w:eastAsiaTheme="minorEastAsia" w:hAnsiTheme="minorHAnsi"/>
          <w:noProof/>
          <w:color w:val="auto"/>
          <w:szCs w:val="22"/>
          <w14:ligatures w14:val="standardContextual"/>
        </w:rPr>
      </w:pPr>
      <w:hyperlink w:anchor="_Toc166762106" w:history="1">
        <w:r w:rsidRPr="00736296">
          <w:rPr>
            <w:rStyle w:val="Hyperlink"/>
            <w:noProof/>
          </w:rPr>
          <w:t xml:space="preserve">8.2.1 </w:t>
        </w:r>
        <w:r w:rsidRPr="00736296">
          <w:rPr>
            <w:rStyle w:val="Hyperlink"/>
            <w:noProof/>
          </w:rPr>
          <w:t>二手信息来源</w:t>
        </w:r>
        <w:r>
          <w:rPr>
            <w:noProof/>
            <w:webHidden/>
          </w:rPr>
          <w:tab/>
        </w:r>
        <w:r>
          <w:rPr>
            <w:noProof/>
            <w:webHidden/>
          </w:rPr>
          <w:fldChar w:fldCharType="begin"/>
        </w:r>
        <w:r>
          <w:rPr>
            <w:noProof/>
            <w:webHidden/>
          </w:rPr>
          <w:instrText xml:space="preserve"> PAGEREF _Toc166762106 \h </w:instrText>
        </w:r>
        <w:r>
          <w:rPr>
            <w:noProof/>
            <w:webHidden/>
          </w:rPr>
          <w:fldChar w:fldCharType="separate"/>
        </w:r>
        <w:r>
          <w:rPr>
            <w:noProof/>
            <w:webHidden/>
          </w:rPr>
          <w:t>42</w:t>
        </w:r>
        <w:r>
          <w:rPr>
            <w:noProof/>
            <w:webHidden/>
          </w:rPr>
          <w:fldChar w:fldCharType="end"/>
        </w:r>
      </w:hyperlink>
    </w:p>
    <w:p w:rsidR="00AA59F4" w14:paraId="1FCE87E4" w14:textId="376E988D">
      <w:pPr>
        <w:pStyle w:val="TOC3"/>
        <w:rPr>
          <w:rFonts w:asciiTheme="minorHAnsi" w:eastAsiaTheme="minorEastAsia" w:hAnsiTheme="minorHAnsi"/>
          <w:noProof/>
          <w:color w:val="auto"/>
          <w:szCs w:val="22"/>
          <w14:ligatures w14:val="standardContextual"/>
        </w:rPr>
      </w:pPr>
      <w:hyperlink w:anchor="_Toc166762107" w:history="1">
        <w:r w:rsidRPr="00736296">
          <w:rPr>
            <w:rStyle w:val="Hyperlink"/>
            <w:noProof/>
          </w:rPr>
          <w:t xml:space="preserve">8.2.2 </w:t>
        </w:r>
        <w:r w:rsidRPr="00736296">
          <w:rPr>
            <w:rStyle w:val="Hyperlink"/>
            <w:noProof/>
          </w:rPr>
          <w:t>一手信息来源</w:t>
        </w:r>
        <w:r>
          <w:rPr>
            <w:noProof/>
            <w:webHidden/>
          </w:rPr>
          <w:tab/>
        </w:r>
        <w:r>
          <w:rPr>
            <w:noProof/>
            <w:webHidden/>
          </w:rPr>
          <w:fldChar w:fldCharType="begin"/>
        </w:r>
        <w:r>
          <w:rPr>
            <w:noProof/>
            <w:webHidden/>
          </w:rPr>
          <w:instrText xml:space="preserve"> PAGEREF _Toc166762107 \h </w:instrText>
        </w:r>
        <w:r>
          <w:rPr>
            <w:noProof/>
            <w:webHidden/>
          </w:rPr>
          <w:fldChar w:fldCharType="separate"/>
        </w:r>
        <w:r>
          <w:rPr>
            <w:noProof/>
            <w:webHidden/>
          </w:rPr>
          <w:t>42</w:t>
        </w:r>
        <w:r>
          <w:rPr>
            <w:noProof/>
            <w:webHidden/>
          </w:rPr>
          <w:fldChar w:fldCharType="end"/>
        </w:r>
      </w:hyperlink>
    </w:p>
    <w:p w:rsidR="00AA59F4" w14:paraId="513FFFEE" w14:textId="01B2A30E">
      <w:pPr>
        <w:pStyle w:val="TOC2"/>
        <w:tabs>
          <w:tab w:val="right" w:pos="9736"/>
        </w:tabs>
        <w:rPr>
          <w:rFonts w:asciiTheme="minorHAnsi" w:eastAsiaTheme="minorEastAsia" w:hAnsiTheme="minorHAnsi"/>
          <w:b w:val="0"/>
          <w:noProof/>
          <w:color w:val="auto"/>
          <w:spacing w:val="0"/>
          <w:kern w:val="2"/>
          <w:lang w:eastAsia="zh-CN"/>
          <w14:ligatures w14:val="standardContextual"/>
        </w:rPr>
      </w:pPr>
      <w:hyperlink w:anchor="_Toc166762108" w:history="1">
        <w:r w:rsidRPr="00736296">
          <w:rPr>
            <w:rStyle w:val="Hyperlink"/>
            <w:noProof/>
          </w:rPr>
          <w:t xml:space="preserve">8.3 </w:t>
        </w:r>
        <w:r w:rsidRPr="00736296">
          <w:rPr>
            <w:rStyle w:val="Hyperlink"/>
            <w:noProof/>
          </w:rPr>
          <w:t>数据交互验证</w:t>
        </w:r>
        <w:r>
          <w:rPr>
            <w:noProof/>
            <w:webHidden/>
          </w:rPr>
          <w:tab/>
        </w:r>
        <w:r>
          <w:rPr>
            <w:noProof/>
            <w:webHidden/>
          </w:rPr>
          <w:fldChar w:fldCharType="begin"/>
        </w:r>
        <w:r>
          <w:rPr>
            <w:noProof/>
            <w:webHidden/>
          </w:rPr>
          <w:instrText xml:space="preserve"> PAGEREF _Toc166762108 \h </w:instrText>
        </w:r>
        <w:r>
          <w:rPr>
            <w:noProof/>
            <w:webHidden/>
          </w:rPr>
          <w:fldChar w:fldCharType="separate"/>
        </w:r>
        <w:r>
          <w:rPr>
            <w:noProof/>
            <w:webHidden/>
          </w:rPr>
          <w:t>42</w:t>
        </w:r>
        <w:r>
          <w:rPr>
            <w:noProof/>
            <w:webHidden/>
          </w:rPr>
          <w:fldChar w:fldCharType="end"/>
        </w:r>
      </w:hyperlink>
    </w:p>
    <w:p w:rsidR="00AA59F4">
      <w:pPr>
        <w:pStyle w:val="TOC2"/>
        <w:tabs>
          <w:tab w:val="right" w:pos="9736"/>
        </w:tabs>
        <w:rPr>
          <w:rFonts w:asciiTheme="minorHAnsi" w:eastAsiaTheme="minorEastAsia" w:hAnsiTheme="minorHAnsi"/>
          <w:b w:val="0"/>
          <w:noProof/>
          <w:color w:val="auto"/>
          <w:spacing w:val="0"/>
          <w:kern w:val="2"/>
          <w:lang w:eastAsia="zh-CN"/>
          <w14:ligatures w14:val="standardContextual"/>
        </w:rPr>
      </w:pPr>
      <w:hyperlink w:anchor="_Toc166762109" w:history="1">
        <w:r w:rsidRPr="00736296">
          <w:rPr>
            <w:rStyle w:val="Hyperlink"/>
            <w:noProof/>
          </w:rPr>
          <w:t xml:space="preserve">8.4 </w:t>
        </w:r>
        <w:r w:rsidRPr="00736296">
          <w:rPr>
            <w:rStyle w:val="Hyperlink"/>
            <w:noProof/>
          </w:rPr>
          <w:t>免责声明</w:t>
        </w:r>
        <w:r>
          <w:rPr>
            <w:noProof/>
            <w:webHidden/>
          </w:rPr>
          <w:tab/>
        </w:r>
        <w:r>
          <w:rPr>
            <w:noProof/>
            <w:webHidden/>
          </w:rPr>
          <w:fldChar w:fldCharType="begin"/>
        </w:r>
        <w:r>
          <w:rPr>
            <w:noProof/>
            <w:webHidden/>
          </w:rPr>
          <w:instrText xml:space="preserve"> PAGEREF _Toc166762109 \h </w:instrText>
        </w:r>
        <w:r>
          <w:rPr>
            <w:noProof/>
            <w:webHidden/>
          </w:rPr>
          <w:fldChar w:fldCharType="separate"/>
        </w:r>
        <w:r>
          <w:rPr>
            <w:noProof/>
            <w:webHidden/>
          </w:rPr>
          <w:t>44</w:t>
        </w:r>
        <w:r>
          <w:rPr>
            <w:noProof/>
            <w:webHidden/>
          </w:rPr>
          <w:fldChar w:fldCharType="end"/>
        </w:r>
      </w:hyperlink>
    </w:p>
    <w:p w:rsidR="00260864" w:rsidRPr="009450DC" w:rsidP="00B43AAF" w14:paraId="510AE837" w14:textId="57EDBE0F">
      <w:pPr>
        <w:pStyle w:val="a14"/>
      </w:pPr>
      <w:r>
        <w:rPr>
          <w:rFonts w:ascii="Century Gothic" w:hAnsi="Century Gothic" w:eastAsiaTheme="minorEastAsia" w:cs="Arial"/>
          <w:caps/>
          <w:noProof/>
          <w:color w:val="EE3123"/>
          <w:kern w:val="0"/>
          <w:sz w:val="24"/>
          <w:szCs w:val="24"/>
          <w:lang w:val="en-IN" w:eastAsia="en-US"/>
        </w:rPr>
        <w:fldChar w:fldCharType="end"/>
      </w:r>
      <w:r>
        <w:rPr>
          <w:rFonts w:hint="eastAsia"/>
        </w:rPr>
        <w:t>表格目录</w:t>
      </w:r>
    </w:p>
    <w:p w:rsidR="00AA59F4" w14:paraId="3C72F1E4" w14:textId="66D5D53F">
      <w:pPr>
        <w:pStyle w:val="TableofFigures"/>
        <w:rPr>
          <w:rFonts w:asciiTheme="minorHAnsi" w:eastAsiaTheme="minorEastAsia" w:hAnsiTheme="minorHAnsi"/>
          <w:noProof/>
          <w:szCs w:val="22"/>
          <w14:ligatures w14:val="standardContextual"/>
        </w:rPr>
      </w:pPr>
      <w:r>
        <w:rPr>
          <w:b/>
          <w:color w:val="000000" w:themeColor="text1"/>
        </w:rPr>
        <w:fldChar w:fldCharType="begin"/>
      </w:r>
      <w:r>
        <w:rPr>
          <w:b/>
          <w:color w:val="000000" w:themeColor="text1"/>
        </w:rPr>
        <w:instrText xml:space="preserve"> TOC \h \z \t "Table Style" \c </w:instrText>
      </w:r>
      <w:r>
        <w:rPr>
          <w:b/>
          <w:color w:val="000000" w:themeColor="text1"/>
        </w:rPr>
        <w:fldChar w:fldCharType="separate"/>
      </w:r>
      <w:hyperlink w:anchor="_Toc166761945" w:history="1">
        <w:r w:rsidRPr="00FA6A33">
          <w:rPr>
            <w:rStyle w:val="Hyperlink"/>
            <w:rFonts w:eastAsia="手头"/>
            <w:noProof/>
          </w:rPr>
          <w:t>表</w:t>
        </w:r>
        <w:r w:rsidRPr="00FA6A33">
          <w:rPr>
            <w:rStyle w:val="Hyperlink"/>
            <w:rFonts w:eastAsia="手头"/>
            <w:noProof/>
          </w:rPr>
          <w:t xml:space="preserve"> 1</w:t>
        </w:r>
        <w:r w:rsidRPr="00FA6A33">
          <w:rPr>
            <w:rStyle w:val="Hyperlink"/>
            <w:rFonts w:eastAsia="手头"/>
            <w:noProof/>
          </w:rPr>
          <w:t>：</w:t>
        </w:r>
        <w:r w:rsidRPr="00FA6A33">
          <w:rPr>
            <w:rStyle w:val="Hyperlink"/>
            <w:noProof/>
          </w:rPr>
          <w:t xml:space="preserve"> </w:t>
        </w:r>
        <w:r w:rsidRPr="00FA6A33">
          <w:rPr>
            <w:rStyle w:val="Hyperlink"/>
            <w:noProof/>
          </w:rPr>
          <w:t>印尼主要高等院校</w:t>
        </w:r>
        <w:r>
          <w:rPr>
            <w:noProof/>
            <w:webHidden/>
          </w:rPr>
          <w:tab/>
        </w:r>
        <w:r>
          <w:rPr>
            <w:noProof/>
            <w:webHidden/>
          </w:rPr>
          <w:fldChar w:fldCharType="begin"/>
        </w:r>
        <w:r>
          <w:rPr>
            <w:noProof/>
            <w:webHidden/>
          </w:rPr>
          <w:instrText xml:space="preserve"> PAGEREF _Toc166761945 \h </w:instrText>
        </w:r>
        <w:r>
          <w:rPr>
            <w:noProof/>
            <w:webHidden/>
          </w:rPr>
          <w:fldChar w:fldCharType="separate"/>
        </w:r>
        <w:r>
          <w:rPr>
            <w:noProof/>
            <w:webHidden/>
          </w:rPr>
          <w:t>7</w:t>
        </w:r>
        <w:r>
          <w:rPr>
            <w:noProof/>
            <w:webHidden/>
          </w:rPr>
          <w:fldChar w:fldCharType="end"/>
        </w:r>
      </w:hyperlink>
    </w:p>
    <w:p w:rsidR="00AA59F4" w14:paraId="20B69B8F" w14:textId="4222A827">
      <w:pPr>
        <w:pStyle w:val="TableofFigures"/>
        <w:rPr>
          <w:rFonts w:asciiTheme="minorHAnsi" w:eastAsiaTheme="minorEastAsia" w:hAnsiTheme="minorHAnsi"/>
          <w:noProof/>
          <w:szCs w:val="22"/>
          <w14:ligatures w14:val="standardContextual"/>
        </w:rPr>
      </w:pPr>
      <w:hyperlink w:anchor="_Toc166761946" w:history="1">
        <w:r w:rsidRPr="00FA6A33">
          <w:rPr>
            <w:rStyle w:val="Hyperlink"/>
            <w:rFonts w:eastAsia="手头"/>
            <w:noProof/>
          </w:rPr>
          <w:t>表</w:t>
        </w:r>
        <w:r w:rsidRPr="00FA6A33">
          <w:rPr>
            <w:rStyle w:val="Hyperlink"/>
            <w:rFonts w:eastAsia="手头"/>
            <w:noProof/>
          </w:rPr>
          <w:t xml:space="preserve"> 2</w:t>
        </w:r>
        <w:r w:rsidRPr="00FA6A33">
          <w:rPr>
            <w:rStyle w:val="Hyperlink"/>
            <w:rFonts w:eastAsia="手头"/>
            <w:noProof/>
          </w:rPr>
          <w:t>：</w:t>
        </w:r>
        <w:r w:rsidRPr="00FA6A33">
          <w:rPr>
            <w:rStyle w:val="Hyperlink"/>
            <w:noProof/>
          </w:rPr>
          <w:t xml:space="preserve"> </w:t>
        </w:r>
        <w:r w:rsidRPr="00FA6A33">
          <w:rPr>
            <w:rStyle w:val="Hyperlink"/>
            <w:noProof/>
          </w:rPr>
          <w:t>各区域基础设施发展指数变化情况</w:t>
        </w:r>
        <w:r>
          <w:rPr>
            <w:noProof/>
            <w:webHidden/>
          </w:rPr>
          <w:tab/>
        </w:r>
        <w:r>
          <w:rPr>
            <w:noProof/>
            <w:webHidden/>
          </w:rPr>
          <w:fldChar w:fldCharType="begin"/>
        </w:r>
        <w:r>
          <w:rPr>
            <w:noProof/>
            <w:webHidden/>
          </w:rPr>
          <w:instrText xml:space="preserve"> PAGEREF _Toc166761946 \h </w:instrText>
        </w:r>
        <w:r>
          <w:rPr>
            <w:noProof/>
            <w:webHidden/>
          </w:rPr>
          <w:fldChar w:fldCharType="separate"/>
        </w:r>
        <w:r>
          <w:rPr>
            <w:noProof/>
            <w:webHidden/>
          </w:rPr>
          <w:t>14</w:t>
        </w:r>
        <w:r>
          <w:rPr>
            <w:noProof/>
            <w:webHidden/>
          </w:rPr>
          <w:fldChar w:fldCharType="end"/>
        </w:r>
      </w:hyperlink>
    </w:p>
    <w:p w:rsidR="00AA59F4" w14:paraId="187A8DBA" w14:textId="00F6D27D">
      <w:pPr>
        <w:pStyle w:val="TableofFigures"/>
        <w:rPr>
          <w:rFonts w:asciiTheme="minorHAnsi" w:eastAsiaTheme="minorEastAsia" w:hAnsiTheme="minorHAnsi"/>
          <w:noProof/>
          <w:szCs w:val="22"/>
          <w14:ligatures w14:val="standardContextual"/>
        </w:rPr>
      </w:pPr>
      <w:hyperlink w:anchor="_Toc166761947" w:history="1">
        <w:r w:rsidRPr="00FA6A33">
          <w:rPr>
            <w:rStyle w:val="Hyperlink"/>
            <w:rFonts w:eastAsia="手头"/>
            <w:noProof/>
          </w:rPr>
          <w:t>表</w:t>
        </w:r>
        <w:r w:rsidRPr="00FA6A33">
          <w:rPr>
            <w:rStyle w:val="Hyperlink"/>
            <w:rFonts w:eastAsia="手头"/>
            <w:noProof/>
          </w:rPr>
          <w:t xml:space="preserve"> 3</w:t>
        </w:r>
        <w:r w:rsidRPr="00FA6A33">
          <w:rPr>
            <w:rStyle w:val="Hyperlink"/>
            <w:rFonts w:eastAsia="手头"/>
            <w:noProof/>
          </w:rPr>
          <w:t>：</w:t>
        </w:r>
        <w:r w:rsidRPr="00FA6A33">
          <w:rPr>
            <w:rStyle w:val="Hyperlink"/>
            <w:noProof/>
          </w:rPr>
          <w:t xml:space="preserve"> </w:t>
        </w:r>
        <w:r w:rsidRPr="00FA6A33">
          <w:rPr>
            <w:rStyle w:val="Hyperlink"/>
            <w:noProof/>
          </w:rPr>
          <w:t>主要厂商</w:t>
        </w:r>
        <w:r w:rsidRPr="00FA6A33">
          <w:rPr>
            <w:rStyle w:val="Hyperlink"/>
            <w:noProof/>
          </w:rPr>
          <w:t>电子式热分配表(HCA)</w:t>
        </w:r>
        <w:r w:rsidRPr="00FA6A33">
          <w:rPr>
            <w:rStyle w:val="Hyperlink"/>
            <w:noProof/>
          </w:rPr>
          <w:t>总部及产地分布</w:t>
        </w:r>
        <w:r>
          <w:rPr>
            <w:noProof/>
            <w:webHidden/>
          </w:rPr>
          <w:tab/>
        </w:r>
        <w:r>
          <w:rPr>
            <w:noProof/>
            <w:webHidden/>
          </w:rPr>
          <w:fldChar w:fldCharType="begin"/>
        </w:r>
        <w:r>
          <w:rPr>
            <w:noProof/>
            <w:webHidden/>
          </w:rPr>
          <w:instrText xml:space="preserve"> PAGEREF _Toc166761947 \h </w:instrText>
        </w:r>
        <w:r>
          <w:rPr>
            <w:noProof/>
            <w:webHidden/>
          </w:rPr>
          <w:fldChar w:fldCharType="separate"/>
        </w:r>
        <w:r>
          <w:rPr>
            <w:noProof/>
            <w:webHidden/>
          </w:rPr>
          <w:t>15</w:t>
        </w:r>
        <w:r>
          <w:rPr>
            <w:noProof/>
            <w:webHidden/>
          </w:rPr>
          <w:fldChar w:fldCharType="end"/>
        </w:r>
      </w:hyperlink>
    </w:p>
    <w:p w:rsidR="00AA59F4" w14:paraId="309BC4B4" w14:textId="63B98CCB">
      <w:pPr>
        <w:pStyle w:val="TableofFigures"/>
        <w:rPr>
          <w:rFonts w:asciiTheme="minorHAnsi" w:eastAsiaTheme="minorEastAsia" w:hAnsiTheme="minorHAnsi"/>
          <w:noProof/>
          <w:szCs w:val="22"/>
          <w14:ligatures w14:val="standardContextual"/>
        </w:rPr>
      </w:pPr>
      <w:hyperlink w:anchor="_Toc166761948" w:history="1">
        <w:r w:rsidRPr="00FA6A33">
          <w:rPr>
            <w:rStyle w:val="Hyperlink"/>
            <w:rFonts w:eastAsia="手头"/>
            <w:noProof/>
          </w:rPr>
          <w:t>表</w:t>
        </w:r>
        <w:r w:rsidRPr="00FA6A33">
          <w:rPr>
            <w:rStyle w:val="Hyperlink"/>
            <w:rFonts w:eastAsia="手头"/>
            <w:noProof/>
          </w:rPr>
          <w:t xml:space="preserve"> 4</w:t>
        </w:r>
        <w:r w:rsidRPr="00FA6A33">
          <w:rPr>
            <w:rStyle w:val="Hyperlink"/>
            <w:rFonts w:eastAsia="手头"/>
            <w:noProof/>
          </w:rPr>
          <w:t>：</w:t>
        </w:r>
        <w:r w:rsidRPr="00FA6A33">
          <w:rPr>
            <w:rStyle w:val="Hyperlink"/>
            <w:noProof/>
          </w:rPr>
          <w:t xml:space="preserve"> </w:t>
        </w:r>
        <w:r w:rsidRPr="00FA6A33">
          <w:rPr>
            <w:rStyle w:val="Hyperlink"/>
            <w:noProof/>
          </w:rPr>
          <w:t>主要厂商</w:t>
        </w:r>
        <w:r w:rsidRPr="00FA6A33">
          <w:rPr>
            <w:rStyle w:val="Hyperlink"/>
            <w:noProof/>
          </w:rPr>
          <w:t>电子式热分配表(HCA)</w:t>
        </w:r>
        <w:r w:rsidRPr="00FA6A33">
          <w:rPr>
            <w:rStyle w:val="Hyperlink"/>
            <w:noProof/>
          </w:rPr>
          <w:t>产品类型及应用</w:t>
        </w:r>
        <w:r>
          <w:rPr>
            <w:noProof/>
            <w:webHidden/>
          </w:rPr>
          <w:tab/>
        </w:r>
        <w:r>
          <w:rPr>
            <w:noProof/>
            <w:webHidden/>
          </w:rPr>
          <w:fldChar w:fldCharType="begin"/>
        </w:r>
        <w:r>
          <w:rPr>
            <w:noProof/>
            <w:webHidden/>
          </w:rPr>
          <w:instrText xml:space="preserve"> PAGEREF _Toc166761948 \h </w:instrText>
        </w:r>
        <w:r>
          <w:rPr>
            <w:noProof/>
            <w:webHidden/>
          </w:rPr>
          <w:fldChar w:fldCharType="separate"/>
        </w:r>
        <w:r>
          <w:rPr>
            <w:noProof/>
            <w:webHidden/>
          </w:rPr>
          <w:t>17</w:t>
        </w:r>
        <w:r>
          <w:rPr>
            <w:noProof/>
            <w:webHidden/>
          </w:rPr>
          <w:fldChar w:fldCharType="end"/>
        </w:r>
      </w:hyperlink>
    </w:p>
    <w:p w:rsidR="00AA59F4" w14:paraId="62D606B4" w14:textId="2CEB19DA">
      <w:pPr>
        <w:pStyle w:val="TableofFigures"/>
        <w:rPr>
          <w:rFonts w:asciiTheme="minorHAnsi" w:eastAsiaTheme="minorEastAsia" w:hAnsiTheme="minorHAnsi"/>
          <w:noProof/>
          <w:szCs w:val="22"/>
          <w14:ligatures w14:val="standardContextual"/>
        </w:rPr>
      </w:pPr>
      <w:hyperlink w:anchor="_Toc166761949" w:history="1">
        <w:r w:rsidRPr="00FA6A33">
          <w:rPr>
            <w:rStyle w:val="Hyperlink"/>
            <w:rFonts w:eastAsia="手头"/>
            <w:noProof/>
          </w:rPr>
          <w:t>表</w:t>
        </w:r>
        <w:r w:rsidRPr="00FA6A33">
          <w:rPr>
            <w:rStyle w:val="Hyperlink"/>
            <w:rFonts w:eastAsia="手头"/>
            <w:noProof/>
          </w:rPr>
          <w:t xml:space="preserve"> 5</w:t>
        </w:r>
        <w:r w:rsidRPr="00FA6A33">
          <w:rPr>
            <w:rStyle w:val="Hyperlink"/>
            <w:rFonts w:eastAsia="手头"/>
            <w:noProof/>
          </w:rPr>
          <w:t>：</w:t>
        </w:r>
        <w:r w:rsidRPr="00FA6A33">
          <w:rPr>
            <w:rStyle w:val="Hyperlink"/>
            <w:noProof/>
          </w:rPr>
          <w:t xml:space="preserve"> </w:t>
        </w:r>
        <w:r w:rsidR="001C34EF">
          <w:rPr>
            <w:rStyle w:val="Hyperlink"/>
            <w:noProof/>
          </w:rPr>
          <w:t>东南亚市场</w:t>
        </w:r>
        <w:r w:rsidRPr="00FA6A33">
          <w:rPr>
            <w:rStyle w:val="Hyperlink"/>
            <w:noProof/>
          </w:rPr>
          <w:t>主要厂商</w:t>
        </w:r>
        <w:r w:rsidRPr="00FA6A33">
          <w:rPr>
            <w:rStyle w:val="Hyperlink"/>
            <w:noProof/>
          </w:rPr>
          <w:t>电子式热分配表(HCA)</w:t>
        </w:r>
        <w:r w:rsidRPr="00FA6A33">
          <w:rPr>
            <w:rStyle w:val="Hyperlink"/>
            <w:noProof/>
          </w:rPr>
          <w:t>销量（</w:t>
        </w:r>
        <w:r w:rsidRPr="00FA6A33">
          <w:rPr>
            <w:rStyle w:val="Hyperlink"/>
            <w:noProof/>
          </w:rPr>
          <w:t>2019-2024</w:t>
        </w:r>
        <w:r w:rsidRPr="00FA6A33">
          <w:rPr>
            <w:rStyle w:val="Hyperlink"/>
            <w:noProof/>
          </w:rPr>
          <w:t>）</w:t>
        </w:r>
        <w:r w:rsidRPr="00FA6A33">
          <w:rPr>
            <w:rStyle w:val="Hyperlink"/>
            <w:noProof/>
          </w:rPr>
          <w:t>&amp;</w:t>
        </w:r>
        <w:r w:rsidRPr="00FA6A33">
          <w:rPr>
            <w:rStyle w:val="Hyperlink"/>
            <w:noProof/>
          </w:rPr>
          <w:t>（</w:t>
        </w:r>
        <w:r w:rsidRPr="00FA6A33">
          <w:rPr>
            <w:rStyle w:val="Hyperlink"/>
            <w:noProof/>
          </w:rPr>
          <w:t>千个</w:t>
        </w:r>
        <w:r w:rsidRPr="00FA6A33">
          <w:rPr>
            <w:rStyle w:val="Hyperlink"/>
            <w:noProof/>
          </w:rPr>
          <w:t>）</w:t>
        </w:r>
        <w:r>
          <w:rPr>
            <w:noProof/>
            <w:webHidden/>
          </w:rPr>
          <w:tab/>
        </w:r>
        <w:r>
          <w:rPr>
            <w:noProof/>
            <w:webHidden/>
          </w:rPr>
          <w:fldChar w:fldCharType="begin"/>
        </w:r>
        <w:r>
          <w:rPr>
            <w:noProof/>
            <w:webHidden/>
          </w:rPr>
          <w:instrText xml:space="preserve"> PAGEREF _Toc166761949 \h </w:instrText>
        </w:r>
        <w:r>
          <w:rPr>
            <w:noProof/>
            <w:webHidden/>
          </w:rPr>
          <w:fldChar w:fldCharType="separate"/>
        </w:r>
        <w:r>
          <w:rPr>
            <w:noProof/>
            <w:webHidden/>
          </w:rPr>
          <w:t>18</w:t>
        </w:r>
        <w:r>
          <w:rPr>
            <w:noProof/>
            <w:webHidden/>
          </w:rPr>
          <w:fldChar w:fldCharType="end"/>
        </w:r>
      </w:hyperlink>
    </w:p>
    <w:p w:rsidR="00AA59F4" w14:paraId="47CC1503" w14:textId="386FA7CE">
      <w:pPr>
        <w:pStyle w:val="TableofFigures"/>
        <w:rPr>
          <w:rFonts w:asciiTheme="minorHAnsi" w:eastAsiaTheme="minorEastAsia" w:hAnsiTheme="minorHAnsi"/>
          <w:noProof/>
          <w:szCs w:val="22"/>
          <w14:ligatures w14:val="standardContextual"/>
        </w:rPr>
      </w:pPr>
      <w:hyperlink w:anchor="_Toc166761950" w:history="1">
        <w:r w:rsidRPr="00FA6A33">
          <w:rPr>
            <w:rStyle w:val="Hyperlink"/>
            <w:rFonts w:eastAsia="手头"/>
            <w:noProof/>
          </w:rPr>
          <w:t>表</w:t>
        </w:r>
        <w:r w:rsidRPr="00FA6A33">
          <w:rPr>
            <w:rStyle w:val="Hyperlink"/>
            <w:rFonts w:eastAsia="手头"/>
            <w:noProof/>
          </w:rPr>
          <w:t xml:space="preserve"> 6</w:t>
        </w:r>
        <w:r w:rsidRPr="00FA6A33">
          <w:rPr>
            <w:rStyle w:val="Hyperlink"/>
            <w:rFonts w:eastAsia="手头"/>
            <w:noProof/>
          </w:rPr>
          <w:t>：</w:t>
        </w:r>
        <w:r w:rsidRPr="00FA6A33">
          <w:rPr>
            <w:rStyle w:val="Hyperlink"/>
            <w:noProof/>
          </w:rPr>
          <w:t xml:space="preserve"> </w:t>
        </w:r>
        <w:r w:rsidR="001C34EF">
          <w:rPr>
            <w:rStyle w:val="Hyperlink"/>
            <w:noProof/>
          </w:rPr>
          <w:t>东南亚市场</w:t>
        </w:r>
        <w:r w:rsidRPr="00FA6A33">
          <w:rPr>
            <w:rStyle w:val="Hyperlink"/>
            <w:noProof/>
          </w:rPr>
          <w:t>主要厂商</w:t>
        </w:r>
        <w:r w:rsidRPr="00FA6A33">
          <w:rPr>
            <w:rStyle w:val="Hyperlink"/>
            <w:noProof/>
          </w:rPr>
          <w:t>电子式热分配表(HCA)</w:t>
        </w:r>
        <w:r w:rsidRPr="00FA6A33">
          <w:rPr>
            <w:rStyle w:val="Hyperlink"/>
            <w:noProof/>
          </w:rPr>
          <w:t>销量市场份额（</w:t>
        </w:r>
        <w:r w:rsidRPr="00FA6A33">
          <w:rPr>
            <w:rStyle w:val="Hyperlink"/>
            <w:noProof/>
          </w:rPr>
          <w:t>2019-2024</w:t>
        </w:r>
        <w:r w:rsidRPr="00FA6A33">
          <w:rPr>
            <w:rStyle w:val="Hyperlink"/>
            <w:noProof/>
          </w:rPr>
          <w:t>）</w:t>
        </w:r>
        <w:r>
          <w:rPr>
            <w:noProof/>
            <w:webHidden/>
          </w:rPr>
          <w:tab/>
        </w:r>
        <w:r>
          <w:rPr>
            <w:noProof/>
            <w:webHidden/>
          </w:rPr>
          <w:fldChar w:fldCharType="begin"/>
        </w:r>
        <w:r>
          <w:rPr>
            <w:noProof/>
            <w:webHidden/>
          </w:rPr>
          <w:instrText xml:space="preserve"> PAGEREF _Toc166761950 \h </w:instrText>
        </w:r>
        <w:r>
          <w:rPr>
            <w:noProof/>
            <w:webHidden/>
          </w:rPr>
          <w:fldChar w:fldCharType="separate"/>
        </w:r>
        <w:r>
          <w:rPr>
            <w:noProof/>
            <w:webHidden/>
          </w:rPr>
          <w:t>19</w:t>
        </w:r>
        <w:r>
          <w:rPr>
            <w:noProof/>
            <w:webHidden/>
          </w:rPr>
          <w:fldChar w:fldCharType="end"/>
        </w:r>
      </w:hyperlink>
    </w:p>
    <w:p w:rsidR="00AA59F4" w14:paraId="7B4EE3F6" w14:textId="4E5EF4BE">
      <w:pPr>
        <w:pStyle w:val="TableofFigures"/>
        <w:rPr>
          <w:rFonts w:asciiTheme="minorHAnsi" w:eastAsiaTheme="minorEastAsia" w:hAnsiTheme="minorHAnsi"/>
          <w:noProof/>
          <w:szCs w:val="22"/>
          <w14:ligatures w14:val="standardContextual"/>
        </w:rPr>
      </w:pPr>
      <w:hyperlink w:anchor="_Toc166761951" w:history="1">
        <w:r w:rsidRPr="00FA6A33">
          <w:rPr>
            <w:rStyle w:val="Hyperlink"/>
            <w:rFonts w:eastAsia="手头"/>
            <w:noProof/>
          </w:rPr>
          <w:t>表</w:t>
        </w:r>
        <w:r w:rsidRPr="00FA6A33">
          <w:rPr>
            <w:rStyle w:val="Hyperlink"/>
            <w:rFonts w:eastAsia="手头"/>
            <w:noProof/>
          </w:rPr>
          <w:t xml:space="preserve"> 7</w:t>
        </w:r>
        <w:r w:rsidRPr="00FA6A33">
          <w:rPr>
            <w:rStyle w:val="Hyperlink"/>
            <w:rFonts w:eastAsia="手头"/>
            <w:noProof/>
          </w:rPr>
          <w:t>：</w:t>
        </w:r>
        <w:r w:rsidRPr="00FA6A33">
          <w:rPr>
            <w:rStyle w:val="Hyperlink"/>
            <w:noProof/>
          </w:rPr>
          <w:t xml:space="preserve"> </w:t>
        </w:r>
        <w:r w:rsidR="001C34EF">
          <w:rPr>
            <w:rStyle w:val="Hyperlink"/>
            <w:noProof/>
          </w:rPr>
          <w:t>东南亚市场</w:t>
        </w:r>
        <w:r w:rsidRPr="00FA6A33">
          <w:rPr>
            <w:rStyle w:val="Hyperlink"/>
            <w:noProof/>
          </w:rPr>
          <w:t>主要厂商</w:t>
        </w:r>
        <w:r w:rsidRPr="00FA6A33">
          <w:rPr>
            <w:rStyle w:val="Hyperlink"/>
            <w:noProof/>
          </w:rPr>
          <w:t>电子式热分配表(HCA)</w:t>
        </w:r>
        <w:r w:rsidRPr="00FA6A33">
          <w:rPr>
            <w:rStyle w:val="Hyperlink"/>
            <w:noProof/>
          </w:rPr>
          <w:t>收入（</w:t>
        </w:r>
        <w:r w:rsidRPr="00FA6A33">
          <w:rPr>
            <w:rStyle w:val="Hyperlink"/>
            <w:noProof/>
          </w:rPr>
          <w:t>2019-2024</w:t>
        </w:r>
        <w:r w:rsidRPr="00FA6A33">
          <w:rPr>
            <w:rStyle w:val="Hyperlink"/>
            <w:noProof/>
          </w:rPr>
          <w:t>）</w:t>
        </w:r>
        <w:r w:rsidRPr="00FA6A33">
          <w:rPr>
            <w:rStyle w:val="Hyperlink"/>
            <w:noProof/>
          </w:rPr>
          <w:t>&amp;</w:t>
        </w:r>
        <w:r w:rsidRPr="00FA6A33">
          <w:rPr>
            <w:rStyle w:val="Hyperlink"/>
            <w:noProof/>
          </w:rPr>
          <w:t>（万元）</w:t>
        </w:r>
        <w:r>
          <w:rPr>
            <w:noProof/>
            <w:webHidden/>
          </w:rPr>
          <w:tab/>
        </w:r>
        <w:r>
          <w:rPr>
            <w:noProof/>
            <w:webHidden/>
          </w:rPr>
          <w:fldChar w:fldCharType="begin"/>
        </w:r>
        <w:r>
          <w:rPr>
            <w:noProof/>
            <w:webHidden/>
          </w:rPr>
          <w:instrText xml:space="preserve"> PAGEREF _Toc166761951 \h </w:instrText>
        </w:r>
        <w:r>
          <w:rPr>
            <w:noProof/>
            <w:webHidden/>
          </w:rPr>
          <w:fldChar w:fldCharType="separate"/>
        </w:r>
        <w:r>
          <w:rPr>
            <w:noProof/>
            <w:webHidden/>
          </w:rPr>
          <w:t>21</w:t>
        </w:r>
        <w:r>
          <w:rPr>
            <w:noProof/>
            <w:webHidden/>
          </w:rPr>
          <w:fldChar w:fldCharType="end"/>
        </w:r>
      </w:hyperlink>
    </w:p>
    <w:p w:rsidR="00AA59F4" w14:paraId="1C8C4656" w14:textId="4C083732">
      <w:pPr>
        <w:pStyle w:val="TableofFigures"/>
        <w:rPr>
          <w:rFonts w:asciiTheme="minorHAnsi" w:eastAsiaTheme="minorEastAsia" w:hAnsiTheme="minorHAnsi"/>
          <w:noProof/>
          <w:szCs w:val="22"/>
          <w14:ligatures w14:val="standardContextual"/>
        </w:rPr>
      </w:pPr>
      <w:hyperlink w:anchor="_Toc166761952" w:history="1">
        <w:r w:rsidRPr="00FA6A33">
          <w:rPr>
            <w:rStyle w:val="Hyperlink"/>
            <w:rFonts w:eastAsia="手头"/>
            <w:noProof/>
          </w:rPr>
          <w:t>表</w:t>
        </w:r>
        <w:r w:rsidRPr="00FA6A33">
          <w:rPr>
            <w:rStyle w:val="Hyperlink"/>
            <w:rFonts w:eastAsia="手头"/>
            <w:noProof/>
          </w:rPr>
          <w:t xml:space="preserve"> 8</w:t>
        </w:r>
        <w:r w:rsidRPr="00FA6A33">
          <w:rPr>
            <w:rStyle w:val="Hyperlink"/>
            <w:rFonts w:eastAsia="手头"/>
            <w:noProof/>
          </w:rPr>
          <w:t>：</w:t>
        </w:r>
        <w:r w:rsidRPr="00FA6A33">
          <w:rPr>
            <w:rStyle w:val="Hyperlink"/>
            <w:noProof/>
          </w:rPr>
          <w:t xml:space="preserve"> </w:t>
        </w:r>
        <w:r w:rsidR="001C34EF">
          <w:rPr>
            <w:rStyle w:val="Hyperlink"/>
            <w:noProof/>
          </w:rPr>
          <w:t>东南亚市场</w:t>
        </w:r>
        <w:r w:rsidRPr="00FA6A33">
          <w:rPr>
            <w:rStyle w:val="Hyperlink"/>
            <w:noProof/>
          </w:rPr>
          <w:t>主要厂商</w:t>
        </w:r>
        <w:r w:rsidRPr="00FA6A33">
          <w:rPr>
            <w:rStyle w:val="Hyperlink"/>
            <w:noProof/>
          </w:rPr>
          <w:t>电子式热分配表(HCA)</w:t>
        </w:r>
        <w:r w:rsidRPr="00FA6A33">
          <w:rPr>
            <w:rStyle w:val="Hyperlink"/>
            <w:noProof/>
          </w:rPr>
          <w:t>收入份额（</w:t>
        </w:r>
        <w:r w:rsidRPr="00FA6A33">
          <w:rPr>
            <w:rStyle w:val="Hyperlink"/>
            <w:noProof/>
          </w:rPr>
          <w:t>2019-2024</w:t>
        </w:r>
        <w:r w:rsidRPr="00FA6A33">
          <w:rPr>
            <w:rStyle w:val="Hyperlink"/>
            <w:noProof/>
          </w:rPr>
          <w:t>）</w:t>
        </w:r>
        <w:r>
          <w:rPr>
            <w:noProof/>
            <w:webHidden/>
          </w:rPr>
          <w:tab/>
        </w:r>
        <w:r>
          <w:rPr>
            <w:noProof/>
            <w:webHidden/>
          </w:rPr>
          <w:fldChar w:fldCharType="begin"/>
        </w:r>
        <w:r>
          <w:rPr>
            <w:noProof/>
            <w:webHidden/>
          </w:rPr>
          <w:instrText xml:space="preserve"> PAGEREF _Toc166761952 \h </w:instrText>
        </w:r>
        <w:r>
          <w:rPr>
            <w:noProof/>
            <w:webHidden/>
          </w:rPr>
          <w:fldChar w:fldCharType="separate"/>
        </w:r>
        <w:r>
          <w:rPr>
            <w:noProof/>
            <w:webHidden/>
          </w:rPr>
          <w:t>22</w:t>
        </w:r>
        <w:r>
          <w:rPr>
            <w:noProof/>
            <w:webHidden/>
          </w:rPr>
          <w:fldChar w:fldCharType="end"/>
        </w:r>
      </w:hyperlink>
    </w:p>
    <w:p w:rsidR="00AA59F4" w14:paraId="4C730F5B" w14:textId="4307D99B">
      <w:pPr>
        <w:pStyle w:val="TableofFigures"/>
        <w:rPr>
          <w:rFonts w:asciiTheme="minorHAnsi" w:eastAsiaTheme="minorEastAsia" w:hAnsiTheme="minorHAnsi"/>
          <w:noProof/>
          <w:szCs w:val="22"/>
          <w14:ligatures w14:val="standardContextual"/>
        </w:rPr>
      </w:pPr>
      <w:hyperlink w:anchor="_Toc166761953" w:history="1">
        <w:r w:rsidRPr="00FA6A33">
          <w:rPr>
            <w:rStyle w:val="Hyperlink"/>
            <w:rFonts w:eastAsia="手头"/>
            <w:noProof/>
          </w:rPr>
          <w:t>表</w:t>
        </w:r>
        <w:r w:rsidRPr="00FA6A33">
          <w:rPr>
            <w:rStyle w:val="Hyperlink"/>
            <w:rFonts w:eastAsia="手头"/>
            <w:noProof/>
          </w:rPr>
          <w:t xml:space="preserve"> 9</w:t>
        </w:r>
        <w:r w:rsidRPr="00FA6A33">
          <w:rPr>
            <w:rStyle w:val="Hyperlink"/>
            <w:rFonts w:eastAsia="手头"/>
            <w:noProof/>
          </w:rPr>
          <w:t>：</w:t>
        </w:r>
        <w:r w:rsidRPr="00FA6A33">
          <w:rPr>
            <w:rStyle w:val="Hyperlink"/>
            <w:noProof/>
          </w:rPr>
          <w:t xml:space="preserve"> </w:t>
        </w:r>
        <w:r w:rsidR="001C34EF">
          <w:rPr>
            <w:rStyle w:val="Hyperlink"/>
            <w:noProof/>
          </w:rPr>
          <w:t>东南亚市场</w:t>
        </w:r>
        <w:r w:rsidRPr="00FA6A33">
          <w:rPr>
            <w:rStyle w:val="Hyperlink"/>
            <w:noProof/>
          </w:rPr>
          <w:t>主要厂商</w:t>
        </w:r>
        <w:r w:rsidRPr="00FA6A33">
          <w:rPr>
            <w:rStyle w:val="Hyperlink"/>
            <w:noProof/>
          </w:rPr>
          <w:t>电子式热分配表(HCA)</w:t>
        </w:r>
        <w:r w:rsidRPr="00FA6A33">
          <w:rPr>
            <w:rStyle w:val="Hyperlink"/>
            <w:noProof/>
          </w:rPr>
          <w:t>价格（</w:t>
        </w:r>
        <w:r w:rsidRPr="00FA6A33">
          <w:rPr>
            <w:rStyle w:val="Hyperlink"/>
            <w:noProof/>
          </w:rPr>
          <w:t>2019-2024</w:t>
        </w:r>
        <w:r w:rsidRPr="00FA6A33">
          <w:rPr>
            <w:rStyle w:val="Hyperlink"/>
            <w:noProof/>
          </w:rPr>
          <w:t>）</w:t>
        </w:r>
        <w:r w:rsidRPr="00FA6A33">
          <w:rPr>
            <w:rStyle w:val="Hyperlink"/>
            <w:noProof/>
          </w:rPr>
          <w:t>&amp;</w:t>
        </w:r>
        <w:r w:rsidRPr="00FA6A33">
          <w:rPr>
            <w:rStyle w:val="Hyperlink"/>
            <w:noProof/>
          </w:rPr>
          <w:t>（</w:t>
        </w:r>
        <w:r w:rsidRPr="00FA6A33">
          <w:rPr>
            <w:rStyle w:val="Hyperlink"/>
            <w:noProof/>
          </w:rPr>
          <w:t>美元/个</w:t>
        </w:r>
        <w:r w:rsidRPr="00FA6A33">
          <w:rPr>
            <w:rStyle w:val="Hyperlink"/>
            <w:noProof/>
          </w:rPr>
          <w:t>）</w:t>
        </w:r>
        <w:r>
          <w:rPr>
            <w:noProof/>
            <w:webHidden/>
          </w:rPr>
          <w:tab/>
        </w:r>
        <w:r>
          <w:rPr>
            <w:noProof/>
            <w:webHidden/>
          </w:rPr>
          <w:fldChar w:fldCharType="begin"/>
        </w:r>
        <w:r>
          <w:rPr>
            <w:noProof/>
            <w:webHidden/>
          </w:rPr>
          <w:instrText xml:space="preserve"> PAGEREF _Toc166761953 \h </w:instrText>
        </w:r>
        <w:r>
          <w:rPr>
            <w:noProof/>
            <w:webHidden/>
          </w:rPr>
          <w:fldChar w:fldCharType="separate"/>
        </w:r>
        <w:r>
          <w:rPr>
            <w:noProof/>
            <w:webHidden/>
          </w:rPr>
          <w:t>24</w:t>
        </w:r>
        <w:r>
          <w:rPr>
            <w:noProof/>
            <w:webHidden/>
          </w:rPr>
          <w:fldChar w:fldCharType="end"/>
        </w:r>
      </w:hyperlink>
    </w:p>
    <w:p w:rsidR="00AA59F4" w14:paraId="75210626" w14:textId="70190A11">
      <w:pPr>
        <w:pStyle w:val="TableofFigures"/>
        <w:rPr>
          <w:rFonts w:asciiTheme="minorHAnsi" w:eastAsiaTheme="minorEastAsia" w:hAnsiTheme="minorHAnsi"/>
          <w:noProof/>
          <w:szCs w:val="22"/>
          <w14:ligatures w14:val="standardContextual"/>
        </w:rPr>
      </w:pPr>
      <w:hyperlink w:anchor="_Toc166761954" w:history="1">
        <w:r w:rsidRPr="00FA6A33">
          <w:rPr>
            <w:rStyle w:val="Hyperlink"/>
            <w:rFonts w:eastAsia="手头"/>
            <w:noProof/>
          </w:rPr>
          <w:t>表</w:t>
        </w:r>
        <w:r w:rsidRPr="00FA6A33">
          <w:rPr>
            <w:rStyle w:val="Hyperlink"/>
            <w:rFonts w:eastAsia="手头"/>
            <w:noProof/>
          </w:rPr>
          <w:t xml:space="preserve"> 10</w:t>
        </w:r>
        <w:r w:rsidRPr="00FA6A33">
          <w:rPr>
            <w:rStyle w:val="Hyperlink"/>
            <w:rFonts w:eastAsia="手头"/>
            <w:noProof/>
          </w:rPr>
          <w:t>：</w:t>
        </w:r>
        <w:r w:rsidRPr="00FA6A33">
          <w:rPr>
            <w:rStyle w:val="Hyperlink"/>
            <w:noProof/>
          </w:rPr>
          <w:t xml:space="preserve"> Zenner 电子式热分配表(HCA)</w:t>
        </w:r>
        <w:r w:rsidRPr="00FA6A33">
          <w:rPr>
            <w:rStyle w:val="Hyperlink"/>
            <w:noProof/>
          </w:rPr>
          <w:t>生产基地、总部、竞争对手及市场地位</w:t>
        </w:r>
        <w:r>
          <w:rPr>
            <w:noProof/>
            <w:webHidden/>
          </w:rPr>
          <w:tab/>
        </w:r>
        <w:r>
          <w:rPr>
            <w:noProof/>
            <w:webHidden/>
          </w:rPr>
          <w:fldChar w:fldCharType="begin"/>
        </w:r>
        <w:r>
          <w:rPr>
            <w:noProof/>
            <w:webHidden/>
          </w:rPr>
          <w:instrText xml:space="preserve"> PAGEREF _Toc166761954 \h </w:instrText>
        </w:r>
        <w:r>
          <w:rPr>
            <w:noProof/>
            <w:webHidden/>
          </w:rPr>
          <w:fldChar w:fldCharType="separate"/>
        </w:r>
        <w:r>
          <w:rPr>
            <w:noProof/>
            <w:webHidden/>
          </w:rPr>
          <w:t>27</w:t>
        </w:r>
        <w:r>
          <w:rPr>
            <w:noProof/>
            <w:webHidden/>
          </w:rPr>
          <w:fldChar w:fldCharType="end"/>
        </w:r>
      </w:hyperlink>
    </w:p>
    <w:p w:rsidR="00AA59F4" w14:paraId="0EF5D5D2" w14:textId="03EF87BC">
      <w:pPr>
        <w:pStyle w:val="TableofFigures"/>
        <w:rPr>
          <w:rFonts w:asciiTheme="minorHAnsi" w:eastAsiaTheme="minorEastAsia" w:hAnsiTheme="minorHAnsi"/>
          <w:noProof/>
          <w:szCs w:val="22"/>
          <w14:ligatures w14:val="standardContextual"/>
        </w:rPr>
      </w:pPr>
      <w:hyperlink w:anchor="_Toc166761955" w:history="1">
        <w:r w:rsidRPr="00FA6A33">
          <w:rPr>
            <w:rStyle w:val="Hyperlink"/>
            <w:rFonts w:eastAsia="手头"/>
            <w:noProof/>
          </w:rPr>
          <w:t>表</w:t>
        </w:r>
        <w:r w:rsidRPr="00FA6A33">
          <w:rPr>
            <w:rStyle w:val="Hyperlink"/>
            <w:rFonts w:eastAsia="手头"/>
            <w:noProof/>
          </w:rPr>
          <w:t xml:space="preserve"> 11</w:t>
        </w:r>
        <w:r w:rsidRPr="00FA6A33">
          <w:rPr>
            <w:rStyle w:val="Hyperlink"/>
            <w:rFonts w:eastAsia="手头"/>
            <w:noProof/>
          </w:rPr>
          <w:t>：</w:t>
        </w:r>
        <w:r w:rsidRPr="00FA6A33">
          <w:rPr>
            <w:rStyle w:val="Hyperlink"/>
            <w:noProof/>
          </w:rPr>
          <w:t xml:space="preserve"> Zenner 电子式热分配表(HCA)</w:t>
        </w:r>
        <w:r w:rsidRPr="00FA6A33">
          <w:rPr>
            <w:rStyle w:val="Hyperlink"/>
            <w:noProof/>
          </w:rPr>
          <w:t>产品规格、参数及市场应用</w:t>
        </w:r>
        <w:r>
          <w:rPr>
            <w:noProof/>
            <w:webHidden/>
          </w:rPr>
          <w:tab/>
        </w:r>
        <w:r>
          <w:rPr>
            <w:noProof/>
            <w:webHidden/>
          </w:rPr>
          <w:fldChar w:fldCharType="begin"/>
        </w:r>
        <w:r>
          <w:rPr>
            <w:noProof/>
            <w:webHidden/>
          </w:rPr>
          <w:instrText xml:space="preserve"> PAGEREF _Toc166761955 \h </w:instrText>
        </w:r>
        <w:r>
          <w:rPr>
            <w:noProof/>
            <w:webHidden/>
          </w:rPr>
          <w:fldChar w:fldCharType="separate"/>
        </w:r>
        <w:r>
          <w:rPr>
            <w:noProof/>
            <w:webHidden/>
          </w:rPr>
          <w:t>27</w:t>
        </w:r>
        <w:r>
          <w:rPr>
            <w:noProof/>
            <w:webHidden/>
          </w:rPr>
          <w:fldChar w:fldCharType="end"/>
        </w:r>
      </w:hyperlink>
    </w:p>
    <w:p w:rsidR="00AA59F4" w14:paraId="08189011" w14:textId="4ABE791C">
      <w:pPr>
        <w:pStyle w:val="TableofFigures"/>
        <w:rPr>
          <w:rFonts w:asciiTheme="minorHAnsi" w:eastAsiaTheme="minorEastAsia" w:hAnsiTheme="minorHAnsi"/>
          <w:noProof/>
          <w:szCs w:val="22"/>
          <w14:ligatures w14:val="standardContextual"/>
        </w:rPr>
      </w:pPr>
      <w:hyperlink w:anchor="_Toc166761956" w:history="1">
        <w:r w:rsidRPr="00FA6A33">
          <w:rPr>
            <w:rStyle w:val="Hyperlink"/>
            <w:rFonts w:eastAsia="手头"/>
            <w:noProof/>
          </w:rPr>
          <w:t>表</w:t>
        </w:r>
        <w:r w:rsidRPr="00FA6A33">
          <w:rPr>
            <w:rStyle w:val="Hyperlink"/>
            <w:rFonts w:eastAsia="手头"/>
            <w:noProof/>
          </w:rPr>
          <w:t xml:space="preserve"> 12</w:t>
        </w:r>
        <w:r w:rsidRPr="00FA6A33">
          <w:rPr>
            <w:rStyle w:val="Hyperlink"/>
            <w:rFonts w:eastAsia="手头"/>
            <w:noProof/>
          </w:rPr>
          <w:t>：</w:t>
        </w:r>
        <w:r w:rsidRPr="00FA6A33">
          <w:rPr>
            <w:rStyle w:val="Hyperlink"/>
            <w:noProof/>
          </w:rPr>
          <w:t xml:space="preserve"> Zenner</w:t>
        </w:r>
        <w:r w:rsidRPr="00FA6A33">
          <w:rPr>
            <w:rStyle w:val="Hyperlink"/>
            <w:noProof/>
          </w:rPr>
          <w:t>公司简介及主要业务</w:t>
        </w:r>
        <w:r>
          <w:rPr>
            <w:noProof/>
            <w:webHidden/>
          </w:rPr>
          <w:tab/>
        </w:r>
        <w:r>
          <w:rPr>
            <w:noProof/>
            <w:webHidden/>
          </w:rPr>
          <w:fldChar w:fldCharType="begin"/>
        </w:r>
        <w:r>
          <w:rPr>
            <w:noProof/>
            <w:webHidden/>
          </w:rPr>
          <w:instrText xml:space="preserve"> PAGEREF _Toc166761956 \h </w:instrText>
        </w:r>
        <w:r>
          <w:rPr>
            <w:noProof/>
            <w:webHidden/>
          </w:rPr>
          <w:fldChar w:fldCharType="separate"/>
        </w:r>
        <w:r>
          <w:rPr>
            <w:noProof/>
            <w:webHidden/>
          </w:rPr>
          <w:t>27</w:t>
        </w:r>
        <w:r>
          <w:rPr>
            <w:noProof/>
            <w:webHidden/>
          </w:rPr>
          <w:fldChar w:fldCharType="end"/>
        </w:r>
      </w:hyperlink>
    </w:p>
    <w:p w:rsidR="00AA59F4" w14:paraId="315B8730" w14:textId="4C4B0E16">
      <w:pPr>
        <w:pStyle w:val="TableofFigures"/>
        <w:rPr>
          <w:rFonts w:asciiTheme="minorHAnsi" w:eastAsiaTheme="minorEastAsia" w:hAnsiTheme="minorHAnsi"/>
          <w:noProof/>
          <w:szCs w:val="22"/>
          <w14:ligatures w14:val="standardContextual"/>
        </w:rPr>
      </w:pPr>
      <w:hyperlink w:anchor="_Toc166761957" w:history="1">
        <w:r w:rsidRPr="00FA6A33">
          <w:rPr>
            <w:rStyle w:val="Hyperlink"/>
            <w:rFonts w:eastAsia="手头"/>
            <w:noProof/>
          </w:rPr>
          <w:t>表</w:t>
        </w:r>
        <w:r w:rsidRPr="00FA6A33">
          <w:rPr>
            <w:rStyle w:val="Hyperlink"/>
            <w:rFonts w:eastAsia="手头"/>
            <w:noProof/>
          </w:rPr>
          <w:t xml:space="preserve"> 13</w:t>
        </w:r>
        <w:r w:rsidRPr="00FA6A33">
          <w:rPr>
            <w:rStyle w:val="Hyperlink"/>
            <w:rFonts w:eastAsia="手头"/>
            <w:noProof/>
          </w:rPr>
          <w:t>：</w:t>
        </w:r>
        <w:r w:rsidRPr="00FA6A33">
          <w:rPr>
            <w:rStyle w:val="Hyperlink"/>
            <w:noProof/>
          </w:rPr>
          <w:t xml:space="preserve"> Zenner</w:t>
        </w:r>
        <w:r w:rsidRPr="00FA6A33">
          <w:rPr>
            <w:rStyle w:val="Hyperlink"/>
            <w:noProof/>
          </w:rPr>
          <w:t>企业最新动态</w:t>
        </w:r>
        <w:r>
          <w:rPr>
            <w:noProof/>
            <w:webHidden/>
          </w:rPr>
          <w:tab/>
        </w:r>
        <w:r>
          <w:rPr>
            <w:noProof/>
            <w:webHidden/>
          </w:rPr>
          <w:fldChar w:fldCharType="begin"/>
        </w:r>
        <w:r>
          <w:rPr>
            <w:noProof/>
            <w:webHidden/>
          </w:rPr>
          <w:instrText xml:space="preserve"> PAGEREF _Toc166761957 \h </w:instrText>
        </w:r>
        <w:r>
          <w:rPr>
            <w:noProof/>
            <w:webHidden/>
          </w:rPr>
          <w:fldChar w:fldCharType="separate"/>
        </w:r>
        <w:r>
          <w:rPr>
            <w:noProof/>
            <w:webHidden/>
          </w:rPr>
          <w:t>28</w:t>
        </w:r>
        <w:r>
          <w:rPr>
            <w:noProof/>
            <w:webHidden/>
          </w:rPr>
          <w:fldChar w:fldCharType="end"/>
        </w:r>
      </w:hyperlink>
    </w:p>
    <w:p w:rsidR="00AA59F4" w14:paraId="1F5DF9F5" w14:textId="618EED82">
      <w:pPr>
        <w:pStyle w:val="TableofFigures"/>
        <w:rPr>
          <w:rFonts w:asciiTheme="minorHAnsi" w:eastAsiaTheme="minorEastAsia" w:hAnsiTheme="minorHAnsi"/>
          <w:noProof/>
          <w:szCs w:val="22"/>
          <w14:ligatures w14:val="standardContextual"/>
        </w:rPr>
      </w:pPr>
      <w:hyperlink w:anchor="_Toc166761958" w:history="1">
        <w:r w:rsidRPr="00FA6A33">
          <w:rPr>
            <w:rStyle w:val="Hyperlink"/>
            <w:rFonts w:eastAsia="手头"/>
            <w:noProof/>
          </w:rPr>
          <w:t>表</w:t>
        </w:r>
        <w:r w:rsidRPr="00FA6A33">
          <w:rPr>
            <w:rStyle w:val="Hyperlink"/>
            <w:rFonts w:eastAsia="手头"/>
            <w:noProof/>
          </w:rPr>
          <w:t xml:space="preserve"> 14</w:t>
        </w:r>
        <w:r w:rsidRPr="00FA6A33">
          <w:rPr>
            <w:rStyle w:val="Hyperlink"/>
            <w:rFonts w:eastAsia="手头"/>
            <w:noProof/>
          </w:rPr>
          <w:t>：</w:t>
        </w:r>
        <w:r w:rsidRPr="00FA6A33">
          <w:rPr>
            <w:rStyle w:val="Hyperlink"/>
            <w:noProof/>
          </w:rPr>
          <w:t xml:space="preserve"> Ista 电子式热分配表(HCA)</w:t>
        </w:r>
        <w:r w:rsidRPr="00FA6A33">
          <w:rPr>
            <w:rStyle w:val="Hyperlink"/>
            <w:noProof/>
          </w:rPr>
          <w:t>生产基地、总部、竞争对手及市场地位</w:t>
        </w:r>
        <w:r>
          <w:rPr>
            <w:noProof/>
            <w:webHidden/>
          </w:rPr>
          <w:tab/>
        </w:r>
        <w:r>
          <w:rPr>
            <w:noProof/>
            <w:webHidden/>
          </w:rPr>
          <w:fldChar w:fldCharType="begin"/>
        </w:r>
        <w:r>
          <w:rPr>
            <w:noProof/>
            <w:webHidden/>
          </w:rPr>
          <w:instrText xml:space="preserve"> PAGEREF _Toc166761958 \h </w:instrText>
        </w:r>
        <w:r>
          <w:rPr>
            <w:noProof/>
            <w:webHidden/>
          </w:rPr>
          <w:fldChar w:fldCharType="separate"/>
        </w:r>
        <w:r>
          <w:rPr>
            <w:noProof/>
            <w:webHidden/>
          </w:rPr>
          <w:t>28</w:t>
        </w:r>
        <w:r>
          <w:rPr>
            <w:noProof/>
            <w:webHidden/>
          </w:rPr>
          <w:fldChar w:fldCharType="end"/>
        </w:r>
      </w:hyperlink>
    </w:p>
    <w:p w:rsidR="00AA59F4" w14:paraId="734AE459" w14:textId="3AFDDA18">
      <w:pPr>
        <w:pStyle w:val="TableofFigures"/>
        <w:rPr>
          <w:rFonts w:asciiTheme="minorHAnsi" w:eastAsiaTheme="minorEastAsia" w:hAnsiTheme="minorHAnsi"/>
          <w:noProof/>
          <w:szCs w:val="22"/>
          <w14:ligatures w14:val="standardContextual"/>
        </w:rPr>
      </w:pPr>
      <w:hyperlink w:anchor="_Toc166761959" w:history="1">
        <w:r w:rsidRPr="00FA6A33">
          <w:rPr>
            <w:rStyle w:val="Hyperlink"/>
            <w:rFonts w:eastAsia="手头"/>
            <w:noProof/>
          </w:rPr>
          <w:t>表</w:t>
        </w:r>
        <w:r w:rsidRPr="00FA6A33">
          <w:rPr>
            <w:rStyle w:val="Hyperlink"/>
            <w:rFonts w:eastAsia="手头"/>
            <w:noProof/>
          </w:rPr>
          <w:t xml:space="preserve"> 15</w:t>
        </w:r>
        <w:r w:rsidRPr="00FA6A33">
          <w:rPr>
            <w:rStyle w:val="Hyperlink"/>
            <w:rFonts w:eastAsia="手头"/>
            <w:noProof/>
          </w:rPr>
          <w:t>：</w:t>
        </w:r>
        <w:r w:rsidRPr="00FA6A33">
          <w:rPr>
            <w:rStyle w:val="Hyperlink"/>
            <w:noProof/>
          </w:rPr>
          <w:t xml:space="preserve"> Ista 电子式热分配表(HCA)</w:t>
        </w:r>
        <w:r w:rsidRPr="00FA6A33">
          <w:rPr>
            <w:rStyle w:val="Hyperlink"/>
            <w:noProof/>
          </w:rPr>
          <w:t>产品规格、参数及市场应用</w:t>
        </w:r>
        <w:r>
          <w:rPr>
            <w:noProof/>
            <w:webHidden/>
          </w:rPr>
          <w:tab/>
        </w:r>
        <w:r>
          <w:rPr>
            <w:noProof/>
            <w:webHidden/>
          </w:rPr>
          <w:fldChar w:fldCharType="begin"/>
        </w:r>
        <w:r>
          <w:rPr>
            <w:noProof/>
            <w:webHidden/>
          </w:rPr>
          <w:instrText xml:space="preserve"> PAGEREF _Toc166761959 \h </w:instrText>
        </w:r>
        <w:r>
          <w:rPr>
            <w:noProof/>
            <w:webHidden/>
          </w:rPr>
          <w:fldChar w:fldCharType="separate"/>
        </w:r>
        <w:r>
          <w:rPr>
            <w:noProof/>
            <w:webHidden/>
          </w:rPr>
          <w:t>29</w:t>
        </w:r>
        <w:r>
          <w:rPr>
            <w:noProof/>
            <w:webHidden/>
          </w:rPr>
          <w:fldChar w:fldCharType="end"/>
        </w:r>
      </w:hyperlink>
    </w:p>
    <w:p w:rsidR="00AA59F4" w14:paraId="1B271AF4" w14:textId="54DF8765">
      <w:pPr>
        <w:pStyle w:val="TableofFigures"/>
        <w:rPr>
          <w:rFonts w:asciiTheme="minorHAnsi" w:eastAsiaTheme="minorEastAsia" w:hAnsiTheme="minorHAnsi"/>
          <w:noProof/>
          <w:szCs w:val="22"/>
          <w14:ligatures w14:val="standardContextual"/>
        </w:rPr>
      </w:pPr>
      <w:hyperlink w:anchor="_Toc166761960" w:history="1">
        <w:r w:rsidRPr="00FA6A33">
          <w:rPr>
            <w:rStyle w:val="Hyperlink"/>
            <w:rFonts w:eastAsia="手头"/>
            <w:noProof/>
          </w:rPr>
          <w:t>表</w:t>
        </w:r>
        <w:r w:rsidRPr="00FA6A33">
          <w:rPr>
            <w:rStyle w:val="Hyperlink"/>
            <w:rFonts w:eastAsia="手头"/>
            <w:noProof/>
          </w:rPr>
          <w:t xml:space="preserve"> 16</w:t>
        </w:r>
        <w:r w:rsidRPr="00FA6A33">
          <w:rPr>
            <w:rStyle w:val="Hyperlink"/>
            <w:rFonts w:eastAsia="手头"/>
            <w:noProof/>
          </w:rPr>
          <w:t>：</w:t>
        </w:r>
        <w:r w:rsidRPr="00FA6A33">
          <w:rPr>
            <w:rStyle w:val="Hyperlink"/>
            <w:noProof/>
          </w:rPr>
          <w:t xml:space="preserve"> Ista</w:t>
        </w:r>
        <w:r w:rsidRPr="00FA6A33">
          <w:rPr>
            <w:rStyle w:val="Hyperlink"/>
            <w:noProof/>
          </w:rPr>
          <w:t>公司简介及主要业务</w:t>
        </w:r>
        <w:r>
          <w:rPr>
            <w:noProof/>
            <w:webHidden/>
          </w:rPr>
          <w:tab/>
        </w:r>
        <w:r>
          <w:rPr>
            <w:noProof/>
            <w:webHidden/>
          </w:rPr>
          <w:fldChar w:fldCharType="begin"/>
        </w:r>
        <w:r>
          <w:rPr>
            <w:noProof/>
            <w:webHidden/>
          </w:rPr>
          <w:instrText xml:space="preserve"> PAGEREF _Toc166761960 \h </w:instrText>
        </w:r>
        <w:r>
          <w:rPr>
            <w:noProof/>
            <w:webHidden/>
          </w:rPr>
          <w:fldChar w:fldCharType="separate"/>
        </w:r>
        <w:r>
          <w:rPr>
            <w:noProof/>
            <w:webHidden/>
          </w:rPr>
          <w:t>29</w:t>
        </w:r>
        <w:r>
          <w:rPr>
            <w:noProof/>
            <w:webHidden/>
          </w:rPr>
          <w:fldChar w:fldCharType="end"/>
        </w:r>
      </w:hyperlink>
    </w:p>
    <w:p w:rsidR="00AA59F4" w14:paraId="4641B66B" w14:textId="2B8551DC">
      <w:pPr>
        <w:pStyle w:val="TableofFigures"/>
        <w:rPr>
          <w:rFonts w:asciiTheme="minorHAnsi" w:eastAsiaTheme="minorEastAsia" w:hAnsiTheme="minorHAnsi"/>
          <w:noProof/>
          <w:szCs w:val="22"/>
          <w14:ligatures w14:val="standardContextual"/>
        </w:rPr>
      </w:pPr>
      <w:hyperlink w:anchor="_Toc166761961" w:history="1">
        <w:r w:rsidRPr="00FA6A33">
          <w:rPr>
            <w:rStyle w:val="Hyperlink"/>
            <w:rFonts w:eastAsia="手头"/>
            <w:noProof/>
          </w:rPr>
          <w:t>表</w:t>
        </w:r>
        <w:r w:rsidRPr="00FA6A33">
          <w:rPr>
            <w:rStyle w:val="Hyperlink"/>
            <w:rFonts w:eastAsia="手头"/>
            <w:noProof/>
          </w:rPr>
          <w:t xml:space="preserve"> 17</w:t>
        </w:r>
        <w:r w:rsidRPr="00FA6A33">
          <w:rPr>
            <w:rStyle w:val="Hyperlink"/>
            <w:rFonts w:eastAsia="手头"/>
            <w:noProof/>
          </w:rPr>
          <w:t>：</w:t>
        </w:r>
        <w:r w:rsidRPr="00FA6A33">
          <w:rPr>
            <w:rStyle w:val="Hyperlink"/>
            <w:noProof/>
          </w:rPr>
          <w:t xml:space="preserve"> Ista</w:t>
        </w:r>
        <w:r w:rsidRPr="00FA6A33">
          <w:rPr>
            <w:rStyle w:val="Hyperlink"/>
            <w:noProof/>
          </w:rPr>
          <w:t>企业最新动态</w:t>
        </w:r>
        <w:r>
          <w:rPr>
            <w:noProof/>
            <w:webHidden/>
          </w:rPr>
          <w:tab/>
        </w:r>
        <w:r>
          <w:rPr>
            <w:noProof/>
            <w:webHidden/>
          </w:rPr>
          <w:fldChar w:fldCharType="begin"/>
        </w:r>
        <w:r>
          <w:rPr>
            <w:noProof/>
            <w:webHidden/>
          </w:rPr>
          <w:instrText xml:space="preserve"> PAGEREF _Toc166761961 \h </w:instrText>
        </w:r>
        <w:r>
          <w:rPr>
            <w:noProof/>
            <w:webHidden/>
          </w:rPr>
          <w:fldChar w:fldCharType="separate"/>
        </w:r>
        <w:r>
          <w:rPr>
            <w:noProof/>
            <w:webHidden/>
          </w:rPr>
          <w:t>29</w:t>
        </w:r>
        <w:r>
          <w:rPr>
            <w:noProof/>
            <w:webHidden/>
          </w:rPr>
          <w:fldChar w:fldCharType="end"/>
        </w:r>
      </w:hyperlink>
    </w:p>
    <w:p w:rsidR="00AA59F4" w14:paraId="61FFEE0D" w14:textId="7AD4C1B8">
      <w:pPr>
        <w:pStyle w:val="TableofFigures"/>
        <w:rPr>
          <w:rFonts w:asciiTheme="minorHAnsi" w:eastAsiaTheme="minorEastAsia" w:hAnsiTheme="minorHAnsi"/>
          <w:noProof/>
          <w:szCs w:val="22"/>
          <w14:ligatures w14:val="standardContextual"/>
        </w:rPr>
      </w:pPr>
      <w:hyperlink w:anchor="_Toc166761962" w:history="1">
        <w:r w:rsidRPr="00FA6A33">
          <w:rPr>
            <w:rStyle w:val="Hyperlink"/>
            <w:rFonts w:eastAsia="手头"/>
            <w:noProof/>
          </w:rPr>
          <w:t>表</w:t>
        </w:r>
        <w:r w:rsidRPr="00FA6A33">
          <w:rPr>
            <w:rStyle w:val="Hyperlink"/>
            <w:rFonts w:eastAsia="手头"/>
            <w:noProof/>
          </w:rPr>
          <w:t xml:space="preserve"> 18</w:t>
        </w:r>
        <w:r w:rsidRPr="00FA6A33">
          <w:rPr>
            <w:rStyle w:val="Hyperlink"/>
            <w:rFonts w:eastAsia="手头"/>
            <w:noProof/>
          </w:rPr>
          <w:t>：</w:t>
        </w:r>
        <w:r w:rsidRPr="00FA6A33">
          <w:rPr>
            <w:rStyle w:val="Hyperlink"/>
            <w:noProof/>
          </w:rPr>
          <w:t xml:space="preserve"> Techem 电子式热分配表(HCA)</w:t>
        </w:r>
        <w:r w:rsidRPr="00FA6A33">
          <w:rPr>
            <w:rStyle w:val="Hyperlink"/>
            <w:noProof/>
          </w:rPr>
          <w:t>生产基地、总部、竞争对手及市场地位</w:t>
        </w:r>
        <w:r>
          <w:rPr>
            <w:noProof/>
            <w:webHidden/>
          </w:rPr>
          <w:tab/>
        </w:r>
        <w:r>
          <w:rPr>
            <w:noProof/>
            <w:webHidden/>
          </w:rPr>
          <w:fldChar w:fldCharType="begin"/>
        </w:r>
        <w:r>
          <w:rPr>
            <w:noProof/>
            <w:webHidden/>
          </w:rPr>
          <w:instrText xml:space="preserve"> PAGEREF _Toc166761962 \h </w:instrText>
        </w:r>
        <w:r>
          <w:rPr>
            <w:noProof/>
            <w:webHidden/>
          </w:rPr>
          <w:fldChar w:fldCharType="separate"/>
        </w:r>
        <w:r>
          <w:rPr>
            <w:noProof/>
            <w:webHidden/>
          </w:rPr>
          <w:t>30</w:t>
        </w:r>
        <w:r>
          <w:rPr>
            <w:noProof/>
            <w:webHidden/>
          </w:rPr>
          <w:fldChar w:fldCharType="end"/>
        </w:r>
      </w:hyperlink>
    </w:p>
    <w:p w:rsidR="00AA59F4" w14:paraId="325C57FE" w14:textId="161AE6FF">
      <w:pPr>
        <w:pStyle w:val="TableofFigures"/>
        <w:rPr>
          <w:rFonts w:asciiTheme="minorHAnsi" w:eastAsiaTheme="minorEastAsia" w:hAnsiTheme="minorHAnsi"/>
          <w:noProof/>
          <w:szCs w:val="22"/>
          <w14:ligatures w14:val="standardContextual"/>
        </w:rPr>
      </w:pPr>
      <w:hyperlink w:anchor="_Toc166761963" w:history="1">
        <w:r w:rsidRPr="00FA6A33">
          <w:rPr>
            <w:rStyle w:val="Hyperlink"/>
            <w:rFonts w:eastAsia="手头"/>
            <w:noProof/>
          </w:rPr>
          <w:t>表</w:t>
        </w:r>
        <w:r w:rsidRPr="00FA6A33">
          <w:rPr>
            <w:rStyle w:val="Hyperlink"/>
            <w:rFonts w:eastAsia="手头"/>
            <w:noProof/>
          </w:rPr>
          <w:t xml:space="preserve"> 19</w:t>
        </w:r>
        <w:r w:rsidRPr="00FA6A33">
          <w:rPr>
            <w:rStyle w:val="Hyperlink"/>
            <w:rFonts w:eastAsia="手头"/>
            <w:noProof/>
          </w:rPr>
          <w:t>：</w:t>
        </w:r>
        <w:r w:rsidRPr="00FA6A33">
          <w:rPr>
            <w:rStyle w:val="Hyperlink"/>
            <w:noProof/>
          </w:rPr>
          <w:t xml:space="preserve"> Techem 电子式热分配表(HCA)</w:t>
        </w:r>
        <w:r w:rsidRPr="00FA6A33">
          <w:rPr>
            <w:rStyle w:val="Hyperlink"/>
            <w:noProof/>
          </w:rPr>
          <w:t>产品规格、参数及市场应用</w:t>
        </w:r>
        <w:r>
          <w:rPr>
            <w:noProof/>
            <w:webHidden/>
          </w:rPr>
          <w:tab/>
        </w:r>
        <w:r>
          <w:rPr>
            <w:noProof/>
            <w:webHidden/>
          </w:rPr>
          <w:fldChar w:fldCharType="begin"/>
        </w:r>
        <w:r>
          <w:rPr>
            <w:noProof/>
            <w:webHidden/>
          </w:rPr>
          <w:instrText xml:space="preserve"> PAGEREF _Toc166761963 \h </w:instrText>
        </w:r>
        <w:r>
          <w:rPr>
            <w:noProof/>
            <w:webHidden/>
          </w:rPr>
          <w:fldChar w:fldCharType="separate"/>
        </w:r>
        <w:r>
          <w:rPr>
            <w:noProof/>
            <w:webHidden/>
          </w:rPr>
          <w:t>30</w:t>
        </w:r>
        <w:r>
          <w:rPr>
            <w:noProof/>
            <w:webHidden/>
          </w:rPr>
          <w:fldChar w:fldCharType="end"/>
        </w:r>
      </w:hyperlink>
    </w:p>
    <w:p w:rsidR="00AA59F4" w14:paraId="1BA87B00" w14:textId="6CE5E2E4">
      <w:pPr>
        <w:pStyle w:val="TableofFigures"/>
        <w:rPr>
          <w:rFonts w:asciiTheme="minorHAnsi" w:eastAsiaTheme="minorEastAsia" w:hAnsiTheme="minorHAnsi"/>
          <w:noProof/>
          <w:szCs w:val="22"/>
          <w14:ligatures w14:val="standardContextual"/>
        </w:rPr>
      </w:pPr>
      <w:hyperlink w:anchor="_Toc166761964" w:history="1">
        <w:r w:rsidRPr="00FA6A33">
          <w:rPr>
            <w:rStyle w:val="Hyperlink"/>
            <w:rFonts w:eastAsia="手头"/>
            <w:noProof/>
          </w:rPr>
          <w:t>表</w:t>
        </w:r>
        <w:r w:rsidRPr="00FA6A33">
          <w:rPr>
            <w:rStyle w:val="Hyperlink"/>
            <w:rFonts w:eastAsia="手头"/>
            <w:noProof/>
          </w:rPr>
          <w:t xml:space="preserve"> 20</w:t>
        </w:r>
        <w:r w:rsidRPr="00FA6A33">
          <w:rPr>
            <w:rStyle w:val="Hyperlink"/>
            <w:rFonts w:eastAsia="手头"/>
            <w:noProof/>
          </w:rPr>
          <w:t>：</w:t>
        </w:r>
        <w:r w:rsidRPr="00FA6A33">
          <w:rPr>
            <w:rStyle w:val="Hyperlink"/>
            <w:noProof/>
          </w:rPr>
          <w:t xml:space="preserve"> Techem</w:t>
        </w:r>
        <w:r w:rsidRPr="00FA6A33">
          <w:rPr>
            <w:rStyle w:val="Hyperlink"/>
            <w:noProof/>
          </w:rPr>
          <w:t>公司简介及主要业务</w:t>
        </w:r>
        <w:r>
          <w:rPr>
            <w:noProof/>
            <w:webHidden/>
          </w:rPr>
          <w:tab/>
        </w:r>
        <w:r>
          <w:rPr>
            <w:noProof/>
            <w:webHidden/>
          </w:rPr>
          <w:fldChar w:fldCharType="begin"/>
        </w:r>
        <w:r>
          <w:rPr>
            <w:noProof/>
            <w:webHidden/>
          </w:rPr>
          <w:instrText xml:space="preserve"> PAGEREF _Toc166761964 \h </w:instrText>
        </w:r>
        <w:r>
          <w:rPr>
            <w:noProof/>
            <w:webHidden/>
          </w:rPr>
          <w:fldChar w:fldCharType="separate"/>
        </w:r>
        <w:r>
          <w:rPr>
            <w:noProof/>
            <w:webHidden/>
          </w:rPr>
          <w:t>30</w:t>
        </w:r>
        <w:r>
          <w:rPr>
            <w:noProof/>
            <w:webHidden/>
          </w:rPr>
          <w:fldChar w:fldCharType="end"/>
        </w:r>
      </w:hyperlink>
    </w:p>
    <w:p w:rsidR="00AA59F4" w14:paraId="29836CAB" w14:textId="7406A25A">
      <w:pPr>
        <w:pStyle w:val="TableofFigures"/>
        <w:rPr>
          <w:rFonts w:asciiTheme="minorHAnsi" w:eastAsiaTheme="minorEastAsia" w:hAnsiTheme="minorHAnsi"/>
          <w:noProof/>
          <w:szCs w:val="22"/>
          <w14:ligatures w14:val="standardContextual"/>
        </w:rPr>
      </w:pPr>
      <w:hyperlink w:anchor="_Toc166761965" w:history="1">
        <w:r w:rsidRPr="00FA6A33">
          <w:rPr>
            <w:rStyle w:val="Hyperlink"/>
            <w:rFonts w:eastAsia="手头"/>
            <w:noProof/>
          </w:rPr>
          <w:t>表</w:t>
        </w:r>
        <w:r w:rsidRPr="00FA6A33">
          <w:rPr>
            <w:rStyle w:val="Hyperlink"/>
            <w:rFonts w:eastAsia="手头"/>
            <w:noProof/>
          </w:rPr>
          <w:t xml:space="preserve"> 21</w:t>
        </w:r>
        <w:r w:rsidRPr="00FA6A33">
          <w:rPr>
            <w:rStyle w:val="Hyperlink"/>
            <w:rFonts w:eastAsia="手头"/>
            <w:noProof/>
          </w:rPr>
          <w:t>：</w:t>
        </w:r>
        <w:r w:rsidRPr="00FA6A33">
          <w:rPr>
            <w:rStyle w:val="Hyperlink"/>
            <w:noProof/>
          </w:rPr>
          <w:t xml:space="preserve"> Techem</w:t>
        </w:r>
        <w:r w:rsidRPr="00FA6A33">
          <w:rPr>
            <w:rStyle w:val="Hyperlink"/>
            <w:noProof/>
          </w:rPr>
          <w:t>企业最新动态</w:t>
        </w:r>
        <w:r>
          <w:rPr>
            <w:noProof/>
            <w:webHidden/>
          </w:rPr>
          <w:tab/>
        </w:r>
        <w:r>
          <w:rPr>
            <w:noProof/>
            <w:webHidden/>
          </w:rPr>
          <w:fldChar w:fldCharType="begin"/>
        </w:r>
        <w:r>
          <w:rPr>
            <w:noProof/>
            <w:webHidden/>
          </w:rPr>
          <w:instrText xml:space="preserve"> PAGEREF _Toc166761965 \h </w:instrText>
        </w:r>
        <w:r>
          <w:rPr>
            <w:noProof/>
            <w:webHidden/>
          </w:rPr>
          <w:fldChar w:fldCharType="separate"/>
        </w:r>
        <w:r>
          <w:rPr>
            <w:noProof/>
            <w:webHidden/>
          </w:rPr>
          <w:t>31</w:t>
        </w:r>
        <w:r>
          <w:rPr>
            <w:noProof/>
            <w:webHidden/>
          </w:rPr>
          <w:fldChar w:fldCharType="end"/>
        </w:r>
      </w:hyperlink>
    </w:p>
    <w:p w:rsidR="00AA59F4" w14:paraId="31ECA268" w14:textId="23DF8346">
      <w:pPr>
        <w:pStyle w:val="TableofFigures"/>
        <w:rPr>
          <w:rFonts w:asciiTheme="minorHAnsi" w:eastAsiaTheme="minorEastAsia" w:hAnsiTheme="minorHAnsi"/>
          <w:noProof/>
          <w:szCs w:val="22"/>
          <w14:ligatures w14:val="standardContextual"/>
        </w:rPr>
      </w:pPr>
      <w:hyperlink w:anchor="_Toc166761966" w:history="1">
        <w:r w:rsidRPr="00FA6A33">
          <w:rPr>
            <w:rStyle w:val="Hyperlink"/>
            <w:rFonts w:eastAsia="手头"/>
            <w:noProof/>
          </w:rPr>
          <w:t>表</w:t>
        </w:r>
        <w:r w:rsidRPr="00FA6A33">
          <w:rPr>
            <w:rStyle w:val="Hyperlink"/>
            <w:rFonts w:eastAsia="手头"/>
            <w:noProof/>
          </w:rPr>
          <w:t xml:space="preserve"> 22</w:t>
        </w:r>
        <w:r w:rsidRPr="00FA6A33">
          <w:rPr>
            <w:rStyle w:val="Hyperlink"/>
            <w:rFonts w:eastAsia="手头"/>
            <w:noProof/>
          </w:rPr>
          <w:t>：</w:t>
        </w:r>
        <w:r w:rsidRPr="00FA6A33">
          <w:rPr>
            <w:rStyle w:val="Hyperlink"/>
            <w:noProof/>
          </w:rPr>
          <w:t xml:space="preserve"> </w:t>
        </w:r>
        <w:r w:rsidR="00E452D1">
          <w:rPr>
            <w:rStyle w:val="Hyperlink"/>
            <w:noProof/>
          </w:rPr>
          <w:t>印尼</w:t>
        </w:r>
        <w:r w:rsidRPr="00FA6A33">
          <w:rPr>
            <w:rStyle w:val="Hyperlink"/>
            <w:noProof/>
          </w:rPr>
          <w:t>本土</w:t>
        </w:r>
        <w:r w:rsidRPr="00FA6A33">
          <w:rPr>
            <w:rStyle w:val="Hyperlink"/>
            <w:noProof/>
          </w:rPr>
          <w:t>电子式热分配表(HCA)</w:t>
        </w:r>
        <w:r w:rsidRPr="00FA6A33">
          <w:rPr>
            <w:rStyle w:val="Hyperlink"/>
            <w:noProof/>
          </w:rPr>
          <w:t>代表性客户分析</w:t>
        </w:r>
        <w:r>
          <w:rPr>
            <w:noProof/>
            <w:webHidden/>
          </w:rPr>
          <w:tab/>
        </w:r>
        <w:r>
          <w:rPr>
            <w:noProof/>
            <w:webHidden/>
          </w:rPr>
          <w:fldChar w:fldCharType="begin"/>
        </w:r>
        <w:r>
          <w:rPr>
            <w:noProof/>
            <w:webHidden/>
          </w:rPr>
          <w:instrText xml:space="preserve"> PAGEREF _Toc166761966 \h </w:instrText>
        </w:r>
        <w:r>
          <w:rPr>
            <w:noProof/>
            <w:webHidden/>
          </w:rPr>
          <w:fldChar w:fldCharType="separate"/>
        </w:r>
        <w:r>
          <w:rPr>
            <w:noProof/>
            <w:webHidden/>
          </w:rPr>
          <w:t>35</w:t>
        </w:r>
        <w:r>
          <w:rPr>
            <w:noProof/>
            <w:webHidden/>
          </w:rPr>
          <w:fldChar w:fldCharType="end"/>
        </w:r>
      </w:hyperlink>
    </w:p>
    <w:p w:rsidR="00AA59F4" w14:paraId="5E1F31CB" w14:textId="14167E09">
      <w:pPr>
        <w:pStyle w:val="TableofFigures"/>
        <w:rPr>
          <w:rFonts w:asciiTheme="minorHAnsi" w:eastAsiaTheme="minorEastAsia" w:hAnsiTheme="minorHAnsi"/>
          <w:noProof/>
          <w:szCs w:val="22"/>
          <w14:ligatures w14:val="standardContextual"/>
        </w:rPr>
      </w:pPr>
      <w:hyperlink w:anchor="_Toc166761967" w:history="1">
        <w:r w:rsidRPr="00FA6A33">
          <w:rPr>
            <w:rStyle w:val="Hyperlink"/>
            <w:rFonts w:eastAsia="手头"/>
            <w:noProof/>
          </w:rPr>
          <w:t>表</w:t>
        </w:r>
        <w:r w:rsidRPr="00FA6A33">
          <w:rPr>
            <w:rStyle w:val="Hyperlink"/>
            <w:rFonts w:eastAsia="手头"/>
            <w:noProof/>
          </w:rPr>
          <w:t xml:space="preserve"> 23</w:t>
        </w:r>
        <w:r w:rsidRPr="00FA6A33">
          <w:rPr>
            <w:rStyle w:val="Hyperlink"/>
            <w:rFonts w:eastAsia="手头"/>
            <w:noProof/>
          </w:rPr>
          <w:t>：</w:t>
        </w:r>
        <w:r w:rsidRPr="00FA6A33">
          <w:rPr>
            <w:rStyle w:val="Hyperlink"/>
            <w:noProof/>
          </w:rPr>
          <w:t xml:space="preserve"> </w:t>
        </w:r>
        <w:r w:rsidR="001C34EF">
          <w:rPr>
            <w:rStyle w:val="Hyperlink"/>
            <w:noProof/>
          </w:rPr>
          <w:t>东南亚市场</w:t>
        </w:r>
        <w:r w:rsidR="001C34EF">
          <w:rPr>
            <w:rStyle w:val="Hyperlink"/>
            <w:noProof/>
          </w:rPr>
          <w:t>电子式热分配表(HCA)</w:t>
        </w:r>
        <w:r w:rsidRPr="00FA6A33">
          <w:rPr>
            <w:rStyle w:val="Hyperlink"/>
            <w:noProof/>
          </w:rPr>
          <w:t>代理商列表</w:t>
        </w:r>
        <w:r>
          <w:rPr>
            <w:noProof/>
            <w:webHidden/>
          </w:rPr>
          <w:tab/>
        </w:r>
        <w:r>
          <w:rPr>
            <w:noProof/>
            <w:webHidden/>
          </w:rPr>
          <w:fldChar w:fldCharType="begin"/>
        </w:r>
        <w:r>
          <w:rPr>
            <w:noProof/>
            <w:webHidden/>
          </w:rPr>
          <w:instrText xml:space="preserve"> PAGEREF _Toc166761967 \h </w:instrText>
        </w:r>
        <w:r>
          <w:rPr>
            <w:noProof/>
            <w:webHidden/>
          </w:rPr>
          <w:fldChar w:fldCharType="separate"/>
        </w:r>
        <w:r>
          <w:rPr>
            <w:noProof/>
            <w:webHidden/>
          </w:rPr>
          <w:t>36</w:t>
        </w:r>
        <w:r>
          <w:rPr>
            <w:noProof/>
            <w:webHidden/>
          </w:rPr>
          <w:fldChar w:fldCharType="end"/>
        </w:r>
      </w:hyperlink>
    </w:p>
    <w:p w:rsidR="00AA59F4" w14:paraId="6DC6138F" w14:textId="69BD43E8">
      <w:pPr>
        <w:pStyle w:val="TableofFigures"/>
        <w:rPr>
          <w:rFonts w:asciiTheme="minorHAnsi" w:eastAsiaTheme="minorEastAsia" w:hAnsiTheme="minorHAnsi"/>
          <w:noProof/>
          <w:szCs w:val="22"/>
          <w14:ligatures w14:val="standardContextual"/>
        </w:rPr>
      </w:pPr>
      <w:hyperlink w:anchor="_Toc166761968" w:history="1">
        <w:r w:rsidRPr="00FA6A33">
          <w:rPr>
            <w:rStyle w:val="Hyperlink"/>
            <w:rFonts w:eastAsia="手头"/>
            <w:noProof/>
          </w:rPr>
          <w:t>表</w:t>
        </w:r>
        <w:r w:rsidRPr="00FA6A33">
          <w:rPr>
            <w:rStyle w:val="Hyperlink"/>
            <w:rFonts w:eastAsia="手头"/>
            <w:noProof/>
          </w:rPr>
          <w:t xml:space="preserve"> 24</w:t>
        </w:r>
        <w:r w:rsidRPr="00FA6A33">
          <w:rPr>
            <w:rStyle w:val="Hyperlink"/>
            <w:rFonts w:eastAsia="手头"/>
            <w:noProof/>
          </w:rPr>
          <w:t>：</w:t>
        </w:r>
        <w:r w:rsidRPr="00FA6A33">
          <w:rPr>
            <w:rStyle w:val="Hyperlink"/>
            <w:noProof/>
          </w:rPr>
          <w:t xml:space="preserve"> </w:t>
        </w:r>
        <w:r w:rsidR="001C34EF">
          <w:rPr>
            <w:rStyle w:val="Hyperlink"/>
            <w:noProof/>
          </w:rPr>
          <w:t>东南亚市场</w:t>
        </w:r>
        <w:r w:rsidR="001C34EF">
          <w:rPr>
            <w:rStyle w:val="Hyperlink"/>
            <w:noProof/>
          </w:rPr>
          <w:t>电子式热分配表(HCA)</w:t>
        </w:r>
        <w:r w:rsidRPr="00FA6A33">
          <w:rPr>
            <w:rStyle w:val="Hyperlink"/>
            <w:noProof/>
          </w:rPr>
          <w:t>主要进口来源</w:t>
        </w:r>
        <w:r>
          <w:rPr>
            <w:noProof/>
            <w:webHidden/>
          </w:rPr>
          <w:tab/>
        </w:r>
        <w:r>
          <w:rPr>
            <w:noProof/>
            <w:webHidden/>
          </w:rPr>
          <w:fldChar w:fldCharType="begin"/>
        </w:r>
        <w:r>
          <w:rPr>
            <w:noProof/>
            <w:webHidden/>
          </w:rPr>
          <w:instrText xml:space="preserve"> PAGEREF _Toc166761968 \h </w:instrText>
        </w:r>
        <w:r>
          <w:rPr>
            <w:noProof/>
            <w:webHidden/>
          </w:rPr>
          <w:fldChar w:fldCharType="separate"/>
        </w:r>
        <w:r>
          <w:rPr>
            <w:noProof/>
            <w:webHidden/>
          </w:rPr>
          <w:t>36</w:t>
        </w:r>
        <w:r>
          <w:rPr>
            <w:noProof/>
            <w:webHidden/>
          </w:rPr>
          <w:fldChar w:fldCharType="end"/>
        </w:r>
      </w:hyperlink>
    </w:p>
    <w:p w:rsidR="00AA59F4" w14:paraId="62E9347B" w14:textId="4E40A5A0">
      <w:pPr>
        <w:pStyle w:val="TableofFigures"/>
        <w:rPr>
          <w:rFonts w:asciiTheme="minorHAnsi" w:eastAsiaTheme="minorEastAsia" w:hAnsiTheme="minorHAnsi"/>
          <w:noProof/>
          <w:szCs w:val="22"/>
          <w14:ligatures w14:val="standardContextual"/>
        </w:rPr>
      </w:pPr>
      <w:hyperlink w:anchor="_Toc166761969" w:history="1">
        <w:r w:rsidRPr="00FA6A33">
          <w:rPr>
            <w:rStyle w:val="Hyperlink"/>
            <w:rFonts w:eastAsia="手头"/>
            <w:noProof/>
          </w:rPr>
          <w:t>表</w:t>
        </w:r>
        <w:r w:rsidRPr="00FA6A33">
          <w:rPr>
            <w:rStyle w:val="Hyperlink"/>
            <w:rFonts w:eastAsia="手头"/>
            <w:noProof/>
          </w:rPr>
          <w:t xml:space="preserve"> 25</w:t>
        </w:r>
        <w:r w:rsidRPr="00FA6A33">
          <w:rPr>
            <w:rStyle w:val="Hyperlink"/>
            <w:rFonts w:eastAsia="手头"/>
            <w:noProof/>
          </w:rPr>
          <w:t>：</w:t>
        </w:r>
        <w:r w:rsidRPr="00FA6A33">
          <w:rPr>
            <w:rStyle w:val="Hyperlink"/>
            <w:noProof/>
          </w:rPr>
          <w:t xml:space="preserve"> </w:t>
        </w:r>
        <w:r w:rsidR="001C34EF">
          <w:rPr>
            <w:rStyle w:val="Hyperlink"/>
            <w:noProof/>
          </w:rPr>
          <w:t>东南亚市场</w:t>
        </w:r>
        <w:r w:rsidR="001C34EF">
          <w:rPr>
            <w:rStyle w:val="Hyperlink"/>
            <w:noProof/>
          </w:rPr>
          <w:t>电子式热分配表(HCA)</w:t>
        </w:r>
        <w:r w:rsidRPr="00FA6A33">
          <w:rPr>
            <w:rStyle w:val="Hyperlink"/>
            <w:noProof/>
          </w:rPr>
          <w:t>主要出口目的地</w:t>
        </w:r>
        <w:r>
          <w:rPr>
            <w:noProof/>
            <w:webHidden/>
          </w:rPr>
          <w:tab/>
        </w:r>
        <w:r>
          <w:rPr>
            <w:noProof/>
            <w:webHidden/>
          </w:rPr>
          <w:fldChar w:fldCharType="begin"/>
        </w:r>
        <w:r>
          <w:rPr>
            <w:noProof/>
            <w:webHidden/>
          </w:rPr>
          <w:instrText xml:space="preserve"> PAGEREF _Toc166761969 \h </w:instrText>
        </w:r>
        <w:r>
          <w:rPr>
            <w:noProof/>
            <w:webHidden/>
          </w:rPr>
          <w:fldChar w:fldCharType="separate"/>
        </w:r>
        <w:r>
          <w:rPr>
            <w:noProof/>
            <w:webHidden/>
          </w:rPr>
          <w:t>37</w:t>
        </w:r>
        <w:r>
          <w:rPr>
            <w:noProof/>
            <w:webHidden/>
          </w:rPr>
          <w:fldChar w:fldCharType="end"/>
        </w:r>
      </w:hyperlink>
    </w:p>
    <w:p w:rsidR="00AA59F4" w14:paraId="278F434D" w14:textId="3F0B9E08">
      <w:pPr>
        <w:pStyle w:val="TableofFigures"/>
        <w:rPr>
          <w:rFonts w:asciiTheme="minorHAnsi" w:eastAsiaTheme="minorEastAsia" w:hAnsiTheme="minorHAnsi"/>
          <w:noProof/>
          <w:szCs w:val="22"/>
          <w14:ligatures w14:val="standardContextual"/>
        </w:rPr>
      </w:pPr>
      <w:hyperlink w:anchor="_Toc166761970" w:history="1">
        <w:r w:rsidRPr="00FA6A33">
          <w:rPr>
            <w:rStyle w:val="Hyperlink"/>
            <w:rFonts w:eastAsia="手头"/>
            <w:noProof/>
          </w:rPr>
          <w:t>表</w:t>
        </w:r>
        <w:r w:rsidRPr="00FA6A33">
          <w:rPr>
            <w:rStyle w:val="Hyperlink"/>
            <w:rFonts w:eastAsia="手头"/>
            <w:noProof/>
          </w:rPr>
          <w:t xml:space="preserve"> 26</w:t>
        </w:r>
        <w:r w:rsidRPr="00FA6A33">
          <w:rPr>
            <w:rStyle w:val="Hyperlink"/>
            <w:rFonts w:eastAsia="手头"/>
            <w:noProof/>
          </w:rPr>
          <w:t>：</w:t>
        </w:r>
        <w:r w:rsidRPr="00FA6A33">
          <w:rPr>
            <w:rStyle w:val="Hyperlink"/>
            <w:noProof/>
          </w:rPr>
          <w:t xml:space="preserve"> 电子式热分配表(HCA)</w:t>
        </w:r>
        <w:r w:rsidRPr="00FA6A33">
          <w:rPr>
            <w:rStyle w:val="Hyperlink"/>
            <w:noProof/>
          </w:rPr>
          <w:t>行业发展分析</w:t>
        </w:r>
        <w:r w:rsidRPr="00FA6A33">
          <w:rPr>
            <w:rStyle w:val="Hyperlink"/>
            <w:noProof/>
          </w:rPr>
          <w:t>---</w:t>
        </w:r>
        <w:r w:rsidRPr="00FA6A33">
          <w:rPr>
            <w:rStyle w:val="Hyperlink"/>
            <w:noProof/>
          </w:rPr>
          <w:t>发展趋势</w:t>
        </w:r>
        <w:r>
          <w:rPr>
            <w:noProof/>
            <w:webHidden/>
          </w:rPr>
          <w:tab/>
        </w:r>
        <w:r>
          <w:rPr>
            <w:noProof/>
            <w:webHidden/>
          </w:rPr>
          <w:fldChar w:fldCharType="begin"/>
        </w:r>
        <w:r>
          <w:rPr>
            <w:noProof/>
            <w:webHidden/>
          </w:rPr>
          <w:instrText xml:space="preserve"> PAGEREF _Toc166761970 \h </w:instrText>
        </w:r>
        <w:r>
          <w:rPr>
            <w:noProof/>
            <w:webHidden/>
          </w:rPr>
          <w:fldChar w:fldCharType="separate"/>
        </w:r>
        <w:r>
          <w:rPr>
            <w:noProof/>
            <w:webHidden/>
          </w:rPr>
          <w:t>38</w:t>
        </w:r>
        <w:r>
          <w:rPr>
            <w:noProof/>
            <w:webHidden/>
          </w:rPr>
          <w:fldChar w:fldCharType="end"/>
        </w:r>
      </w:hyperlink>
    </w:p>
    <w:p w:rsidR="00AA59F4" w14:paraId="3E15BB09" w14:textId="1435B4AB">
      <w:pPr>
        <w:pStyle w:val="TableofFigures"/>
        <w:rPr>
          <w:rFonts w:asciiTheme="minorHAnsi" w:eastAsiaTheme="minorEastAsia" w:hAnsiTheme="minorHAnsi"/>
          <w:noProof/>
          <w:szCs w:val="22"/>
          <w14:ligatures w14:val="standardContextual"/>
        </w:rPr>
      </w:pPr>
      <w:hyperlink w:anchor="_Toc166761971" w:history="1">
        <w:r w:rsidRPr="00FA6A33">
          <w:rPr>
            <w:rStyle w:val="Hyperlink"/>
            <w:rFonts w:eastAsia="手头"/>
            <w:noProof/>
          </w:rPr>
          <w:t>表</w:t>
        </w:r>
        <w:r w:rsidRPr="00FA6A33">
          <w:rPr>
            <w:rStyle w:val="Hyperlink"/>
            <w:rFonts w:eastAsia="手头"/>
            <w:noProof/>
          </w:rPr>
          <w:t xml:space="preserve"> 27</w:t>
        </w:r>
        <w:r w:rsidRPr="00FA6A33">
          <w:rPr>
            <w:rStyle w:val="Hyperlink"/>
            <w:rFonts w:eastAsia="手头"/>
            <w:noProof/>
          </w:rPr>
          <w:t>：</w:t>
        </w:r>
        <w:r w:rsidRPr="00FA6A33">
          <w:rPr>
            <w:rStyle w:val="Hyperlink"/>
            <w:noProof/>
          </w:rPr>
          <w:t xml:space="preserve"> 电子式热分配表(HCA)</w:t>
        </w:r>
        <w:r w:rsidRPr="00FA6A33">
          <w:rPr>
            <w:rStyle w:val="Hyperlink"/>
            <w:noProof/>
          </w:rPr>
          <w:t>行业发展分析</w:t>
        </w:r>
        <w:r w:rsidRPr="00FA6A33">
          <w:rPr>
            <w:rStyle w:val="Hyperlink"/>
            <w:noProof/>
          </w:rPr>
          <w:t>---</w:t>
        </w:r>
        <w:r w:rsidRPr="00FA6A33">
          <w:rPr>
            <w:rStyle w:val="Hyperlink"/>
            <w:noProof/>
          </w:rPr>
          <w:t>厂商壁垒</w:t>
        </w:r>
        <w:r>
          <w:rPr>
            <w:noProof/>
            <w:webHidden/>
          </w:rPr>
          <w:tab/>
        </w:r>
        <w:r>
          <w:rPr>
            <w:noProof/>
            <w:webHidden/>
          </w:rPr>
          <w:fldChar w:fldCharType="begin"/>
        </w:r>
        <w:r>
          <w:rPr>
            <w:noProof/>
            <w:webHidden/>
          </w:rPr>
          <w:instrText xml:space="preserve"> PAGEREF _Toc166761971 \h </w:instrText>
        </w:r>
        <w:r>
          <w:rPr>
            <w:noProof/>
            <w:webHidden/>
          </w:rPr>
          <w:fldChar w:fldCharType="separate"/>
        </w:r>
        <w:r>
          <w:rPr>
            <w:noProof/>
            <w:webHidden/>
          </w:rPr>
          <w:t>38</w:t>
        </w:r>
        <w:r>
          <w:rPr>
            <w:noProof/>
            <w:webHidden/>
          </w:rPr>
          <w:fldChar w:fldCharType="end"/>
        </w:r>
      </w:hyperlink>
    </w:p>
    <w:p w:rsidR="00AA59F4" w14:paraId="62B52ED8" w14:textId="6F0F6805">
      <w:pPr>
        <w:pStyle w:val="TableofFigures"/>
        <w:rPr>
          <w:rFonts w:asciiTheme="minorHAnsi" w:eastAsiaTheme="minorEastAsia" w:hAnsiTheme="minorHAnsi"/>
          <w:noProof/>
          <w:szCs w:val="22"/>
          <w14:ligatures w14:val="standardContextual"/>
        </w:rPr>
      </w:pPr>
      <w:hyperlink w:anchor="_Toc166761972" w:history="1">
        <w:r w:rsidRPr="00FA6A33">
          <w:rPr>
            <w:rStyle w:val="Hyperlink"/>
            <w:rFonts w:eastAsia="手头"/>
            <w:noProof/>
          </w:rPr>
          <w:t>表</w:t>
        </w:r>
        <w:r w:rsidRPr="00FA6A33">
          <w:rPr>
            <w:rStyle w:val="Hyperlink"/>
            <w:rFonts w:eastAsia="手头"/>
            <w:noProof/>
          </w:rPr>
          <w:t xml:space="preserve"> 28</w:t>
        </w:r>
        <w:r w:rsidRPr="00FA6A33">
          <w:rPr>
            <w:rStyle w:val="Hyperlink"/>
            <w:rFonts w:eastAsia="手头"/>
            <w:noProof/>
          </w:rPr>
          <w:t>：</w:t>
        </w:r>
        <w:r w:rsidRPr="00FA6A33">
          <w:rPr>
            <w:rStyle w:val="Hyperlink"/>
            <w:noProof/>
          </w:rPr>
          <w:t xml:space="preserve"> 电子式热分配表(HCA)</w:t>
        </w:r>
        <w:r w:rsidRPr="00FA6A33">
          <w:rPr>
            <w:rStyle w:val="Hyperlink"/>
            <w:noProof/>
          </w:rPr>
          <w:t>行业发展分析</w:t>
        </w:r>
        <w:r w:rsidRPr="00FA6A33">
          <w:rPr>
            <w:rStyle w:val="Hyperlink"/>
            <w:noProof/>
          </w:rPr>
          <w:t>---</w:t>
        </w:r>
        <w:r w:rsidRPr="00FA6A33">
          <w:rPr>
            <w:rStyle w:val="Hyperlink"/>
            <w:noProof/>
          </w:rPr>
          <w:t>驱动因素</w:t>
        </w:r>
        <w:r>
          <w:rPr>
            <w:noProof/>
            <w:webHidden/>
          </w:rPr>
          <w:tab/>
        </w:r>
        <w:r>
          <w:rPr>
            <w:noProof/>
            <w:webHidden/>
          </w:rPr>
          <w:fldChar w:fldCharType="begin"/>
        </w:r>
        <w:r>
          <w:rPr>
            <w:noProof/>
            <w:webHidden/>
          </w:rPr>
          <w:instrText xml:space="preserve"> PAGEREF _Toc166761972 \h </w:instrText>
        </w:r>
        <w:r>
          <w:rPr>
            <w:noProof/>
            <w:webHidden/>
          </w:rPr>
          <w:fldChar w:fldCharType="separate"/>
        </w:r>
        <w:r>
          <w:rPr>
            <w:noProof/>
            <w:webHidden/>
          </w:rPr>
          <w:t>38</w:t>
        </w:r>
        <w:r>
          <w:rPr>
            <w:noProof/>
            <w:webHidden/>
          </w:rPr>
          <w:fldChar w:fldCharType="end"/>
        </w:r>
      </w:hyperlink>
    </w:p>
    <w:p w:rsidR="00AA59F4" w14:paraId="5BD307DB" w14:textId="6E46A88A">
      <w:pPr>
        <w:pStyle w:val="TableofFigures"/>
        <w:rPr>
          <w:rFonts w:asciiTheme="minorHAnsi" w:eastAsiaTheme="minorEastAsia" w:hAnsiTheme="minorHAnsi"/>
          <w:noProof/>
          <w:szCs w:val="22"/>
          <w14:ligatures w14:val="standardContextual"/>
        </w:rPr>
      </w:pPr>
      <w:hyperlink w:anchor="_Toc166761973" w:history="1">
        <w:r w:rsidRPr="00FA6A33">
          <w:rPr>
            <w:rStyle w:val="Hyperlink"/>
            <w:rFonts w:eastAsia="手头"/>
            <w:noProof/>
          </w:rPr>
          <w:t>表</w:t>
        </w:r>
        <w:r w:rsidRPr="00FA6A33">
          <w:rPr>
            <w:rStyle w:val="Hyperlink"/>
            <w:rFonts w:eastAsia="手头"/>
            <w:noProof/>
          </w:rPr>
          <w:t xml:space="preserve"> 29</w:t>
        </w:r>
        <w:r w:rsidRPr="00FA6A33">
          <w:rPr>
            <w:rStyle w:val="Hyperlink"/>
            <w:rFonts w:eastAsia="手头"/>
            <w:noProof/>
          </w:rPr>
          <w:t>：</w:t>
        </w:r>
        <w:r w:rsidRPr="00FA6A33">
          <w:rPr>
            <w:rStyle w:val="Hyperlink"/>
            <w:noProof/>
          </w:rPr>
          <w:t xml:space="preserve"> 电子式热分配表(HCA)</w:t>
        </w:r>
        <w:r w:rsidRPr="00FA6A33">
          <w:rPr>
            <w:rStyle w:val="Hyperlink"/>
            <w:noProof/>
          </w:rPr>
          <w:t>行业发展分析</w:t>
        </w:r>
        <w:r w:rsidRPr="00FA6A33">
          <w:rPr>
            <w:rStyle w:val="Hyperlink"/>
            <w:noProof/>
          </w:rPr>
          <w:t>---</w:t>
        </w:r>
        <w:r w:rsidRPr="00FA6A33">
          <w:rPr>
            <w:rStyle w:val="Hyperlink"/>
            <w:noProof/>
          </w:rPr>
          <w:t>制约因素</w:t>
        </w:r>
        <w:r>
          <w:rPr>
            <w:noProof/>
            <w:webHidden/>
          </w:rPr>
          <w:tab/>
        </w:r>
        <w:r>
          <w:rPr>
            <w:noProof/>
            <w:webHidden/>
          </w:rPr>
          <w:fldChar w:fldCharType="begin"/>
        </w:r>
        <w:r>
          <w:rPr>
            <w:noProof/>
            <w:webHidden/>
          </w:rPr>
          <w:instrText xml:space="preserve"> PAGEREF _Toc166761973 \h </w:instrText>
        </w:r>
        <w:r>
          <w:rPr>
            <w:noProof/>
            <w:webHidden/>
          </w:rPr>
          <w:fldChar w:fldCharType="separate"/>
        </w:r>
        <w:r>
          <w:rPr>
            <w:noProof/>
            <w:webHidden/>
          </w:rPr>
          <w:t>39</w:t>
        </w:r>
        <w:r>
          <w:rPr>
            <w:noProof/>
            <w:webHidden/>
          </w:rPr>
          <w:fldChar w:fldCharType="end"/>
        </w:r>
      </w:hyperlink>
    </w:p>
    <w:p w:rsidR="00AA59F4" w14:paraId="49E15245" w14:textId="3FD1B999">
      <w:pPr>
        <w:pStyle w:val="TableofFigures"/>
        <w:rPr>
          <w:rFonts w:asciiTheme="minorHAnsi" w:eastAsiaTheme="minorEastAsia" w:hAnsiTheme="minorHAnsi"/>
          <w:noProof/>
          <w:szCs w:val="22"/>
          <w14:ligatures w14:val="standardContextual"/>
        </w:rPr>
      </w:pPr>
      <w:hyperlink w:anchor="_Toc166761974" w:history="1">
        <w:r w:rsidRPr="00FA6A33">
          <w:rPr>
            <w:rStyle w:val="Hyperlink"/>
            <w:rFonts w:eastAsia="手头"/>
            <w:noProof/>
          </w:rPr>
          <w:t>表</w:t>
        </w:r>
        <w:r w:rsidRPr="00FA6A33">
          <w:rPr>
            <w:rStyle w:val="Hyperlink"/>
            <w:rFonts w:eastAsia="手头"/>
            <w:noProof/>
          </w:rPr>
          <w:t xml:space="preserve"> 30</w:t>
        </w:r>
        <w:r w:rsidRPr="00FA6A33">
          <w:rPr>
            <w:rStyle w:val="Hyperlink"/>
            <w:rFonts w:eastAsia="手头"/>
            <w:noProof/>
          </w:rPr>
          <w:t>：</w:t>
        </w:r>
        <w:r w:rsidRPr="00FA6A33">
          <w:rPr>
            <w:rStyle w:val="Hyperlink"/>
            <w:noProof/>
          </w:rPr>
          <w:t xml:space="preserve"> </w:t>
        </w:r>
        <w:r w:rsidRPr="00FA6A33">
          <w:rPr>
            <w:rStyle w:val="Hyperlink"/>
            <w:noProof/>
          </w:rPr>
          <w:t>研究范围</w:t>
        </w:r>
        <w:r>
          <w:rPr>
            <w:noProof/>
            <w:webHidden/>
          </w:rPr>
          <w:tab/>
        </w:r>
        <w:r>
          <w:rPr>
            <w:noProof/>
            <w:webHidden/>
          </w:rPr>
          <w:fldChar w:fldCharType="begin"/>
        </w:r>
        <w:r>
          <w:rPr>
            <w:noProof/>
            <w:webHidden/>
          </w:rPr>
          <w:instrText xml:space="preserve"> PAGEREF _Toc166761974 \h </w:instrText>
        </w:r>
        <w:r>
          <w:rPr>
            <w:noProof/>
            <w:webHidden/>
          </w:rPr>
          <w:fldChar w:fldCharType="separate"/>
        </w:r>
        <w:r>
          <w:rPr>
            <w:noProof/>
            <w:webHidden/>
          </w:rPr>
          <w:t>41</w:t>
        </w:r>
        <w:r>
          <w:rPr>
            <w:noProof/>
            <w:webHidden/>
          </w:rPr>
          <w:fldChar w:fldCharType="end"/>
        </w:r>
      </w:hyperlink>
    </w:p>
    <w:p w:rsidR="009450DC" w:rsidRPr="00F40B60" w:rsidP="00BE2E83" w14:paraId="51A1785F" w14:textId="6F3D7049">
      <w:pPr>
        <w:sectPr w:rsidSect="00863435">
          <w:headerReference w:type="default" r:id="rId5"/>
          <w:footerReference w:type="default" r:id="rId6"/>
          <w:pgSz w:w="11906" w:h="16838"/>
          <w:pgMar w:top="1440" w:right="1080" w:bottom="1440" w:left="1080" w:header="709" w:footer="567" w:gutter="0"/>
          <w:pgBorders w:offsetFrom="page">
            <w:top w:val="nil"/>
            <w:left w:val="nil"/>
            <w:bottom w:val="nil"/>
            <w:right w:val="nil"/>
          </w:pgBorders>
          <w:pgNumType w:start="1"/>
          <w:cols w:space="425"/>
          <w:docGrid w:type="lines" w:linePitch="312"/>
        </w:sectPr>
      </w:pPr>
      <w:hyperlink w:anchor="_Toc166761975" w:history="1">
        <w:r w:rsidRPr="00FA6A33">
          <w:rPr>
            <w:rStyle w:val="Hyperlink"/>
            <w:rFonts w:eastAsia="手头"/>
            <w:noProof/>
          </w:rPr>
          <w:t>表</w:t>
        </w:r>
        <w:r w:rsidRPr="00FA6A33">
          <w:rPr>
            <w:rStyle w:val="Hyperlink"/>
            <w:rFonts w:eastAsia="手头"/>
            <w:noProof/>
          </w:rPr>
          <w:t xml:space="preserve"> 31</w:t>
        </w:r>
        <w:r w:rsidRPr="00FA6A33">
          <w:rPr>
            <w:rStyle w:val="Hyperlink"/>
            <w:rFonts w:eastAsia="手头"/>
            <w:noProof/>
          </w:rPr>
          <w:t>：</w:t>
        </w:r>
        <w:r w:rsidRPr="00FA6A33">
          <w:rPr>
            <w:rStyle w:val="Hyperlink"/>
            <w:noProof/>
          </w:rPr>
          <w:t xml:space="preserve"> </w:t>
        </w:r>
        <w:r w:rsidRPr="00FA6A33">
          <w:rPr>
            <w:rStyle w:val="Hyperlink"/>
            <w:noProof/>
          </w:rPr>
          <w:t>本文分析师列表</w:t>
        </w:r>
        <w:r>
          <w:rPr>
            <w:noProof/>
            <w:webHidden/>
          </w:rPr>
          <w:tab/>
        </w:r>
        <w:r>
          <w:rPr>
            <w:noProof/>
            <w:webHidden/>
          </w:rPr>
          <w:fldChar w:fldCharType="begin"/>
        </w:r>
        <w:r>
          <w:rPr>
            <w:noProof/>
            <w:webHidden/>
          </w:rPr>
          <w:instrText xml:space="preserve"> PAGEREF _Toc166761975 \h </w:instrText>
        </w:r>
        <w:r>
          <w:rPr>
            <w:noProof/>
            <w:webHidden/>
          </w:rPr>
          <w:fldChar w:fldCharType="separate"/>
        </w:r>
        <w:r>
          <w:rPr>
            <w:noProof/>
            <w:webHidden/>
          </w:rPr>
          <w:t>45</w:t>
        </w:r>
        <w:r>
          <w:rPr>
            <w:noProof/>
            <w:webHidden/>
          </w:rPr>
          <w:fldChar w:fldCharType="end"/>
        </w:r>
      </w:hyperlink>
      <w:r>
        <w:rPr>
          <w:b/>
          <w:color w:val="000000" w:themeColor="text1"/>
          <w:szCs w:val="20"/>
        </w:rPr>
        <w:fldChar w:fldCharType="end"/>
      </w:r>
    </w:p>
    <w:p w:rsidR="00F91C84" w:rsidRPr="00DD76F3" w:rsidP="00DD76F3" w14:paraId="196AE1CF" w14:textId="4BEB9E3D">
      <w:pPr>
        <w:pStyle w:val="01"/>
        <w:spacing w:before="0"/>
      </w:pPr>
      <w:r w:rsidRPr="00DD76F3">
        <w:rPr>
          <w:rFonts w:hint="eastAsia"/>
        </w:rPr>
        <w:t>图表目录</w:t>
      </w:r>
    </w:p>
    <w:p w:rsidR="00AA59F4" w14:paraId="04B34D37" w14:textId="21786A7D">
      <w:pPr>
        <w:pStyle w:val="TableofFigures0"/>
        <w:rPr>
          <w:rFonts w:asciiTheme="minorHAnsi" w:eastAsiaTheme="minorEastAsia" w:hAnsiTheme="minorHAnsi"/>
          <w:noProof/>
          <w:szCs w:val="22"/>
          <w14:ligatures w14:val="standardContextual"/>
        </w:rPr>
      </w:pPr>
      <w:r>
        <w:fldChar w:fldCharType="begin"/>
      </w:r>
      <w:r>
        <w:instrText xml:space="preserve"> TOC \f F \h \z \t "Figure Style" \c </w:instrText>
      </w:r>
      <w:r>
        <w:fldChar w:fldCharType="separate"/>
      </w:r>
      <w:hyperlink w:anchor="_Toc166761929" w:history="1">
        <w:r w:rsidRPr="004F3C06">
          <w:rPr>
            <w:rStyle w:val="Hyperlink0"/>
            <w:noProof/>
          </w:rPr>
          <w:t>图</w:t>
        </w:r>
        <w:r w:rsidRPr="004F3C06">
          <w:rPr>
            <w:rStyle w:val="Hyperlink0"/>
            <w:noProof/>
          </w:rPr>
          <w:t xml:space="preserve"> 1</w:t>
        </w:r>
        <w:r w:rsidRPr="004F3C06">
          <w:rPr>
            <w:rStyle w:val="Hyperlink0"/>
            <w:noProof/>
          </w:rPr>
          <w:t>：</w:t>
        </w:r>
        <w:r w:rsidRPr="004F3C06">
          <w:rPr>
            <w:rStyle w:val="Hyperlink0"/>
            <w:noProof/>
          </w:rPr>
          <w:t xml:space="preserve"> 电子式热分配表(HCA)</w:t>
        </w:r>
        <w:r w:rsidRPr="004F3C06">
          <w:rPr>
            <w:rStyle w:val="Hyperlink0"/>
            <w:noProof/>
          </w:rPr>
          <w:t>产品图片</w:t>
        </w:r>
        <w:r>
          <w:rPr>
            <w:noProof/>
            <w:webHidden/>
          </w:rPr>
          <w:tab/>
        </w:r>
        <w:r>
          <w:rPr>
            <w:noProof/>
            <w:webHidden/>
          </w:rPr>
          <w:fldChar w:fldCharType="begin"/>
        </w:r>
        <w:r>
          <w:rPr>
            <w:noProof/>
            <w:webHidden/>
          </w:rPr>
          <w:instrText xml:space="preserve"> PAGEREF _Toc166761929 \h </w:instrText>
        </w:r>
        <w:r>
          <w:rPr>
            <w:noProof/>
            <w:webHidden/>
          </w:rPr>
          <w:fldChar w:fldCharType="separate"/>
        </w:r>
        <w:r>
          <w:rPr>
            <w:noProof/>
            <w:webHidden/>
          </w:rPr>
          <w:t>1</w:t>
        </w:r>
        <w:r>
          <w:rPr>
            <w:noProof/>
            <w:webHidden/>
          </w:rPr>
          <w:fldChar w:fldCharType="end"/>
        </w:r>
      </w:hyperlink>
    </w:p>
    <w:p w:rsidR="00AA59F4" w14:paraId="6DA5DEC4" w14:textId="457F8F52">
      <w:pPr>
        <w:pStyle w:val="TableofFigures0"/>
        <w:rPr>
          <w:rFonts w:asciiTheme="minorHAnsi" w:eastAsiaTheme="minorEastAsia" w:hAnsiTheme="minorHAnsi"/>
          <w:noProof/>
          <w:szCs w:val="22"/>
          <w14:ligatures w14:val="standardContextual"/>
        </w:rPr>
      </w:pPr>
      <w:hyperlink w:anchor="_Toc166761930" w:history="1">
        <w:r w:rsidRPr="004F3C06">
          <w:rPr>
            <w:rStyle w:val="Hyperlink0"/>
            <w:noProof/>
          </w:rPr>
          <w:t>图</w:t>
        </w:r>
        <w:r w:rsidRPr="004F3C06">
          <w:rPr>
            <w:rStyle w:val="Hyperlink0"/>
            <w:noProof/>
          </w:rPr>
          <w:t xml:space="preserve"> 2</w:t>
        </w:r>
        <w:r w:rsidRPr="004F3C06">
          <w:rPr>
            <w:rStyle w:val="Hyperlink0"/>
            <w:noProof/>
          </w:rPr>
          <w:t>：</w:t>
        </w:r>
        <w:r w:rsidRPr="004F3C06">
          <w:rPr>
            <w:rStyle w:val="Hyperlink0"/>
            <w:noProof/>
          </w:rPr>
          <w:t xml:space="preserve"> </w:t>
        </w:r>
        <w:r w:rsidRPr="004F3C06">
          <w:rPr>
            <w:rStyle w:val="Hyperlink0"/>
            <w:noProof/>
          </w:rPr>
          <w:t>全球</w:t>
        </w:r>
        <w:r w:rsidRPr="004F3C06">
          <w:rPr>
            <w:rStyle w:val="Hyperlink0"/>
            <w:noProof/>
          </w:rPr>
          <w:t>电子式热分配表(HCA)</w:t>
        </w:r>
        <w:r w:rsidRPr="004F3C06">
          <w:rPr>
            <w:rStyle w:val="Hyperlink0"/>
            <w:noProof/>
          </w:rPr>
          <w:t>市场收入规模及增长率（</w:t>
        </w:r>
        <w:r w:rsidRPr="004F3C06">
          <w:rPr>
            <w:rStyle w:val="Hyperlink0"/>
            <w:noProof/>
          </w:rPr>
          <w:t>2019-2030</w:t>
        </w:r>
        <w:r w:rsidRPr="004F3C06">
          <w:rPr>
            <w:rStyle w:val="Hyperlink0"/>
            <w:noProof/>
          </w:rPr>
          <w:t>）</w:t>
        </w:r>
        <w:r w:rsidRPr="004F3C06">
          <w:rPr>
            <w:rStyle w:val="Hyperlink0"/>
            <w:noProof/>
          </w:rPr>
          <w:t>&amp;</w:t>
        </w:r>
        <w:r w:rsidRPr="004F3C06">
          <w:rPr>
            <w:rStyle w:val="Hyperlink0"/>
            <w:noProof/>
          </w:rPr>
          <w:t>（百万元）</w:t>
        </w:r>
        <w:r>
          <w:rPr>
            <w:noProof/>
            <w:webHidden/>
          </w:rPr>
          <w:tab/>
        </w:r>
        <w:r>
          <w:rPr>
            <w:noProof/>
            <w:webHidden/>
          </w:rPr>
          <w:fldChar w:fldCharType="begin"/>
        </w:r>
        <w:r>
          <w:rPr>
            <w:noProof/>
            <w:webHidden/>
          </w:rPr>
          <w:instrText xml:space="preserve"> PAGEREF _Toc166761930 \h </w:instrText>
        </w:r>
        <w:r>
          <w:rPr>
            <w:noProof/>
            <w:webHidden/>
          </w:rPr>
          <w:fldChar w:fldCharType="separate"/>
        </w:r>
        <w:r>
          <w:rPr>
            <w:noProof/>
            <w:webHidden/>
          </w:rPr>
          <w:t>1</w:t>
        </w:r>
        <w:r>
          <w:rPr>
            <w:noProof/>
            <w:webHidden/>
          </w:rPr>
          <w:fldChar w:fldCharType="end"/>
        </w:r>
      </w:hyperlink>
    </w:p>
    <w:p w:rsidR="00AA59F4" w14:paraId="0F5FF05B" w14:textId="3A102743">
      <w:pPr>
        <w:pStyle w:val="TableofFigures0"/>
        <w:rPr>
          <w:rFonts w:asciiTheme="minorHAnsi" w:eastAsiaTheme="minorEastAsia" w:hAnsiTheme="minorHAnsi"/>
          <w:noProof/>
          <w:szCs w:val="22"/>
          <w14:ligatures w14:val="standardContextual"/>
        </w:rPr>
      </w:pPr>
      <w:hyperlink w:anchor="_Toc166761931" w:history="1">
        <w:r w:rsidRPr="004F3C06">
          <w:rPr>
            <w:rStyle w:val="Hyperlink0"/>
            <w:noProof/>
          </w:rPr>
          <w:t>图</w:t>
        </w:r>
        <w:r w:rsidRPr="004F3C06">
          <w:rPr>
            <w:rStyle w:val="Hyperlink0"/>
            <w:noProof/>
          </w:rPr>
          <w:t xml:space="preserve"> 3</w:t>
        </w:r>
        <w:r w:rsidRPr="004F3C06">
          <w:rPr>
            <w:rStyle w:val="Hyperlink0"/>
            <w:noProof/>
          </w:rPr>
          <w:t>：</w:t>
        </w:r>
        <w:r w:rsidRPr="004F3C06">
          <w:rPr>
            <w:rStyle w:val="Hyperlink0"/>
            <w:noProof/>
          </w:rPr>
          <w:t xml:space="preserve"> </w:t>
        </w:r>
        <w:r w:rsidRPr="004F3C06">
          <w:rPr>
            <w:rStyle w:val="Hyperlink0"/>
            <w:noProof/>
          </w:rPr>
          <w:t>全球</w:t>
        </w:r>
        <w:r w:rsidRPr="004F3C06">
          <w:rPr>
            <w:rStyle w:val="Hyperlink0"/>
            <w:noProof/>
          </w:rPr>
          <w:t>电子式热分配表(HCA)</w:t>
        </w:r>
        <w:r w:rsidRPr="004F3C06">
          <w:rPr>
            <w:rStyle w:val="Hyperlink0"/>
            <w:noProof/>
          </w:rPr>
          <w:t>市场销量及增长率（</w:t>
        </w:r>
        <w:r w:rsidRPr="004F3C06">
          <w:rPr>
            <w:rStyle w:val="Hyperlink0"/>
            <w:noProof/>
          </w:rPr>
          <w:t>2019-2030</w:t>
        </w:r>
        <w:r w:rsidRPr="004F3C06">
          <w:rPr>
            <w:rStyle w:val="Hyperlink0"/>
            <w:noProof/>
          </w:rPr>
          <w:t>）</w:t>
        </w:r>
        <w:r w:rsidRPr="004F3C06">
          <w:rPr>
            <w:rStyle w:val="Hyperlink0"/>
            <w:noProof/>
          </w:rPr>
          <w:t>&amp;</w:t>
        </w:r>
        <w:r w:rsidRPr="004F3C06">
          <w:rPr>
            <w:rStyle w:val="Hyperlink0"/>
            <w:noProof/>
          </w:rPr>
          <w:t>（</w:t>
        </w:r>
        <w:r w:rsidRPr="004F3C06">
          <w:rPr>
            <w:rStyle w:val="Hyperlink0"/>
            <w:noProof/>
          </w:rPr>
          <w:t>千个</w:t>
        </w:r>
        <w:r w:rsidRPr="004F3C06">
          <w:rPr>
            <w:rStyle w:val="Hyperlink0"/>
            <w:noProof/>
          </w:rPr>
          <w:t>）</w:t>
        </w:r>
        <w:r>
          <w:rPr>
            <w:noProof/>
            <w:webHidden/>
          </w:rPr>
          <w:tab/>
        </w:r>
        <w:r>
          <w:rPr>
            <w:noProof/>
            <w:webHidden/>
          </w:rPr>
          <w:fldChar w:fldCharType="begin"/>
        </w:r>
        <w:r>
          <w:rPr>
            <w:noProof/>
            <w:webHidden/>
          </w:rPr>
          <w:instrText xml:space="preserve"> PAGEREF _Toc166761931 \h </w:instrText>
        </w:r>
        <w:r>
          <w:rPr>
            <w:noProof/>
            <w:webHidden/>
          </w:rPr>
          <w:fldChar w:fldCharType="separate"/>
        </w:r>
        <w:r>
          <w:rPr>
            <w:noProof/>
            <w:webHidden/>
          </w:rPr>
          <w:t>2</w:t>
        </w:r>
        <w:r>
          <w:rPr>
            <w:noProof/>
            <w:webHidden/>
          </w:rPr>
          <w:fldChar w:fldCharType="end"/>
        </w:r>
      </w:hyperlink>
    </w:p>
    <w:p w:rsidR="00AA59F4" w14:paraId="6E947CF1" w14:textId="359F1C15">
      <w:pPr>
        <w:pStyle w:val="TableofFigures0"/>
        <w:rPr>
          <w:rFonts w:asciiTheme="minorHAnsi" w:eastAsiaTheme="minorEastAsia" w:hAnsiTheme="minorHAnsi"/>
          <w:noProof/>
          <w:szCs w:val="22"/>
          <w14:ligatures w14:val="standardContextual"/>
        </w:rPr>
      </w:pPr>
      <w:hyperlink w:anchor="_Toc166761932" w:history="1">
        <w:r w:rsidRPr="004F3C06">
          <w:rPr>
            <w:rStyle w:val="Hyperlink0"/>
            <w:noProof/>
          </w:rPr>
          <w:t>图</w:t>
        </w:r>
        <w:r w:rsidRPr="004F3C06">
          <w:rPr>
            <w:rStyle w:val="Hyperlink0"/>
            <w:noProof/>
          </w:rPr>
          <w:t xml:space="preserve"> 4</w:t>
        </w:r>
        <w:r w:rsidRPr="004F3C06">
          <w:rPr>
            <w:rStyle w:val="Hyperlink0"/>
            <w:noProof/>
          </w:rPr>
          <w:t>：</w:t>
        </w:r>
        <w:r w:rsidRPr="004F3C06">
          <w:rPr>
            <w:rStyle w:val="Hyperlink0"/>
            <w:noProof/>
          </w:rPr>
          <w:t xml:space="preserve"> </w:t>
        </w:r>
        <w:r w:rsidR="001C34EF">
          <w:rPr>
            <w:rStyle w:val="Hyperlink0"/>
            <w:noProof/>
          </w:rPr>
          <w:t>东南亚市场</w:t>
        </w:r>
        <w:r w:rsidR="001C34EF">
          <w:rPr>
            <w:rStyle w:val="Hyperlink0"/>
            <w:noProof/>
          </w:rPr>
          <w:t>电子式热分配表(HCA)</w:t>
        </w:r>
        <w:r w:rsidRPr="004F3C06">
          <w:rPr>
            <w:rStyle w:val="Hyperlink0"/>
            <w:noProof/>
          </w:rPr>
          <w:t>销售额及增长率（</w:t>
        </w:r>
        <w:r w:rsidRPr="004F3C06">
          <w:rPr>
            <w:rStyle w:val="Hyperlink0"/>
            <w:noProof/>
          </w:rPr>
          <w:t>2019-2030</w:t>
        </w:r>
        <w:r w:rsidRPr="004F3C06">
          <w:rPr>
            <w:rStyle w:val="Hyperlink0"/>
            <w:noProof/>
          </w:rPr>
          <w:t>）</w:t>
        </w:r>
        <w:r w:rsidRPr="004F3C06">
          <w:rPr>
            <w:rStyle w:val="Hyperlink0"/>
            <w:noProof/>
          </w:rPr>
          <w:t>&amp;</w:t>
        </w:r>
        <w:r w:rsidRPr="004F3C06">
          <w:rPr>
            <w:rStyle w:val="Hyperlink0"/>
            <w:noProof/>
          </w:rPr>
          <w:t>（百万元）</w:t>
        </w:r>
        <w:r>
          <w:rPr>
            <w:noProof/>
            <w:webHidden/>
          </w:rPr>
          <w:tab/>
        </w:r>
        <w:r>
          <w:rPr>
            <w:noProof/>
            <w:webHidden/>
          </w:rPr>
          <w:fldChar w:fldCharType="begin"/>
        </w:r>
        <w:r>
          <w:rPr>
            <w:noProof/>
            <w:webHidden/>
          </w:rPr>
          <w:instrText xml:space="preserve"> PAGEREF _Toc166761932 \h </w:instrText>
        </w:r>
        <w:r>
          <w:rPr>
            <w:noProof/>
            <w:webHidden/>
          </w:rPr>
          <w:fldChar w:fldCharType="separate"/>
        </w:r>
        <w:r>
          <w:rPr>
            <w:noProof/>
            <w:webHidden/>
          </w:rPr>
          <w:t>2</w:t>
        </w:r>
        <w:r>
          <w:rPr>
            <w:noProof/>
            <w:webHidden/>
          </w:rPr>
          <w:fldChar w:fldCharType="end"/>
        </w:r>
      </w:hyperlink>
    </w:p>
    <w:p w:rsidR="00AA59F4" w14:paraId="518A17FF" w14:textId="44F1514F">
      <w:pPr>
        <w:pStyle w:val="TableofFigures0"/>
        <w:rPr>
          <w:rFonts w:asciiTheme="minorHAnsi" w:eastAsiaTheme="minorEastAsia" w:hAnsiTheme="minorHAnsi"/>
          <w:noProof/>
          <w:szCs w:val="22"/>
          <w14:ligatures w14:val="standardContextual"/>
        </w:rPr>
      </w:pPr>
      <w:hyperlink w:anchor="_Toc166761933" w:history="1">
        <w:r w:rsidRPr="004F3C06">
          <w:rPr>
            <w:rStyle w:val="Hyperlink0"/>
            <w:noProof/>
          </w:rPr>
          <w:t>图</w:t>
        </w:r>
        <w:r w:rsidRPr="004F3C06">
          <w:rPr>
            <w:rStyle w:val="Hyperlink0"/>
            <w:noProof/>
          </w:rPr>
          <w:t xml:space="preserve"> 5</w:t>
        </w:r>
        <w:r w:rsidRPr="004F3C06">
          <w:rPr>
            <w:rStyle w:val="Hyperlink0"/>
            <w:noProof/>
          </w:rPr>
          <w:t>：</w:t>
        </w:r>
        <w:r w:rsidRPr="004F3C06">
          <w:rPr>
            <w:rStyle w:val="Hyperlink0"/>
            <w:noProof/>
          </w:rPr>
          <w:t xml:space="preserve"> </w:t>
        </w:r>
        <w:r w:rsidR="001C34EF">
          <w:rPr>
            <w:rStyle w:val="Hyperlink0"/>
            <w:noProof/>
          </w:rPr>
          <w:t>东南亚市场</w:t>
        </w:r>
        <w:r w:rsidR="001C34EF">
          <w:rPr>
            <w:rStyle w:val="Hyperlink0"/>
            <w:noProof/>
          </w:rPr>
          <w:t>电子式热分配表(HCA)</w:t>
        </w:r>
        <w:r w:rsidRPr="004F3C06">
          <w:rPr>
            <w:rStyle w:val="Hyperlink0"/>
            <w:noProof/>
          </w:rPr>
          <w:t>销量及增长率（</w:t>
        </w:r>
        <w:r w:rsidRPr="004F3C06">
          <w:rPr>
            <w:rStyle w:val="Hyperlink0"/>
            <w:noProof/>
          </w:rPr>
          <w:t>2019-2030</w:t>
        </w:r>
        <w:r w:rsidRPr="004F3C06">
          <w:rPr>
            <w:rStyle w:val="Hyperlink0"/>
            <w:noProof/>
          </w:rPr>
          <w:t>）</w:t>
        </w:r>
        <w:r w:rsidRPr="004F3C06">
          <w:rPr>
            <w:rStyle w:val="Hyperlink0"/>
            <w:noProof/>
          </w:rPr>
          <w:t>&amp;</w:t>
        </w:r>
        <w:r w:rsidRPr="004F3C06">
          <w:rPr>
            <w:rStyle w:val="Hyperlink0"/>
            <w:noProof/>
          </w:rPr>
          <w:t>（</w:t>
        </w:r>
        <w:r w:rsidRPr="004F3C06">
          <w:rPr>
            <w:rStyle w:val="Hyperlink0"/>
            <w:noProof/>
          </w:rPr>
          <w:t>千个</w:t>
        </w:r>
        <w:r w:rsidRPr="004F3C06">
          <w:rPr>
            <w:rStyle w:val="Hyperlink0"/>
            <w:noProof/>
          </w:rPr>
          <w:t>）</w:t>
        </w:r>
        <w:r>
          <w:rPr>
            <w:noProof/>
            <w:webHidden/>
          </w:rPr>
          <w:tab/>
        </w:r>
        <w:r>
          <w:rPr>
            <w:noProof/>
            <w:webHidden/>
          </w:rPr>
          <w:fldChar w:fldCharType="begin"/>
        </w:r>
        <w:r>
          <w:rPr>
            <w:noProof/>
            <w:webHidden/>
          </w:rPr>
          <w:instrText xml:space="preserve"> PAGEREF _Toc166761933 \h </w:instrText>
        </w:r>
        <w:r>
          <w:rPr>
            <w:noProof/>
            <w:webHidden/>
          </w:rPr>
          <w:fldChar w:fldCharType="separate"/>
        </w:r>
        <w:r>
          <w:rPr>
            <w:noProof/>
            <w:webHidden/>
          </w:rPr>
          <w:t>3</w:t>
        </w:r>
        <w:r>
          <w:rPr>
            <w:noProof/>
            <w:webHidden/>
          </w:rPr>
          <w:fldChar w:fldCharType="end"/>
        </w:r>
      </w:hyperlink>
    </w:p>
    <w:p w:rsidR="00AA59F4" w14:paraId="39C76196" w14:textId="2C8AC0A8">
      <w:pPr>
        <w:pStyle w:val="TableofFigures0"/>
        <w:rPr>
          <w:rFonts w:asciiTheme="minorHAnsi" w:eastAsiaTheme="minorEastAsia" w:hAnsiTheme="minorHAnsi"/>
          <w:noProof/>
          <w:szCs w:val="22"/>
          <w14:ligatures w14:val="standardContextual"/>
        </w:rPr>
      </w:pPr>
      <w:hyperlink w:anchor="_Toc166761934" w:history="1">
        <w:r w:rsidRPr="004F3C06">
          <w:rPr>
            <w:rStyle w:val="Hyperlink0"/>
            <w:noProof/>
          </w:rPr>
          <w:t>图</w:t>
        </w:r>
        <w:r w:rsidRPr="004F3C06">
          <w:rPr>
            <w:rStyle w:val="Hyperlink0"/>
            <w:noProof/>
          </w:rPr>
          <w:t xml:space="preserve"> 6</w:t>
        </w:r>
        <w:r w:rsidRPr="004F3C06">
          <w:rPr>
            <w:rStyle w:val="Hyperlink0"/>
            <w:noProof/>
          </w:rPr>
          <w:t>：</w:t>
        </w:r>
        <w:r w:rsidRPr="004F3C06">
          <w:rPr>
            <w:rStyle w:val="Hyperlink0"/>
            <w:noProof/>
          </w:rPr>
          <w:t xml:space="preserve"> 2023</w:t>
        </w:r>
        <w:r w:rsidRPr="004F3C06">
          <w:rPr>
            <w:rStyle w:val="Hyperlink0"/>
            <w:noProof/>
          </w:rPr>
          <w:t>年基础设施发展指数</w:t>
        </w:r>
        <w:r>
          <w:rPr>
            <w:noProof/>
            <w:webHidden/>
          </w:rPr>
          <w:tab/>
        </w:r>
        <w:r>
          <w:rPr>
            <w:noProof/>
            <w:webHidden/>
          </w:rPr>
          <w:fldChar w:fldCharType="begin"/>
        </w:r>
        <w:r>
          <w:rPr>
            <w:noProof/>
            <w:webHidden/>
          </w:rPr>
          <w:instrText xml:space="preserve"> PAGEREF _Toc166761934 \h </w:instrText>
        </w:r>
        <w:r>
          <w:rPr>
            <w:noProof/>
            <w:webHidden/>
          </w:rPr>
          <w:fldChar w:fldCharType="separate"/>
        </w:r>
        <w:r>
          <w:rPr>
            <w:noProof/>
            <w:webHidden/>
          </w:rPr>
          <w:t>13</w:t>
        </w:r>
        <w:r>
          <w:rPr>
            <w:noProof/>
            <w:webHidden/>
          </w:rPr>
          <w:fldChar w:fldCharType="end"/>
        </w:r>
      </w:hyperlink>
    </w:p>
    <w:p w:rsidR="00AA59F4" w14:paraId="30F78A10" w14:textId="1C39F20C">
      <w:pPr>
        <w:pStyle w:val="TableofFigures0"/>
        <w:rPr>
          <w:rFonts w:asciiTheme="minorHAnsi" w:eastAsiaTheme="minorEastAsia" w:hAnsiTheme="minorHAnsi"/>
          <w:noProof/>
          <w:szCs w:val="22"/>
          <w14:ligatures w14:val="standardContextual"/>
        </w:rPr>
      </w:pPr>
      <w:hyperlink w:anchor="_Toc166761935" w:history="1">
        <w:r w:rsidRPr="004F3C06">
          <w:rPr>
            <w:rStyle w:val="Hyperlink0"/>
            <w:noProof/>
          </w:rPr>
          <w:t>图</w:t>
        </w:r>
        <w:r w:rsidRPr="004F3C06">
          <w:rPr>
            <w:rStyle w:val="Hyperlink0"/>
            <w:noProof/>
          </w:rPr>
          <w:t xml:space="preserve"> 7</w:t>
        </w:r>
        <w:r w:rsidRPr="004F3C06">
          <w:rPr>
            <w:rStyle w:val="Hyperlink0"/>
            <w:noProof/>
          </w:rPr>
          <w:t>：</w:t>
        </w:r>
        <w:r w:rsidRPr="004F3C06">
          <w:rPr>
            <w:rStyle w:val="Hyperlink0"/>
            <w:noProof/>
          </w:rPr>
          <w:t xml:space="preserve"> </w:t>
        </w:r>
        <w:r w:rsidRPr="004F3C06">
          <w:rPr>
            <w:rStyle w:val="Hyperlink0"/>
            <w:noProof/>
          </w:rPr>
          <w:t>全球市场</w:t>
        </w:r>
        <w:r w:rsidRPr="004F3C06">
          <w:rPr>
            <w:rStyle w:val="Hyperlink0"/>
            <w:noProof/>
          </w:rPr>
          <w:t>电子式热分配表(HCA)</w:t>
        </w:r>
        <w:r w:rsidRPr="004F3C06">
          <w:rPr>
            <w:rStyle w:val="Hyperlink0"/>
            <w:noProof/>
          </w:rPr>
          <w:t>厂商份额（</w:t>
        </w:r>
        <w:r w:rsidRPr="004F3C06">
          <w:rPr>
            <w:rStyle w:val="Hyperlink0"/>
            <w:noProof/>
          </w:rPr>
          <w:t>2023</w:t>
        </w:r>
        <w:r w:rsidRPr="004F3C06">
          <w:rPr>
            <w:rStyle w:val="Hyperlink0"/>
            <w:noProof/>
          </w:rPr>
          <w:t>）</w:t>
        </w:r>
        <w:r>
          <w:rPr>
            <w:noProof/>
            <w:webHidden/>
          </w:rPr>
          <w:tab/>
        </w:r>
        <w:r>
          <w:rPr>
            <w:noProof/>
            <w:webHidden/>
          </w:rPr>
          <w:fldChar w:fldCharType="begin"/>
        </w:r>
        <w:r>
          <w:rPr>
            <w:noProof/>
            <w:webHidden/>
          </w:rPr>
          <w:instrText xml:space="preserve"> PAGEREF _Toc166761935 \h </w:instrText>
        </w:r>
        <w:r>
          <w:rPr>
            <w:noProof/>
            <w:webHidden/>
          </w:rPr>
          <w:fldChar w:fldCharType="separate"/>
        </w:r>
        <w:r>
          <w:rPr>
            <w:noProof/>
            <w:webHidden/>
          </w:rPr>
          <w:t>15</w:t>
        </w:r>
        <w:r>
          <w:rPr>
            <w:noProof/>
            <w:webHidden/>
          </w:rPr>
          <w:fldChar w:fldCharType="end"/>
        </w:r>
      </w:hyperlink>
    </w:p>
    <w:p w:rsidR="00AA59F4" w14:paraId="23786819" w14:textId="2281CB23">
      <w:pPr>
        <w:pStyle w:val="TableofFigures0"/>
        <w:rPr>
          <w:rFonts w:asciiTheme="minorHAnsi" w:eastAsiaTheme="minorEastAsia" w:hAnsiTheme="minorHAnsi"/>
          <w:noProof/>
          <w:szCs w:val="22"/>
          <w14:ligatures w14:val="standardContextual"/>
        </w:rPr>
      </w:pPr>
      <w:hyperlink w:anchor="_Toc166761936" w:history="1">
        <w:r w:rsidRPr="004F3C06">
          <w:rPr>
            <w:rStyle w:val="Hyperlink0"/>
            <w:noProof/>
          </w:rPr>
          <w:t>图</w:t>
        </w:r>
        <w:r w:rsidRPr="004F3C06">
          <w:rPr>
            <w:rStyle w:val="Hyperlink0"/>
            <w:noProof/>
          </w:rPr>
          <w:t xml:space="preserve"> 8</w:t>
        </w:r>
        <w:r w:rsidRPr="004F3C06">
          <w:rPr>
            <w:rStyle w:val="Hyperlink0"/>
            <w:noProof/>
          </w:rPr>
          <w:t>：</w:t>
        </w:r>
        <w:r w:rsidRPr="004F3C06">
          <w:rPr>
            <w:rStyle w:val="Hyperlink0"/>
            <w:noProof/>
          </w:rPr>
          <w:t xml:space="preserve"> 2023</w:t>
        </w:r>
        <w:r w:rsidRPr="004F3C06">
          <w:rPr>
            <w:rStyle w:val="Hyperlink0"/>
            <w:noProof/>
          </w:rPr>
          <w:t>年</w:t>
        </w:r>
        <w:r w:rsidR="001C34EF">
          <w:rPr>
            <w:rStyle w:val="Hyperlink0"/>
            <w:noProof/>
          </w:rPr>
          <w:t>东南亚市场</w:t>
        </w:r>
        <w:r w:rsidRPr="004F3C06">
          <w:rPr>
            <w:rStyle w:val="Hyperlink0"/>
            <w:noProof/>
          </w:rPr>
          <w:t>主要厂商</w:t>
        </w:r>
        <w:r w:rsidRPr="004F3C06">
          <w:rPr>
            <w:rStyle w:val="Hyperlink0"/>
            <w:noProof/>
          </w:rPr>
          <w:t>电子式热分配表(HCA)</w:t>
        </w:r>
        <w:r w:rsidRPr="004F3C06">
          <w:rPr>
            <w:rStyle w:val="Hyperlink0"/>
            <w:noProof/>
          </w:rPr>
          <w:t>销量市场份额</w:t>
        </w:r>
        <w:r>
          <w:rPr>
            <w:noProof/>
            <w:webHidden/>
          </w:rPr>
          <w:tab/>
        </w:r>
        <w:r>
          <w:rPr>
            <w:noProof/>
            <w:webHidden/>
          </w:rPr>
          <w:fldChar w:fldCharType="begin"/>
        </w:r>
        <w:r>
          <w:rPr>
            <w:noProof/>
            <w:webHidden/>
          </w:rPr>
          <w:instrText xml:space="preserve"> PAGEREF _Toc166761936 \h </w:instrText>
        </w:r>
        <w:r>
          <w:rPr>
            <w:noProof/>
            <w:webHidden/>
          </w:rPr>
          <w:fldChar w:fldCharType="separate"/>
        </w:r>
        <w:r>
          <w:rPr>
            <w:noProof/>
            <w:webHidden/>
          </w:rPr>
          <w:t>21</w:t>
        </w:r>
        <w:r>
          <w:rPr>
            <w:noProof/>
            <w:webHidden/>
          </w:rPr>
          <w:fldChar w:fldCharType="end"/>
        </w:r>
      </w:hyperlink>
    </w:p>
    <w:p w:rsidR="00AA59F4" w14:paraId="5D3E4A37" w14:textId="7EC482FF">
      <w:pPr>
        <w:pStyle w:val="TableofFigures0"/>
        <w:rPr>
          <w:rFonts w:asciiTheme="minorHAnsi" w:eastAsiaTheme="minorEastAsia" w:hAnsiTheme="minorHAnsi"/>
          <w:noProof/>
          <w:szCs w:val="22"/>
          <w14:ligatures w14:val="standardContextual"/>
        </w:rPr>
      </w:pPr>
      <w:hyperlink w:anchor="_Toc166761937" w:history="1">
        <w:r w:rsidRPr="004F3C06">
          <w:rPr>
            <w:rStyle w:val="Hyperlink0"/>
            <w:noProof/>
          </w:rPr>
          <w:t>图</w:t>
        </w:r>
        <w:r w:rsidRPr="004F3C06">
          <w:rPr>
            <w:rStyle w:val="Hyperlink0"/>
            <w:noProof/>
          </w:rPr>
          <w:t xml:space="preserve"> 9</w:t>
        </w:r>
        <w:r w:rsidRPr="004F3C06">
          <w:rPr>
            <w:rStyle w:val="Hyperlink0"/>
            <w:noProof/>
          </w:rPr>
          <w:t>：</w:t>
        </w:r>
        <w:r w:rsidRPr="004F3C06">
          <w:rPr>
            <w:rStyle w:val="Hyperlink0"/>
            <w:noProof/>
          </w:rPr>
          <w:t xml:space="preserve"> 2023</w:t>
        </w:r>
        <w:r w:rsidRPr="004F3C06">
          <w:rPr>
            <w:rStyle w:val="Hyperlink0"/>
            <w:noProof/>
          </w:rPr>
          <w:t>年</w:t>
        </w:r>
        <w:r w:rsidR="001C34EF">
          <w:rPr>
            <w:rStyle w:val="Hyperlink0"/>
            <w:noProof/>
          </w:rPr>
          <w:t>东南亚市场</w:t>
        </w:r>
        <w:r w:rsidRPr="004F3C06">
          <w:rPr>
            <w:rStyle w:val="Hyperlink0"/>
            <w:noProof/>
          </w:rPr>
          <w:t>主要厂商</w:t>
        </w:r>
        <w:r w:rsidRPr="004F3C06">
          <w:rPr>
            <w:rStyle w:val="Hyperlink0"/>
            <w:noProof/>
          </w:rPr>
          <w:t>电子式热分配表(HCA)</w:t>
        </w:r>
        <w:r w:rsidRPr="004F3C06">
          <w:rPr>
            <w:rStyle w:val="Hyperlink0"/>
            <w:noProof/>
          </w:rPr>
          <w:t>收入市场份额</w:t>
        </w:r>
        <w:r>
          <w:rPr>
            <w:noProof/>
            <w:webHidden/>
          </w:rPr>
          <w:tab/>
        </w:r>
        <w:r>
          <w:rPr>
            <w:noProof/>
            <w:webHidden/>
          </w:rPr>
          <w:fldChar w:fldCharType="begin"/>
        </w:r>
        <w:r>
          <w:rPr>
            <w:noProof/>
            <w:webHidden/>
          </w:rPr>
          <w:instrText xml:space="preserve"> PAGEREF _Toc166761937 \h </w:instrText>
        </w:r>
        <w:r>
          <w:rPr>
            <w:noProof/>
            <w:webHidden/>
          </w:rPr>
          <w:fldChar w:fldCharType="separate"/>
        </w:r>
        <w:r>
          <w:rPr>
            <w:noProof/>
            <w:webHidden/>
          </w:rPr>
          <w:t>23</w:t>
        </w:r>
        <w:r>
          <w:rPr>
            <w:noProof/>
            <w:webHidden/>
          </w:rPr>
          <w:fldChar w:fldCharType="end"/>
        </w:r>
      </w:hyperlink>
    </w:p>
    <w:p w:rsidR="00AA59F4" w14:paraId="39B21698" w14:textId="3268AA56">
      <w:pPr>
        <w:pStyle w:val="TableofFigures0"/>
        <w:rPr>
          <w:rFonts w:asciiTheme="minorHAnsi" w:eastAsiaTheme="minorEastAsia" w:hAnsiTheme="minorHAnsi"/>
          <w:noProof/>
          <w:szCs w:val="22"/>
          <w14:ligatures w14:val="standardContextual"/>
        </w:rPr>
      </w:pPr>
      <w:hyperlink w:anchor="_Toc166761938" w:history="1">
        <w:r w:rsidRPr="004F3C06">
          <w:rPr>
            <w:rStyle w:val="Hyperlink0"/>
            <w:noProof/>
          </w:rPr>
          <w:t>图</w:t>
        </w:r>
        <w:r w:rsidRPr="004F3C06">
          <w:rPr>
            <w:rStyle w:val="Hyperlink0"/>
            <w:noProof/>
          </w:rPr>
          <w:t xml:space="preserve"> 10</w:t>
        </w:r>
        <w:r w:rsidRPr="004F3C06">
          <w:rPr>
            <w:rStyle w:val="Hyperlink0"/>
            <w:noProof/>
          </w:rPr>
          <w:t>：</w:t>
        </w:r>
        <w:r w:rsidRPr="004F3C06">
          <w:rPr>
            <w:rStyle w:val="Hyperlink0"/>
            <w:noProof/>
          </w:rPr>
          <w:t xml:space="preserve"> 2023</w:t>
        </w:r>
        <w:r w:rsidRPr="004F3C06">
          <w:rPr>
            <w:rStyle w:val="Hyperlink0"/>
            <w:noProof/>
          </w:rPr>
          <w:t>年</w:t>
        </w:r>
        <w:r w:rsidR="001C34EF">
          <w:rPr>
            <w:rStyle w:val="Hyperlink0"/>
            <w:noProof/>
          </w:rPr>
          <w:t>东南亚市场</w:t>
        </w:r>
        <w:r w:rsidRPr="004F3C06">
          <w:rPr>
            <w:rStyle w:val="Hyperlink0"/>
            <w:noProof/>
          </w:rPr>
          <w:t>前五大厂商</w:t>
        </w:r>
        <w:r w:rsidRPr="004F3C06">
          <w:rPr>
            <w:rStyle w:val="Hyperlink0"/>
            <w:noProof/>
          </w:rPr>
          <w:t>电子式热分配表(HCA)</w:t>
        </w:r>
        <w:r w:rsidRPr="004F3C06">
          <w:rPr>
            <w:rStyle w:val="Hyperlink0"/>
            <w:noProof/>
          </w:rPr>
          <w:t>市场份额</w:t>
        </w:r>
        <w:r>
          <w:rPr>
            <w:noProof/>
            <w:webHidden/>
          </w:rPr>
          <w:tab/>
        </w:r>
        <w:r>
          <w:rPr>
            <w:noProof/>
            <w:webHidden/>
          </w:rPr>
          <w:fldChar w:fldCharType="begin"/>
        </w:r>
        <w:r>
          <w:rPr>
            <w:noProof/>
            <w:webHidden/>
          </w:rPr>
          <w:instrText xml:space="preserve"> PAGEREF _Toc166761938 \h </w:instrText>
        </w:r>
        <w:r>
          <w:rPr>
            <w:noProof/>
            <w:webHidden/>
          </w:rPr>
          <w:fldChar w:fldCharType="separate"/>
        </w:r>
        <w:r>
          <w:rPr>
            <w:noProof/>
            <w:webHidden/>
          </w:rPr>
          <w:t>25</w:t>
        </w:r>
        <w:r>
          <w:rPr>
            <w:noProof/>
            <w:webHidden/>
          </w:rPr>
          <w:fldChar w:fldCharType="end"/>
        </w:r>
      </w:hyperlink>
    </w:p>
    <w:p w:rsidR="00AA59F4" w14:paraId="00198D4E" w14:textId="642C5D7D">
      <w:pPr>
        <w:pStyle w:val="TableofFigures0"/>
        <w:rPr>
          <w:rFonts w:asciiTheme="minorHAnsi" w:eastAsiaTheme="minorEastAsia" w:hAnsiTheme="minorHAnsi"/>
          <w:noProof/>
          <w:szCs w:val="22"/>
          <w14:ligatures w14:val="standardContextual"/>
        </w:rPr>
      </w:pPr>
      <w:hyperlink w:anchor="_Toc166761939" w:history="1">
        <w:r w:rsidRPr="004F3C06">
          <w:rPr>
            <w:rStyle w:val="Hyperlink0"/>
            <w:noProof/>
          </w:rPr>
          <w:t>图</w:t>
        </w:r>
        <w:r w:rsidRPr="004F3C06">
          <w:rPr>
            <w:rStyle w:val="Hyperlink0"/>
            <w:noProof/>
          </w:rPr>
          <w:t xml:space="preserve"> 11</w:t>
        </w:r>
        <w:r w:rsidRPr="004F3C06">
          <w:rPr>
            <w:rStyle w:val="Hyperlink0"/>
            <w:noProof/>
          </w:rPr>
          <w:t>：</w:t>
        </w:r>
        <w:r w:rsidRPr="004F3C06">
          <w:rPr>
            <w:rStyle w:val="Hyperlink0"/>
            <w:noProof/>
          </w:rPr>
          <w:t xml:space="preserve"> 电子式热分配表(HCA)</w:t>
        </w:r>
        <w:r w:rsidRPr="004F3C06">
          <w:rPr>
            <w:rStyle w:val="Hyperlink0"/>
            <w:noProof/>
          </w:rPr>
          <w:t>行业生产模式分析</w:t>
        </w:r>
        <w:r>
          <w:rPr>
            <w:noProof/>
            <w:webHidden/>
          </w:rPr>
          <w:tab/>
        </w:r>
        <w:r>
          <w:rPr>
            <w:noProof/>
            <w:webHidden/>
          </w:rPr>
          <w:fldChar w:fldCharType="begin"/>
        </w:r>
        <w:r>
          <w:rPr>
            <w:noProof/>
            <w:webHidden/>
          </w:rPr>
          <w:instrText xml:space="preserve"> PAGEREF _Toc166761939 \h </w:instrText>
        </w:r>
        <w:r>
          <w:rPr>
            <w:noProof/>
            <w:webHidden/>
          </w:rPr>
          <w:fldChar w:fldCharType="separate"/>
        </w:r>
        <w:r>
          <w:rPr>
            <w:noProof/>
            <w:webHidden/>
          </w:rPr>
          <w:t>36</w:t>
        </w:r>
        <w:r>
          <w:rPr>
            <w:noProof/>
            <w:webHidden/>
          </w:rPr>
          <w:fldChar w:fldCharType="end"/>
        </w:r>
      </w:hyperlink>
    </w:p>
    <w:p w:rsidR="00AA59F4" w14:paraId="6F4E92C5" w14:textId="57849D09">
      <w:pPr>
        <w:pStyle w:val="TableofFigures0"/>
        <w:rPr>
          <w:rFonts w:asciiTheme="minorHAnsi" w:eastAsiaTheme="minorEastAsia" w:hAnsiTheme="minorHAnsi"/>
          <w:noProof/>
          <w:szCs w:val="22"/>
          <w14:ligatures w14:val="standardContextual"/>
        </w:rPr>
      </w:pPr>
      <w:hyperlink w:anchor="_Toc166761940" w:history="1">
        <w:r w:rsidRPr="004F3C06">
          <w:rPr>
            <w:rStyle w:val="Hyperlink0"/>
            <w:noProof/>
          </w:rPr>
          <w:t>图</w:t>
        </w:r>
        <w:r w:rsidRPr="004F3C06">
          <w:rPr>
            <w:rStyle w:val="Hyperlink0"/>
            <w:noProof/>
          </w:rPr>
          <w:t xml:space="preserve"> 12</w:t>
        </w:r>
        <w:r w:rsidRPr="004F3C06">
          <w:rPr>
            <w:rStyle w:val="Hyperlink0"/>
            <w:noProof/>
          </w:rPr>
          <w:t>：</w:t>
        </w:r>
        <w:r w:rsidRPr="004F3C06">
          <w:rPr>
            <w:rStyle w:val="Hyperlink0"/>
            <w:noProof/>
          </w:rPr>
          <w:t xml:space="preserve"> </w:t>
        </w:r>
        <w:r w:rsidR="001C34EF">
          <w:rPr>
            <w:rStyle w:val="Hyperlink0"/>
            <w:noProof/>
          </w:rPr>
          <w:t>东南亚市场</w:t>
        </w:r>
        <w:r w:rsidR="001C34EF">
          <w:rPr>
            <w:rStyle w:val="Hyperlink0"/>
            <w:noProof/>
          </w:rPr>
          <w:t>电子式热分配表(HCA)</w:t>
        </w:r>
        <w:r w:rsidRPr="004F3C06">
          <w:rPr>
            <w:rStyle w:val="Hyperlink0"/>
            <w:noProof/>
          </w:rPr>
          <w:t>主要来源地进口占比（</w:t>
        </w:r>
        <w:r w:rsidRPr="004F3C06">
          <w:rPr>
            <w:rStyle w:val="Hyperlink0"/>
            <w:noProof/>
          </w:rPr>
          <w:t>2023</w:t>
        </w:r>
        <w:r w:rsidRPr="004F3C06">
          <w:rPr>
            <w:rStyle w:val="Hyperlink0"/>
            <w:noProof/>
          </w:rPr>
          <w:t>）</w:t>
        </w:r>
        <w:r>
          <w:rPr>
            <w:noProof/>
            <w:webHidden/>
          </w:rPr>
          <w:tab/>
        </w:r>
        <w:r>
          <w:rPr>
            <w:noProof/>
            <w:webHidden/>
          </w:rPr>
          <w:fldChar w:fldCharType="begin"/>
        </w:r>
        <w:r>
          <w:rPr>
            <w:noProof/>
            <w:webHidden/>
          </w:rPr>
          <w:instrText xml:space="preserve"> PAGEREF _Toc166761940 \h </w:instrText>
        </w:r>
        <w:r>
          <w:rPr>
            <w:noProof/>
            <w:webHidden/>
          </w:rPr>
          <w:fldChar w:fldCharType="separate"/>
        </w:r>
        <w:r>
          <w:rPr>
            <w:noProof/>
            <w:webHidden/>
          </w:rPr>
          <w:t>36</w:t>
        </w:r>
        <w:r>
          <w:rPr>
            <w:noProof/>
            <w:webHidden/>
          </w:rPr>
          <w:fldChar w:fldCharType="end"/>
        </w:r>
      </w:hyperlink>
    </w:p>
    <w:p w:rsidR="00AA59F4" w14:paraId="34617A91" w14:textId="4E10019E">
      <w:pPr>
        <w:pStyle w:val="TableofFigures0"/>
        <w:rPr>
          <w:rFonts w:asciiTheme="minorHAnsi" w:eastAsiaTheme="minorEastAsia" w:hAnsiTheme="minorHAnsi"/>
          <w:noProof/>
          <w:szCs w:val="22"/>
          <w14:ligatures w14:val="standardContextual"/>
        </w:rPr>
      </w:pPr>
      <w:hyperlink w:anchor="_Toc166761941" w:history="1">
        <w:r w:rsidRPr="004F3C06">
          <w:rPr>
            <w:rStyle w:val="Hyperlink0"/>
            <w:noProof/>
          </w:rPr>
          <w:t>图</w:t>
        </w:r>
        <w:r w:rsidRPr="004F3C06">
          <w:rPr>
            <w:rStyle w:val="Hyperlink0"/>
            <w:noProof/>
          </w:rPr>
          <w:t xml:space="preserve"> 13</w:t>
        </w:r>
        <w:r w:rsidRPr="004F3C06">
          <w:rPr>
            <w:rStyle w:val="Hyperlink0"/>
            <w:noProof/>
          </w:rPr>
          <w:t>：</w:t>
        </w:r>
        <w:r w:rsidRPr="004F3C06">
          <w:rPr>
            <w:rStyle w:val="Hyperlink0"/>
            <w:noProof/>
          </w:rPr>
          <w:t xml:space="preserve"> </w:t>
        </w:r>
        <w:r w:rsidR="001C34EF">
          <w:rPr>
            <w:rStyle w:val="Hyperlink0"/>
            <w:noProof/>
          </w:rPr>
          <w:t>东南亚市场</w:t>
        </w:r>
        <w:r w:rsidR="001C34EF">
          <w:rPr>
            <w:rStyle w:val="Hyperlink0"/>
            <w:noProof/>
          </w:rPr>
          <w:t>电子式热分配表(HCA)</w:t>
        </w:r>
        <w:r w:rsidRPr="004F3C06">
          <w:rPr>
            <w:rStyle w:val="Hyperlink0"/>
            <w:noProof/>
          </w:rPr>
          <w:t>主要目的地出口占比（</w:t>
        </w:r>
        <w:r w:rsidRPr="004F3C06">
          <w:rPr>
            <w:rStyle w:val="Hyperlink0"/>
            <w:noProof/>
          </w:rPr>
          <w:t>2023</w:t>
        </w:r>
        <w:r w:rsidRPr="004F3C06">
          <w:rPr>
            <w:rStyle w:val="Hyperlink0"/>
            <w:noProof/>
          </w:rPr>
          <w:t>）</w:t>
        </w:r>
        <w:r>
          <w:rPr>
            <w:noProof/>
            <w:webHidden/>
          </w:rPr>
          <w:tab/>
        </w:r>
        <w:r>
          <w:rPr>
            <w:noProof/>
            <w:webHidden/>
          </w:rPr>
          <w:fldChar w:fldCharType="begin"/>
        </w:r>
        <w:r>
          <w:rPr>
            <w:noProof/>
            <w:webHidden/>
          </w:rPr>
          <w:instrText xml:space="preserve"> PAGEREF _Toc166761941 \h </w:instrText>
        </w:r>
        <w:r>
          <w:rPr>
            <w:noProof/>
            <w:webHidden/>
          </w:rPr>
          <w:fldChar w:fldCharType="separate"/>
        </w:r>
        <w:r>
          <w:rPr>
            <w:noProof/>
            <w:webHidden/>
          </w:rPr>
          <w:t>37</w:t>
        </w:r>
        <w:r>
          <w:rPr>
            <w:noProof/>
            <w:webHidden/>
          </w:rPr>
          <w:fldChar w:fldCharType="end"/>
        </w:r>
      </w:hyperlink>
    </w:p>
    <w:p w:rsidR="00AA59F4" w14:paraId="1AA7DCA0" w14:textId="6E5C79E6">
      <w:pPr>
        <w:pStyle w:val="TableofFigures0"/>
        <w:rPr>
          <w:rFonts w:asciiTheme="minorHAnsi" w:eastAsiaTheme="minorEastAsia" w:hAnsiTheme="minorHAnsi"/>
          <w:noProof/>
          <w:szCs w:val="22"/>
          <w14:ligatures w14:val="standardContextual"/>
        </w:rPr>
      </w:pPr>
      <w:hyperlink w:anchor="_Toc166761942" w:history="1">
        <w:r w:rsidRPr="004F3C06">
          <w:rPr>
            <w:rStyle w:val="Hyperlink0"/>
            <w:noProof/>
          </w:rPr>
          <w:t>图</w:t>
        </w:r>
        <w:r w:rsidRPr="004F3C06">
          <w:rPr>
            <w:rStyle w:val="Hyperlink0"/>
            <w:noProof/>
          </w:rPr>
          <w:t xml:space="preserve"> 14</w:t>
        </w:r>
        <w:r w:rsidRPr="004F3C06">
          <w:rPr>
            <w:rStyle w:val="Hyperlink0"/>
            <w:noProof/>
          </w:rPr>
          <w:t>：</w:t>
        </w:r>
        <w:r w:rsidRPr="004F3C06">
          <w:rPr>
            <w:rStyle w:val="Hyperlink0"/>
            <w:noProof/>
          </w:rPr>
          <w:t xml:space="preserve"> </w:t>
        </w:r>
        <w:r w:rsidRPr="004F3C06">
          <w:rPr>
            <w:rStyle w:val="Hyperlink0"/>
            <w:noProof/>
          </w:rPr>
          <w:t>关键采访目标</w:t>
        </w:r>
        <w:r>
          <w:rPr>
            <w:noProof/>
            <w:webHidden/>
          </w:rPr>
          <w:tab/>
        </w:r>
        <w:r>
          <w:rPr>
            <w:noProof/>
            <w:webHidden/>
          </w:rPr>
          <w:fldChar w:fldCharType="begin"/>
        </w:r>
        <w:r>
          <w:rPr>
            <w:noProof/>
            <w:webHidden/>
          </w:rPr>
          <w:instrText xml:space="preserve"> PAGEREF _Toc166761942 \h </w:instrText>
        </w:r>
        <w:r>
          <w:rPr>
            <w:noProof/>
            <w:webHidden/>
          </w:rPr>
          <w:fldChar w:fldCharType="separate"/>
        </w:r>
        <w:r>
          <w:rPr>
            <w:noProof/>
            <w:webHidden/>
          </w:rPr>
          <w:t>42</w:t>
        </w:r>
        <w:r>
          <w:rPr>
            <w:noProof/>
            <w:webHidden/>
          </w:rPr>
          <w:fldChar w:fldCharType="end"/>
        </w:r>
      </w:hyperlink>
    </w:p>
    <w:p w:rsidR="00AA59F4" w14:paraId="34C7B8B2" w14:textId="611AC553">
      <w:pPr>
        <w:pStyle w:val="TableofFigures0"/>
        <w:rPr>
          <w:rFonts w:asciiTheme="minorHAnsi" w:eastAsiaTheme="minorEastAsia" w:hAnsiTheme="minorHAnsi"/>
          <w:noProof/>
          <w:szCs w:val="22"/>
          <w14:ligatures w14:val="standardContextual"/>
        </w:rPr>
      </w:pPr>
      <w:hyperlink w:anchor="_Toc166761943" w:history="1">
        <w:r w:rsidRPr="004F3C06">
          <w:rPr>
            <w:rStyle w:val="Hyperlink0"/>
            <w:noProof/>
          </w:rPr>
          <w:t>图</w:t>
        </w:r>
        <w:r w:rsidRPr="004F3C06">
          <w:rPr>
            <w:rStyle w:val="Hyperlink0"/>
            <w:noProof/>
          </w:rPr>
          <w:t xml:space="preserve"> 15</w:t>
        </w:r>
        <w:r w:rsidRPr="004F3C06">
          <w:rPr>
            <w:rStyle w:val="Hyperlink0"/>
            <w:noProof/>
          </w:rPr>
          <w:t>：</w:t>
        </w:r>
        <w:r w:rsidRPr="004F3C06">
          <w:rPr>
            <w:rStyle w:val="Hyperlink0"/>
            <w:noProof/>
          </w:rPr>
          <w:t xml:space="preserve"> </w:t>
        </w:r>
        <w:r w:rsidRPr="004F3C06">
          <w:rPr>
            <w:rStyle w:val="Hyperlink0"/>
            <w:noProof/>
          </w:rPr>
          <w:t>自下而上及自上而下验证</w:t>
        </w:r>
        <w:r>
          <w:rPr>
            <w:noProof/>
            <w:webHidden/>
          </w:rPr>
          <w:tab/>
        </w:r>
        <w:r>
          <w:rPr>
            <w:noProof/>
            <w:webHidden/>
          </w:rPr>
          <w:fldChar w:fldCharType="begin"/>
        </w:r>
        <w:r>
          <w:rPr>
            <w:noProof/>
            <w:webHidden/>
          </w:rPr>
          <w:instrText xml:space="preserve"> PAGEREF _Toc166761943 \h </w:instrText>
        </w:r>
        <w:r>
          <w:rPr>
            <w:noProof/>
            <w:webHidden/>
          </w:rPr>
          <w:fldChar w:fldCharType="separate"/>
        </w:r>
        <w:r>
          <w:rPr>
            <w:noProof/>
            <w:webHidden/>
          </w:rPr>
          <w:t>43</w:t>
        </w:r>
        <w:r>
          <w:rPr>
            <w:noProof/>
            <w:webHidden/>
          </w:rPr>
          <w:fldChar w:fldCharType="end"/>
        </w:r>
      </w:hyperlink>
    </w:p>
    <w:p w:rsidR="00FC7EDD" w:rsidP="00E723A5" w14:paraId="26B01443" w14:textId="06E868AA">
      <w:pPr>
        <w:pStyle w:val="Normal0"/>
        <w:sectPr w:rsidSect="00863435">
          <w:headerReference w:type="default" r:id="rId7"/>
          <w:footerReference w:type="default" r:id="rId8"/>
          <w:pgSz w:w="11906" w:h="16838"/>
          <w:pgMar w:top="1440" w:right="1080" w:bottom="1440" w:left="1080" w:header="709" w:footer="567" w:gutter="0"/>
          <w:pgBorders w:offsetFrom="page">
            <w:top w:val="nil"/>
            <w:left w:val="nil"/>
            <w:bottom w:val="nil"/>
            <w:right w:val="nil"/>
          </w:pgBorders>
          <w:pgNumType w:start="9"/>
          <w:cols w:space="425"/>
          <w:titlePg w:val="0"/>
          <w:docGrid w:type="lines" w:linePitch="312"/>
        </w:sectPr>
      </w:pPr>
      <w:hyperlink w:anchor="_Toc166761944" w:history="1">
        <w:r w:rsidRPr="004F3C06">
          <w:rPr>
            <w:rStyle w:val="Hyperlink0"/>
            <w:noProof/>
          </w:rPr>
          <w:t>图</w:t>
        </w:r>
        <w:r w:rsidRPr="004F3C06">
          <w:rPr>
            <w:rStyle w:val="Hyperlink0"/>
            <w:noProof/>
          </w:rPr>
          <w:t xml:space="preserve"> 16</w:t>
        </w:r>
        <w:r w:rsidRPr="004F3C06">
          <w:rPr>
            <w:rStyle w:val="Hyperlink0"/>
            <w:noProof/>
          </w:rPr>
          <w:t>：</w:t>
        </w:r>
        <w:r w:rsidRPr="004F3C06">
          <w:rPr>
            <w:rStyle w:val="Hyperlink0"/>
            <w:noProof/>
          </w:rPr>
          <w:t xml:space="preserve"> </w:t>
        </w:r>
        <w:r w:rsidRPr="004F3C06">
          <w:rPr>
            <w:rStyle w:val="Hyperlink0"/>
            <w:noProof/>
          </w:rPr>
          <w:t>资料三角测定</w:t>
        </w:r>
        <w:r>
          <w:rPr>
            <w:noProof/>
            <w:webHidden/>
          </w:rPr>
          <w:tab/>
        </w:r>
        <w:r>
          <w:rPr>
            <w:noProof/>
            <w:webHidden/>
          </w:rPr>
          <w:fldChar w:fldCharType="begin"/>
        </w:r>
        <w:r>
          <w:rPr>
            <w:noProof/>
            <w:webHidden/>
          </w:rPr>
          <w:instrText xml:space="preserve"> PAGEREF _Toc166761944 \h </w:instrText>
        </w:r>
        <w:r>
          <w:rPr>
            <w:noProof/>
            <w:webHidden/>
          </w:rPr>
          <w:fldChar w:fldCharType="separate"/>
        </w:r>
        <w:r>
          <w:rPr>
            <w:noProof/>
            <w:webHidden/>
          </w:rPr>
          <w:t>44</w:t>
        </w:r>
        <w:r>
          <w:rPr>
            <w:noProof/>
            <w:webHidden/>
          </w:rPr>
          <w:fldChar w:fldCharType="end"/>
        </w:r>
      </w:hyperlink>
      <w:r>
        <w:fldChar w:fldCharType="end"/>
      </w:r>
    </w:p>
    <w:p w:rsidR="00EB3BDB" w:rsidRPr="00E23FEC" w:rsidP="006756AB" w14:paraId="21B7BBF2" w14:textId="14833F70">
      <w:pPr>
        <w:pStyle w:val="Heading10"/>
      </w:pPr>
      <w:bookmarkStart w:id="20" w:name="_Toc476606613"/>
      <w:bookmarkStart w:id="21" w:name="_Toc535600183"/>
      <w:bookmarkStart w:id="22" w:name="_Toc24027789"/>
      <w:bookmarkStart w:id="23" w:name="_Toc166761976"/>
      <w:bookmarkEnd w:id="0"/>
      <w:bookmarkEnd w:id="1"/>
      <w:bookmarkEnd w:id="2"/>
      <w:bookmarkEnd w:id="3"/>
      <w:bookmarkEnd w:id="4"/>
      <w:bookmarkEnd w:id="5"/>
      <w:bookmarkEnd w:id="6"/>
      <w:bookmarkEnd w:id="7"/>
      <w:bookmarkEnd w:id="8"/>
      <w:bookmarkEnd w:id="9"/>
      <w:bookmarkEnd w:id="10"/>
      <w:bookmarkEnd w:id="11"/>
      <w:bookmarkEnd w:id="12"/>
      <w:r w:rsidRPr="00E23FEC">
        <w:rPr>
          <w:rFonts w:hint="eastAsia"/>
        </w:rPr>
        <w:t>电子式热分配表(HCA)</w:t>
      </w:r>
      <w:bookmarkEnd w:id="20"/>
      <w:bookmarkEnd w:id="21"/>
      <w:bookmarkEnd w:id="22"/>
      <w:r w:rsidR="009119AA">
        <w:rPr>
          <w:rFonts w:hint="eastAsia"/>
          <w:lang w:eastAsia="zh-CN"/>
        </w:rPr>
        <w:t>定义</w:t>
      </w:r>
      <w:bookmarkEnd w:id="23"/>
    </w:p>
    <w:p w:rsidR="007A00F4" w:rsidP="006A20F2">
      <w:pPr>
        <w:pStyle w:val="Heading20"/>
      </w:pPr>
      <w:bookmarkStart w:id="24" w:name="_Toc166761977"/>
      <w:bookmarkStart w:id="25" w:name="_Toc476606614"/>
      <w:bookmarkStart w:id="26" w:name="_Toc535600184"/>
      <w:bookmarkStart w:id="27" w:name="_Toc24027790"/>
      <w:r w:rsidRPr="00E23FEC">
        <w:rPr>
          <w:rFonts w:hint="eastAsia"/>
        </w:rPr>
        <w:t>电子式热分配表(HCA)</w:t>
      </w:r>
      <w:r>
        <w:rPr>
          <w:rFonts w:hint="eastAsia"/>
        </w:rPr>
        <w:t>产品定义及统计范围</w:t>
      </w:r>
      <w:bookmarkEnd w:id="24"/>
    </w:p>
    <w:bookmarkEnd w:id="27"/>
    <w:p w:rsidR="000B35B2" w:rsidRPr="008259D9" w:rsidP="000B35B2">
      <w:pPr>
        <w:pStyle w:val="-00"/>
        <w:ind w:firstLine="420"/>
        <w:rPr>
          <w:lang w:eastAsia="zh-CN"/>
        </w:rPr>
      </w:pPr>
      <w:bookmarkEnd w:id="25"/>
      <w:bookmarkEnd w:id="26"/>
      <w:r w:rsidRPr="00736476">
        <w:rPr>
          <w:lang w:eastAsia="zh-CN"/>
        </w:rPr>
        <w:t>欧洲是第一大市场，约占47%的市场份额。其次是亚太地区和北美，约占41%的市场份额。 主要的生产厂商有Zenner, Ista, Techem, Siemens, Engelmnn, Te-sa s.r.l., Itron, Sontex, Leye Energy Service, Brunata等。排名前三的生产厂商约占63%的市场份额。</w:t>
      </w:r>
    </w:p>
    <w:p w:rsidR="00A31DD8" w:rsidP="006756AB">
      <w:pPr>
        <w:pStyle w:val="FigureStyle00"/>
      </w:pPr>
      <w:bookmarkStart w:id="28" w:name="_Toc24028878"/>
      <w:bookmarkStart w:id="29" w:name="_Toc26779984"/>
      <w:bookmarkStart w:id="30" w:name="_Toc166761929"/>
      <w:r w:rsidRPr="00B728C9">
        <w:t>电子式热分配表(HCA)</w:t>
      </w:r>
      <w:r w:rsidRPr="00A65BC0">
        <w:rPr>
          <w:rFonts w:hint="eastAsia"/>
        </w:rPr>
        <w:t>产品图片</w:t>
      </w:r>
      <w:bookmarkEnd w:id="28"/>
      <w:bookmarkEnd w:id="29"/>
      <w:bookmarkEnd w:id="30"/>
    </w:p>
    <w:p w:rsidR="006A20F2" w:rsidP="00081F94" w14:paraId="012AAA71" w14:textId="72D328A2">
      <w:pPr>
        <w:pStyle w:val="Source00"/>
      </w:pPr>
      <w:r>
        <w:rPr>
          <w:rFonts w:hint="eastAsia"/>
        </w:rPr>
        <w:t>资料来源：第三方资料</w:t>
      </w:r>
      <w:r w:rsidR="00AA1853">
        <w:rPr>
          <w:rFonts w:hint="eastAsia"/>
        </w:rPr>
        <w:t>及</w:t>
      </w:r>
      <w:r w:rsidR="00553323">
        <w:rPr>
          <w:rFonts w:hint="eastAsia"/>
        </w:rPr>
        <w:t>QYResearch</w:t>
      </w:r>
      <w:r w:rsidR="00553323">
        <w:rPr>
          <w:rFonts w:hint="eastAsia"/>
        </w:rPr>
        <w:t>整理</w:t>
      </w:r>
    </w:p>
    <w:p w:rsidR="004A61B0" w:rsidP="004A61B0" w14:paraId="42A6E2D7" w14:textId="4C434BA9">
      <w:pPr>
        <w:pStyle w:val="Heading20"/>
      </w:pPr>
      <w:bookmarkStart w:id="31" w:name="_Toc166761978"/>
      <w:r>
        <w:rPr>
          <w:rFonts w:hint="eastAsia"/>
        </w:rPr>
        <w:t>全球</w:t>
      </w:r>
      <w:r>
        <w:rPr>
          <w:rFonts w:hint="eastAsia"/>
        </w:rPr>
        <w:t>行业市场规模</w:t>
      </w:r>
      <w:bookmarkEnd w:id="31"/>
    </w:p>
    <w:p w:rsidR="00DC55D6" w:rsidP="004A61B0" w14:paraId="713AF504" w14:textId="5688F10E">
      <w:pPr>
        <w:pStyle w:val="Heading30"/>
      </w:pPr>
      <w:bookmarkStart w:id="32" w:name="_Toc166761979"/>
      <w:r>
        <w:rPr>
          <w:rFonts w:hint="eastAsia"/>
        </w:rPr>
        <w:t>全球</w:t>
      </w:r>
      <w:r w:rsidRPr="00B728C9">
        <w:t>电子式热分配表(HCA)</w:t>
      </w:r>
      <w:r>
        <w:rPr>
          <w:rFonts w:hint="eastAsia"/>
        </w:rPr>
        <w:t>市场</w:t>
      </w:r>
      <w:r w:rsidR="0008625C">
        <w:rPr>
          <w:rFonts w:hint="eastAsia"/>
        </w:rPr>
        <w:t>销售金额</w:t>
      </w:r>
      <w:r>
        <w:rPr>
          <w:rFonts w:hint="eastAsia"/>
        </w:rPr>
        <w:t>规模</w:t>
      </w:r>
      <w:r w:rsidRPr="009D6A02">
        <w:rPr>
          <w:rFonts w:hint="eastAsia"/>
        </w:rPr>
        <w:t>（</w:t>
      </w:r>
      <w:r>
        <w:rPr>
          <w:rFonts w:hint="eastAsia"/>
        </w:rPr>
        <w:t>2019-2030</w:t>
      </w:r>
      <w:r w:rsidRPr="009D6A02">
        <w:rPr>
          <w:rFonts w:hint="eastAsia"/>
        </w:rPr>
        <w:t>）</w:t>
      </w:r>
      <w:bookmarkEnd w:id="32"/>
    </w:p>
    <w:p w:rsidR="004A61B0" w:rsidRPr="005868B1" w:rsidP="004A61B0" w14:paraId="547DF77D" w14:textId="3ACF2336">
      <w:pPr>
        <w:pStyle w:val="FigureStyle00"/>
      </w:pPr>
      <w:bookmarkStart w:id="33" w:name="_Toc166761930"/>
      <w:r>
        <w:rPr>
          <w:rFonts w:hint="eastAsia"/>
        </w:rPr>
        <w:t>全球</w:t>
      </w:r>
      <w:r w:rsidRPr="005868B1">
        <w:t>电子式热分配表(HCA)</w:t>
      </w:r>
      <w:r>
        <w:rPr>
          <w:rFonts w:hint="eastAsia"/>
        </w:rPr>
        <w:t>市场</w:t>
      </w:r>
      <w:r w:rsidR="0008625C">
        <w:rPr>
          <w:rFonts w:hint="eastAsia"/>
        </w:rPr>
        <w:t>销售金额</w:t>
      </w:r>
      <w:r>
        <w:rPr>
          <w:rFonts w:hint="eastAsia"/>
        </w:rPr>
        <w:t>规模</w:t>
      </w:r>
      <w:r w:rsidRPr="005868B1">
        <w:rPr>
          <w:rFonts w:hint="eastAsia"/>
        </w:rPr>
        <w:t>及增长率（</w:t>
      </w:r>
      <w:r w:rsidRPr="005868B1">
        <w:rPr>
          <w:rFonts w:hint="eastAsia"/>
        </w:rPr>
        <w:t>2019-2030</w:t>
      </w:r>
      <w:r w:rsidRPr="005868B1">
        <w:rPr>
          <w:rFonts w:hint="eastAsia"/>
        </w:rPr>
        <w:t>）</w:t>
      </w:r>
      <w:r w:rsidRPr="005868B1">
        <w:rPr>
          <w:rFonts w:hint="eastAsia"/>
        </w:rPr>
        <w:t>&amp;</w:t>
      </w:r>
      <w:r w:rsidRPr="005868B1">
        <w:rPr>
          <w:rFonts w:hint="eastAsia"/>
        </w:rPr>
        <w:t>（</w:t>
      </w:r>
      <w:r>
        <w:rPr>
          <w:rFonts w:hint="eastAsia"/>
        </w:rPr>
        <w:t>百万元</w:t>
      </w:r>
      <w:r w:rsidRPr="005868B1">
        <w:rPr>
          <w:rFonts w:hint="eastAsia"/>
        </w:rPr>
        <w:t>）</w:t>
      </w:r>
      <w:bookmarkEnd w:id="33"/>
    </w:p>
    <w:p w:rsidR="004A61B0" w:rsidRPr="007459E0" w:rsidP="004A61B0" w14:paraId="7F8C6407" w14:textId="77777777">
      <w:pPr>
        <w:pStyle w:val="Normal0"/>
      </w:pPr>
      <w:r>
        <w:rPr>
          <w:noProof/>
        </w:rPr>
        <w:drawing>
          <wp:inline distT="0" distB="0" distL="0" distR="0">
            <wp:extent cx="6192520" cy="2814955"/>
            <wp:effectExtent l="0" t="0" r="0" b="4445"/>
            <wp:docPr id="1813388715" name="图表 1">
              <a:extLst xmlns:a="http://schemas.openxmlformats.org/drawingml/2006/main">
                <a:ext xmlns:a="http://schemas.openxmlformats.org/drawingml/2006/main" uri="{FF2B5EF4-FFF2-40B4-BE49-F238E27FC236}">
                  <a16:creationId xmlns:a16="http://schemas.microsoft.com/office/drawing/2014/main" id="{00000000-0008-0000-0700-000041000000}"/>
                </a:ext>
              </a:extLst>
            </wp:docPr>
            <wp:cNvGraphicFramePr/>
            <a:graphic xmlns:a="http://schemas.openxmlformats.org/drawingml/2006/main">
              <a:graphicData uri="http://schemas.openxmlformats.org/drawingml/2006/chart">
                <c:chart xmlns:c="http://schemas.openxmlformats.org/drawingml/2006/chart" xmlns:r="http://schemas.openxmlformats.org/officeDocument/2006/relationships" r:id="rId9"/>
              </a:graphicData>
            </a:graphic>
          </wp:inline>
        </w:drawing>
      </w:r>
    </w:p>
    <w:p w:rsidR="004A61B0" w:rsidP="004A61B0" w14:paraId="47E656C8" w14:textId="77777777">
      <w:pPr>
        <w:pStyle w:val="Source00"/>
      </w:pPr>
      <w:r>
        <w:rPr>
          <w:rFonts w:hint="eastAsia"/>
        </w:rPr>
        <w:t>资料来源：第三方资料、新闻报道、业内专家采访及</w:t>
      </w:r>
      <w:r>
        <w:rPr>
          <w:rFonts w:hint="eastAsia"/>
        </w:rPr>
        <w:t>QYResearch</w:t>
      </w:r>
      <w:r>
        <w:rPr>
          <w:rFonts w:hint="eastAsia"/>
        </w:rPr>
        <w:t>整理研究，</w:t>
      </w:r>
      <w:r>
        <w:rPr>
          <w:rFonts w:hint="eastAsia"/>
        </w:rPr>
        <w:t>2024</w:t>
      </w:r>
      <w:r>
        <w:rPr>
          <w:rFonts w:hint="eastAsia"/>
        </w:rPr>
        <w:t>年</w:t>
      </w:r>
    </w:p>
    <w:p w:rsidR="004A61B0" w:rsidP="004A61B0" w14:paraId="597F930B" w14:textId="39F65AA7">
      <w:pPr>
        <w:pStyle w:val="Heading30"/>
      </w:pPr>
      <w:bookmarkStart w:id="34" w:name="_Toc166761980"/>
      <w:r>
        <w:rPr>
          <w:rFonts w:hint="eastAsia"/>
        </w:rPr>
        <w:t>全球</w:t>
      </w:r>
      <w:r w:rsidRPr="00B728C9">
        <w:t>电子式热分配表(HCA)</w:t>
      </w:r>
      <w:r>
        <w:rPr>
          <w:rFonts w:hint="eastAsia"/>
        </w:rPr>
        <w:t>市场销量规模</w:t>
      </w:r>
      <w:r w:rsidRPr="009D6A02">
        <w:rPr>
          <w:rFonts w:hint="eastAsia"/>
        </w:rPr>
        <w:t>（</w:t>
      </w:r>
      <w:r>
        <w:rPr>
          <w:rFonts w:hint="eastAsia"/>
        </w:rPr>
        <w:t>2019-2030</w:t>
      </w:r>
      <w:r w:rsidRPr="009D6A02">
        <w:rPr>
          <w:rFonts w:hint="eastAsia"/>
        </w:rPr>
        <w:t>）</w:t>
      </w:r>
      <w:bookmarkEnd w:id="34"/>
    </w:p>
    <w:p w:rsidR="004A61B0" w:rsidRPr="005868B1" w:rsidP="004A61B0" w14:paraId="76D3F1BF" w14:textId="30788550">
      <w:pPr>
        <w:pStyle w:val="FigureStyle00"/>
      </w:pPr>
      <w:bookmarkStart w:id="35" w:name="_Toc166761931"/>
      <w:r>
        <w:rPr>
          <w:rFonts w:hint="eastAsia"/>
        </w:rPr>
        <w:t>全球</w:t>
      </w:r>
      <w:r w:rsidRPr="005868B1">
        <w:t>电子式热分配表(HCA)</w:t>
      </w:r>
      <w:r>
        <w:rPr>
          <w:rFonts w:hint="eastAsia"/>
        </w:rPr>
        <w:t>市场销量</w:t>
      </w:r>
      <w:r w:rsidRPr="005868B1">
        <w:rPr>
          <w:rFonts w:hint="eastAsia"/>
        </w:rPr>
        <w:t>及增长率（</w:t>
      </w:r>
      <w:r w:rsidRPr="005868B1">
        <w:rPr>
          <w:rFonts w:hint="eastAsia"/>
        </w:rPr>
        <w:t>2019-2030</w:t>
      </w:r>
      <w:r w:rsidRPr="005868B1">
        <w:rPr>
          <w:rFonts w:hint="eastAsia"/>
        </w:rPr>
        <w:t>）</w:t>
      </w:r>
      <w:r w:rsidRPr="005868B1">
        <w:rPr>
          <w:rFonts w:hint="eastAsia"/>
        </w:rPr>
        <w:t>&amp;</w:t>
      </w:r>
      <w:r w:rsidRPr="005868B1">
        <w:rPr>
          <w:rFonts w:hint="eastAsia"/>
        </w:rPr>
        <w:t>（</w:t>
      </w:r>
      <w:r w:rsidR="00D5142B">
        <w:rPr>
          <w:rFonts w:hint="eastAsia"/>
        </w:rPr>
        <w:t>千个</w:t>
      </w:r>
      <w:r w:rsidRPr="005868B1">
        <w:rPr>
          <w:rFonts w:hint="eastAsia"/>
        </w:rPr>
        <w:t>）</w:t>
      </w:r>
      <w:bookmarkEnd w:id="35"/>
    </w:p>
    <w:p w:rsidR="004A61B0" w:rsidRPr="007459E0" w:rsidP="004A61B0" w14:paraId="3BEE1776" w14:textId="77777777">
      <w:pPr>
        <w:pStyle w:val="Normal0"/>
      </w:pPr>
      <w:r>
        <w:rPr>
          <w:noProof/>
        </w:rPr>
        <w:drawing>
          <wp:inline distT="0" distB="0" distL="0" distR="0">
            <wp:extent cx="6192520" cy="2814955"/>
            <wp:effectExtent l="0" t="0" r="0" b="4445"/>
            <wp:docPr id="127759134" name="图表 1">
              <a:extLst xmlns:a="http://schemas.openxmlformats.org/drawingml/2006/main">
                <a:ext xmlns:a="http://schemas.openxmlformats.org/drawingml/2006/main" uri="{FF2B5EF4-FFF2-40B4-BE49-F238E27FC236}">
                  <a16:creationId xmlns:a16="http://schemas.microsoft.com/office/drawing/2014/main" id="{00000000-0008-0000-0700-000041000000}"/>
                </a:ext>
              </a:extLst>
            </wp:docPr>
            <wp:cNvGraphicFramePr/>
            <a:graphic xmlns:a="http://schemas.openxmlformats.org/drawingml/2006/main">
              <a:graphicData uri="http://schemas.openxmlformats.org/drawingml/2006/chart">
                <c:chart xmlns:c="http://schemas.openxmlformats.org/drawingml/2006/chart" xmlns:r="http://schemas.openxmlformats.org/officeDocument/2006/relationships" r:id="rId10"/>
              </a:graphicData>
            </a:graphic>
          </wp:inline>
        </w:drawing>
      </w:r>
    </w:p>
    <w:p w:rsidR="004A61B0" w:rsidP="004A61B0" w14:paraId="3806DE9D" w14:textId="77777777">
      <w:pPr>
        <w:pStyle w:val="Source00"/>
      </w:pPr>
      <w:r>
        <w:rPr>
          <w:rFonts w:hint="eastAsia"/>
        </w:rPr>
        <w:t>资料来源：第三方资料、新闻报道、业内专家采访及</w:t>
      </w:r>
      <w:r>
        <w:rPr>
          <w:rFonts w:hint="eastAsia"/>
        </w:rPr>
        <w:t>QYResearch</w:t>
      </w:r>
      <w:r>
        <w:rPr>
          <w:rFonts w:hint="eastAsia"/>
        </w:rPr>
        <w:t>整理研究，</w:t>
      </w:r>
      <w:r>
        <w:rPr>
          <w:rFonts w:hint="eastAsia"/>
        </w:rPr>
        <w:t>2024</w:t>
      </w:r>
      <w:r>
        <w:rPr>
          <w:rFonts w:hint="eastAsia"/>
        </w:rPr>
        <w:t>年</w:t>
      </w:r>
    </w:p>
    <w:p w:rsidR="000D1730" w:rsidRPr="006A20F2" w:rsidP="000D1730" w14:paraId="202F22E5" w14:textId="3B5160EF">
      <w:pPr>
        <w:pStyle w:val="Heading20"/>
      </w:pPr>
      <w:bookmarkStart w:id="36" w:name="_Hlk167048695"/>
      <w:r>
        <w:rPr>
          <w:rFonts w:hint="eastAsia"/>
        </w:rPr>
        <w:t>东南亚市场规模</w:t>
      </w:r>
    </w:p>
    <w:p w:rsidR="004A61B0" w:rsidP="004A61B0" w14:paraId="0C85557D" w14:textId="45079605">
      <w:pPr>
        <w:pStyle w:val="Heading30"/>
      </w:pPr>
      <w:bookmarkStart w:id="37" w:name="_Toc121583893"/>
      <w:bookmarkStart w:id="38" w:name="_Toc166761981"/>
      <w:bookmarkStart w:id="39" w:name="_Toc121583870"/>
      <w:r>
        <w:rPr>
          <w:rFonts w:hint="eastAsia"/>
        </w:rPr>
        <w:t>东南亚市场</w:t>
      </w:r>
      <w:r>
        <w:rPr>
          <w:rFonts w:hint="eastAsia"/>
        </w:rPr>
        <w:t>电子式热分配表(HCA)</w:t>
      </w:r>
      <w:r w:rsidR="0008625C">
        <w:rPr>
          <w:rFonts w:hint="eastAsia"/>
        </w:rPr>
        <w:t>销售金额</w:t>
      </w:r>
      <w:r w:rsidR="00043A38">
        <w:rPr>
          <w:rFonts w:hint="eastAsia"/>
        </w:rPr>
        <w:t>规模</w:t>
      </w:r>
      <w:r w:rsidRPr="00F74FCA">
        <w:rPr>
          <w:rFonts w:hint="eastAsia"/>
        </w:rPr>
        <w:t>及增长率（</w:t>
      </w:r>
      <w:r>
        <w:rPr>
          <w:rFonts w:hint="eastAsia"/>
        </w:rPr>
        <w:t>2019-2030</w:t>
      </w:r>
      <w:r w:rsidRPr="00F74FCA">
        <w:rPr>
          <w:rFonts w:hint="eastAsia"/>
        </w:rPr>
        <w:t>）</w:t>
      </w:r>
      <w:bookmarkEnd w:id="37"/>
      <w:bookmarkEnd w:id="38"/>
    </w:p>
    <w:p w:rsidR="004A61B0" w:rsidRPr="005868B1" w:rsidP="004A61B0" w14:paraId="3C98E69C" w14:textId="3F6A175B">
      <w:pPr>
        <w:pStyle w:val="FigureStyle00"/>
      </w:pPr>
      <w:bookmarkStart w:id="40" w:name="_Toc24028904"/>
      <w:bookmarkStart w:id="41" w:name="_Toc26780006"/>
      <w:bookmarkStart w:id="42" w:name="_Toc121583607"/>
      <w:bookmarkStart w:id="43" w:name="_Toc166761932"/>
      <w:r>
        <w:rPr>
          <w:rFonts w:hint="eastAsia"/>
        </w:rPr>
        <w:t>东南亚市场</w:t>
      </w:r>
      <w:r>
        <w:rPr>
          <w:rFonts w:hint="eastAsia"/>
        </w:rPr>
        <w:t>电子式热分配表(HCA)</w:t>
      </w:r>
      <w:r w:rsidR="00043A38">
        <w:rPr>
          <w:rFonts w:hint="eastAsia"/>
        </w:rPr>
        <w:t>销售额</w:t>
      </w:r>
      <w:r w:rsidRPr="005868B1">
        <w:rPr>
          <w:rFonts w:hint="eastAsia"/>
        </w:rPr>
        <w:t>及增长率（</w:t>
      </w:r>
      <w:r w:rsidRPr="005868B1">
        <w:rPr>
          <w:rFonts w:hint="eastAsia"/>
        </w:rPr>
        <w:t>2019-2030</w:t>
      </w:r>
      <w:bookmarkEnd w:id="40"/>
      <w:bookmarkEnd w:id="41"/>
      <w:r w:rsidRPr="005868B1">
        <w:rPr>
          <w:rFonts w:hint="eastAsia"/>
        </w:rPr>
        <w:t>）</w:t>
      </w:r>
      <w:r w:rsidRPr="005868B1">
        <w:rPr>
          <w:rFonts w:hint="eastAsia"/>
        </w:rPr>
        <w:t>&amp;</w:t>
      </w:r>
      <w:r w:rsidRPr="005868B1">
        <w:rPr>
          <w:rFonts w:hint="eastAsia"/>
        </w:rPr>
        <w:t>（</w:t>
      </w:r>
      <w:r w:rsidR="00043A38">
        <w:rPr>
          <w:rFonts w:hint="eastAsia"/>
        </w:rPr>
        <w:t>百</w:t>
      </w:r>
      <w:r w:rsidRPr="005868B1">
        <w:rPr>
          <w:rFonts w:hint="eastAsia"/>
        </w:rPr>
        <w:t>万元）</w:t>
      </w:r>
      <w:bookmarkEnd w:id="42"/>
      <w:bookmarkEnd w:id="43"/>
    </w:p>
    <w:p w:rsidR="004A61B0" w:rsidRPr="007459E0" w:rsidP="004A61B0" w14:paraId="50D3CD02" w14:textId="77777777">
      <w:pPr>
        <w:pStyle w:val="Normal0"/>
      </w:pPr>
      <w:r>
        <w:rPr>
          <w:noProof/>
        </w:rPr>
        <w:drawing>
          <wp:inline distT="0" distB="0" distL="0" distR="0">
            <wp:extent cx="6192520" cy="2814955"/>
            <wp:effectExtent l="0" t="0" r="0" b="4445"/>
            <wp:docPr id="471" name="图表 1">
              <a:extLst xmlns:a="http://schemas.openxmlformats.org/drawingml/2006/main">
                <a:ext xmlns:a="http://schemas.openxmlformats.org/drawingml/2006/main" uri="{FF2B5EF4-FFF2-40B4-BE49-F238E27FC236}">
                  <a16:creationId xmlns:a16="http://schemas.microsoft.com/office/drawing/2014/main" id="{00000000-0008-0000-0700-000041000000}"/>
                </a:ext>
              </a:extLst>
            </wp:docPr>
            <wp:cNvGraphicFramePr/>
            <a:graphic xmlns:a="http://schemas.openxmlformats.org/drawingml/2006/main">
              <a:graphicData uri="http://schemas.openxmlformats.org/drawingml/2006/chart">
                <c:chart xmlns:c="http://schemas.openxmlformats.org/drawingml/2006/chart" xmlns:r="http://schemas.openxmlformats.org/officeDocument/2006/relationships" r:id="rId11"/>
              </a:graphicData>
            </a:graphic>
          </wp:inline>
        </w:drawing>
      </w:r>
    </w:p>
    <w:p w:rsidR="004A61B0" w:rsidP="004A61B0" w14:paraId="686C9380" w14:textId="77777777">
      <w:pPr>
        <w:pStyle w:val="Source00"/>
      </w:pPr>
      <w:r>
        <w:rPr>
          <w:rFonts w:hint="eastAsia"/>
        </w:rPr>
        <w:t>资料来源：第三方资料、新闻报道、业内专家采访及</w:t>
      </w:r>
      <w:r>
        <w:rPr>
          <w:rFonts w:hint="eastAsia"/>
        </w:rPr>
        <w:t>QYResearch</w:t>
      </w:r>
      <w:r>
        <w:rPr>
          <w:rFonts w:hint="eastAsia"/>
        </w:rPr>
        <w:t>整理研究，</w:t>
      </w:r>
      <w:r>
        <w:rPr>
          <w:rFonts w:hint="eastAsia"/>
        </w:rPr>
        <w:t>2024</w:t>
      </w:r>
      <w:r>
        <w:rPr>
          <w:rFonts w:hint="eastAsia"/>
        </w:rPr>
        <w:t>年</w:t>
      </w:r>
    </w:p>
    <w:p w:rsidR="004A61B0" w:rsidRPr="004C6793" w:rsidP="004A61B0" w14:paraId="2863842C" w14:textId="6AF1F219">
      <w:pPr>
        <w:pStyle w:val="Heading30"/>
      </w:pPr>
      <w:bookmarkStart w:id="44" w:name="_Toc121583894"/>
      <w:bookmarkStart w:id="45" w:name="_Toc166761982"/>
      <w:r>
        <w:rPr>
          <w:rFonts w:hint="eastAsia"/>
        </w:rPr>
        <w:t>东南亚市场</w:t>
      </w:r>
      <w:r>
        <w:rPr>
          <w:rFonts w:hint="eastAsia"/>
        </w:rPr>
        <w:t>电子式热分配表(HCA)</w:t>
      </w:r>
      <w:r>
        <w:rPr>
          <w:rFonts w:hint="eastAsia"/>
        </w:rPr>
        <w:t>销量</w:t>
      </w:r>
      <w:r w:rsidRPr="00F74FCA">
        <w:rPr>
          <w:rFonts w:hint="eastAsia"/>
        </w:rPr>
        <w:t>及增长率（</w:t>
      </w:r>
      <w:r>
        <w:rPr>
          <w:rFonts w:hint="eastAsia"/>
        </w:rPr>
        <w:t>2019-2030</w:t>
      </w:r>
      <w:r w:rsidRPr="00F74FCA">
        <w:rPr>
          <w:rFonts w:hint="eastAsia"/>
        </w:rPr>
        <w:t>）</w:t>
      </w:r>
      <w:bookmarkEnd w:id="44"/>
      <w:bookmarkEnd w:id="45"/>
    </w:p>
    <w:p w:rsidR="004A61B0" w:rsidRPr="005868B1" w:rsidP="004A61B0" w14:paraId="0CD24A54" w14:textId="741EC702">
      <w:pPr>
        <w:pStyle w:val="FigureStyle00"/>
      </w:pPr>
      <w:bookmarkStart w:id="46" w:name="_Toc24028903"/>
      <w:bookmarkStart w:id="47" w:name="_Toc26780005"/>
      <w:bookmarkStart w:id="48" w:name="_Toc121583608"/>
      <w:bookmarkStart w:id="49" w:name="_Toc166761933"/>
      <w:r>
        <w:rPr>
          <w:rFonts w:hint="eastAsia"/>
        </w:rPr>
        <w:t>东南亚市场</w:t>
      </w:r>
      <w:r>
        <w:rPr>
          <w:rFonts w:hint="eastAsia"/>
        </w:rPr>
        <w:t>电子式热分配表(HCA)</w:t>
      </w:r>
      <w:r w:rsidRPr="005868B1">
        <w:rPr>
          <w:rFonts w:hint="eastAsia"/>
        </w:rPr>
        <w:t>销量及增长率（</w:t>
      </w:r>
      <w:r w:rsidRPr="005868B1">
        <w:rPr>
          <w:rFonts w:hint="eastAsia"/>
        </w:rPr>
        <w:t>2019-2030</w:t>
      </w:r>
      <w:bookmarkEnd w:id="46"/>
      <w:bookmarkEnd w:id="47"/>
      <w:r w:rsidRPr="005868B1">
        <w:rPr>
          <w:rFonts w:hint="eastAsia"/>
        </w:rPr>
        <w:t>）</w:t>
      </w:r>
      <w:r w:rsidRPr="005868B1">
        <w:rPr>
          <w:rFonts w:hint="eastAsia"/>
        </w:rPr>
        <w:t>&amp;</w:t>
      </w:r>
      <w:r w:rsidRPr="005868B1">
        <w:rPr>
          <w:rFonts w:hint="eastAsia"/>
        </w:rPr>
        <w:t>（</w:t>
      </w:r>
      <w:r w:rsidRPr="005868B1">
        <w:t>千个</w:t>
      </w:r>
      <w:r w:rsidRPr="005868B1">
        <w:rPr>
          <w:rFonts w:hint="eastAsia"/>
        </w:rPr>
        <w:t>）</w:t>
      </w:r>
      <w:bookmarkEnd w:id="48"/>
      <w:bookmarkEnd w:id="49"/>
    </w:p>
    <w:p w:rsidR="004A61B0" w:rsidRPr="00925ECF" w:rsidP="004A61B0" w14:paraId="7A7A30C9" w14:textId="77777777">
      <w:pPr>
        <w:pStyle w:val="Normal0"/>
      </w:pPr>
      <w:r>
        <w:rPr>
          <w:noProof/>
        </w:rPr>
        <w:drawing>
          <wp:inline distT="0" distB="0" distL="0" distR="0">
            <wp:extent cx="6192520" cy="2814955"/>
            <wp:effectExtent l="0" t="0" r="0" b="4445"/>
            <wp:docPr id="8" name="图表 1">
              <a:extLst xmlns:a="http://schemas.openxmlformats.org/drawingml/2006/main">
                <a:ext xmlns:a="http://schemas.openxmlformats.org/drawingml/2006/main" uri="{FF2B5EF4-FFF2-40B4-BE49-F238E27FC236}">
                  <a16:creationId xmlns:a16="http://schemas.microsoft.com/office/drawing/2014/main" id="{00000000-0008-0000-0700-000041000000}"/>
                </a:ext>
              </a:extLst>
            </wp:docPr>
            <wp:cNvGraphicFramePr/>
            <a:graphic xmlns:a="http://schemas.openxmlformats.org/drawingml/2006/main">
              <a:graphicData uri="http://schemas.openxmlformats.org/drawingml/2006/chart">
                <c:chart xmlns:c="http://schemas.openxmlformats.org/drawingml/2006/chart" xmlns:r="http://schemas.openxmlformats.org/officeDocument/2006/relationships" r:id="rId12"/>
              </a:graphicData>
            </a:graphic>
          </wp:inline>
        </w:drawing>
      </w:r>
    </w:p>
    <w:p w:rsidR="004A61B0" w:rsidP="004A61B0">
      <w:pPr>
        <w:pStyle w:val="Source00"/>
      </w:pPr>
      <w:r>
        <w:rPr>
          <w:rFonts w:hint="eastAsia"/>
        </w:rPr>
        <w:t>资料来源：第三方资料、新闻报道、业内专家采访及</w:t>
      </w:r>
      <w:r>
        <w:rPr>
          <w:rFonts w:hint="eastAsia"/>
        </w:rPr>
        <w:t>QYResearch</w:t>
      </w:r>
      <w:r>
        <w:rPr>
          <w:rFonts w:hint="eastAsia"/>
        </w:rPr>
        <w:t>整理研究，</w:t>
      </w:r>
      <w:r>
        <w:rPr>
          <w:rFonts w:hint="eastAsia"/>
        </w:rPr>
        <w:t>2024</w:t>
      </w:r>
      <w:r>
        <w:rPr>
          <w:rFonts w:hint="eastAsia"/>
        </w:rPr>
        <w:t>年</w:t>
      </w:r>
    </w:p>
    <w:p w:rsidR="0008625C" w:rsidP="0008625C" w14:paraId="7BCC18C9" w14:textId="3F9C469D">
      <w:pPr>
        <w:pStyle w:val="Heading30"/>
      </w:pPr>
      <w:r>
        <w:rPr>
          <w:rFonts w:hint="eastAsia"/>
        </w:rPr>
        <w:t>按国家，</w:t>
      </w:r>
      <w:r>
        <w:rPr>
          <w:rFonts w:hint="eastAsia"/>
        </w:rPr>
        <w:t>东南亚</w:t>
      </w:r>
      <w:r>
        <w:rPr>
          <w:rFonts w:hint="eastAsia"/>
        </w:rPr>
        <w:t>电子式热分配表(HCA)</w:t>
      </w:r>
      <w:r>
        <w:rPr>
          <w:rFonts w:hint="eastAsia"/>
        </w:rPr>
        <w:t>销售金额份额</w:t>
      </w:r>
      <w:r w:rsidRPr="00F74FCA">
        <w:rPr>
          <w:rFonts w:hint="eastAsia"/>
        </w:rPr>
        <w:t>（</w:t>
      </w:r>
      <w:r>
        <w:rPr>
          <w:rFonts w:hint="eastAsia"/>
        </w:rPr>
        <w:t>2019-2030</w:t>
      </w:r>
      <w:r w:rsidRPr="00F74FCA">
        <w:rPr>
          <w:rFonts w:hint="eastAsia"/>
        </w:rPr>
        <w:t>）</w:t>
      </w:r>
    </w:p>
    <w:p w:rsidR="0008625C" w:rsidRPr="0008625C" w:rsidP="0008625C" w14:paraId="2E90EB7D" w14:textId="7D6CB28B">
      <w:pPr>
        <w:pStyle w:val="FigureStyle00"/>
      </w:pPr>
      <w:r>
        <w:rPr>
          <w:rFonts w:hint="eastAsia"/>
        </w:rPr>
        <w:t>按国家，</w:t>
      </w:r>
      <w:r>
        <w:rPr>
          <w:rFonts w:hint="eastAsia"/>
        </w:rPr>
        <w:t>东南亚</w:t>
      </w:r>
      <w:r>
        <w:rPr>
          <w:rFonts w:hint="eastAsia"/>
        </w:rPr>
        <w:t>电子式热分配表(HCA)</w:t>
      </w:r>
      <w:r>
        <w:rPr>
          <w:rFonts w:hint="eastAsia"/>
        </w:rPr>
        <w:t>销售金额份额</w:t>
      </w:r>
      <w:r w:rsidRPr="00F74FCA">
        <w:rPr>
          <w:rFonts w:hint="eastAsia"/>
        </w:rPr>
        <w:t>（</w:t>
      </w:r>
      <w:r>
        <w:rPr>
          <w:rFonts w:hint="eastAsia"/>
        </w:rPr>
        <w:t>2019-2030</w:t>
      </w:r>
      <w:r w:rsidRPr="00F74FCA">
        <w:rPr>
          <w:rFonts w:hint="eastAsia"/>
        </w:rPr>
        <w:t>）</w:t>
      </w:r>
    </w:p>
    <w:p w:rsidR="0008625C" w:rsidP="0008625C" w14:paraId="0FF52CAE" w14:textId="4CB24F53">
      <w:pPr>
        <w:pStyle w:val="Normal0"/>
      </w:pPr>
      <w:r>
        <w:rPr>
          <w:noProof/>
        </w:rPr>
        <w:drawing>
          <wp:inline distT="0" distB="0" distL="0" distR="0">
            <wp:extent cx="6192520" cy="2847340"/>
            <wp:effectExtent l="0" t="0" r="0" b="0"/>
            <wp:docPr id="1606473364" name="图表 1">
              <a:extLst xmlns:a="http://schemas.openxmlformats.org/drawingml/2006/main">
                <a:ext xmlns:a="http://schemas.openxmlformats.org/drawingml/2006/main" uri="{FF2B5EF4-FFF2-40B4-BE49-F238E27FC236}">
                  <a16:creationId xmlns:a16="http://schemas.microsoft.com/office/drawing/2014/main" id="{00000000-0008-0000-0700-000030000000}"/>
                </a:ext>
              </a:extLst>
            </wp:docPr>
            <wp:cNvGraphicFramePr/>
            <a:graphic xmlns:a="http://schemas.openxmlformats.org/drawingml/2006/main">
              <a:graphicData uri="http://schemas.openxmlformats.org/drawingml/2006/chart">
                <c:chart xmlns:c="http://schemas.openxmlformats.org/drawingml/2006/chart" xmlns:r="http://schemas.openxmlformats.org/officeDocument/2006/relationships" r:id="rId13"/>
              </a:graphicData>
            </a:graphic>
          </wp:inline>
        </w:drawing>
      </w:r>
    </w:p>
    <w:p w:rsidR="0008625C" w:rsidP="0008625C">
      <w:pPr>
        <w:pStyle w:val="Source00"/>
      </w:pPr>
      <w:r>
        <w:rPr>
          <w:rFonts w:hint="eastAsia"/>
        </w:rPr>
        <w:t>资料来源：第三方资料、新闻报道、业内专家采访及</w:t>
      </w:r>
      <w:r>
        <w:rPr>
          <w:rFonts w:hint="eastAsia"/>
        </w:rPr>
        <w:t>QYResearch</w:t>
      </w:r>
      <w:r>
        <w:rPr>
          <w:rFonts w:hint="eastAsia"/>
        </w:rPr>
        <w:t>整理研究，</w:t>
      </w:r>
      <w:r>
        <w:rPr>
          <w:rFonts w:hint="eastAsia"/>
        </w:rPr>
        <w:t>2024</w:t>
      </w:r>
      <w:r>
        <w:rPr>
          <w:rFonts w:hint="eastAsia"/>
        </w:rPr>
        <w:t>年</w:t>
      </w:r>
    </w:p>
    <w:p w:rsidR="00CA4C49" w:rsidP="00CA4C49" w14:paraId="33801423" w14:textId="03552EA8">
      <w:pPr>
        <w:pStyle w:val="Heading30"/>
      </w:pPr>
      <w:r>
        <w:rPr>
          <w:rFonts w:hint="eastAsia"/>
        </w:rPr>
        <w:t>按国家，</w:t>
      </w:r>
      <w:r>
        <w:rPr>
          <w:rFonts w:hint="eastAsia"/>
        </w:rPr>
        <w:t>东南亚</w:t>
      </w:r>
      <w:r>
        <w:rPr>
          <w:rFonts w:hint="eastAsia"/>
        </w:rPr>
        <w:t>电子式热分配表(HCA)</w:t>
      </w:r>
      <w:r w:rsidRPr="005868B1">
        <w:rPr>
          <w:rFonts w:hint="eastAsia"/>
        </w:rPr>
        <w:t>销量</w:t>
      </w:r>
      <w:r>
        <w:rPr>
          <w:rFonts w:hint="eastAsia"/>
        </w:rPr>
        <w:t>份额</w:t>
      </w:r>
      <w:r w:rsidRPr="00F74FCA">
        <w:rPr>
          <w:rFonts w:hint="eastAsia"/>
        </w:rPr>
        <w:t>（</w:t>
      </w:r>
      <w:r>
        <w:rPr>
          <w:rFonts w:hint="eastAsia"/>
        </w:rPr>
        <w:t>2019-2030</w:t>
      </w:r>
      <w:r w:rsidRPr="00F74FCA">
        <w:rPr>
          <w:rFonts w:hint="eastAsia"/>
        </w:rPr>
        <w:t>）</w:t>
      </w:r>
    </w:p>
    <w:p w:rsidR="00CA4C49" w:rsidRPr="0008625C" w:rsidP="00CA4C49" w14:paraId="539140C1" w14:textId="6C3B90E7">
      <w:pPr>
        <w:pStyle w:val="FigureStyle00"/>
      </w:pPr>
      <w:r>
        <w:rPr>
          <w:rFonts w:hint="eastAsia"/>
        </w:rPr>
        <w:t>按国家，</w:t>
      </w:r>
      <w:r>
        <w:rPr>
          <w:rFonts w:hint="eastAsia"/>
        </w:rPr>
        <w:t>东南亚</w:t>
      </w:r>
      <w:r>
        <w:rPr>
          <w:rFonts w:hint="eastAsia"/>
        </w:rPr>
        <w:t>电子式热分配表(HCA)</w:t>
      </w:r>
      <w:r w:rsidRPr="005868B1">
        <w:rPr>
          <w:rFonts w:hint="eastAsia"/>
        </w:rPr>
        <w:t>销量</w:t>
      </w:r>
      <w:r>
        <w:rPr>
          <w:rFonts w:hint="eastAsia"/>
        </w:rPr>
        <w:t>份额</w:t>
      </w:r>
      <w:r w:rsidRPr="00F74FCA">
        <w:rPr>
          <w:rFonts w:hint="eastAsia"/>
        </w:rPr>
        <w:t>（</w:t>
      </w:r>
      <w:r>
        <w:rPr>
          <w:rFonts w:hint="eastAsia"/>
        </w:rPr>
        <w:t>2019-2030</w:t>
      </w:r>
      <w:r w:rsidRPr="00F74FCA">
        <w:rPr>
          <w:rFonts w:hint="eastAsia"/>
        </w:rPr>
        <w:t>）</w:t>
      </w:r>
    </w:p>
    <w:p w:rsidR="00CA4C49" w:rsidP="00CA4C49" w14:paraId="066E153E" w14:textId="56FA3C15">
      <w:pPr>
        <w:pStyle w:val="Normal0"/>
      </w:pPr>
      <w:r>
        <w:rPr>
          <w:noProof/>
        </w:rPr>
        <w:drawing>
          <wp:inline distT="0" distB="0" distL="0" distR="0">
            <wp:extent cx="6192520" cy="2847340"/>
            <wp:effectExtent l="0" t="0" r="0" b="0"/>
            <wp:docPr id="194353611" name="图表 1">
              <a:extLst xmlns:a="http://schemas.openxmlformats.org/drawingml/2006/main">
                <a:ext xmlns:a="http://schemas.openxmlformats.org/drawingml/2006/main" uri="{FF2B5EF4-FFF2-40B4-BE49-F238E27FC236}">
                  <a16:creationId xmlns:a16="http://schemas.microsoft.com/office/drawing/2014/main" id="{00000000-0008-0000-0700-000030000000}"/>
                </a:ext>
              </a:extLst>
            </wp:docPr>
            <wp:cNvGraphicFramePr/>
            <a:graphic xmlns:a="http://schemas.openxmlformats.org/drawingml/2006/main">
              <a:graphicData uri="http://schemas.openxmlformats.org/drawingml/2006/chart">
                <c:chart xmlns:c="http://schemas.openxmlformats.org/drawingml/2006/chart" xmlns:r="http://schemas.openxmlformats.org/officeDocument/2006/relationships" r:id="rId14"/>
              </a:graphicData>
            </a:graphic>
          </wp:inline>
        </w:drawing>
      </w:r>
    </w:p>
    <w:p w:rsidR="00CA4C49" w:rsidP="00CA4C49">
      <w:pPr>
        <w:pStyle w:val="Source00"/>
      </w:pPr>
      <w:r>
        <w:rPr>
          <w:rFonts w:hint="eastAsia"/>
        </w:rPr>
        <w:t>资料来源：第三方资料、新闻报道、业内专家采访及</w:t>
      </w:r>
      <w:r>
        <w:rPr>
          <w:rFonts w:hint="eastAsia"/>
        </w:rPr>
        <w:t>QYResearch</w:t>
      </w:r>
      <w:r>
        <w:rPr>
          <w:rFonts w:hint="eastAsia"/>
        </w:rPr>
        <w:t>整理研究，</w:t>
      </w:r>
      <w:r>
        <w:rPr>
          <w:rFonts w:hint="eastAsia"/>
        </w:rPr>
        <w:t>2024</w:t>
      </w:r>
      <w:r>
        <w:rPr>
          <w:rFonts w:hint="eastAsia"/>
        </w:rPr>
        <w:t>年</w:t>
      </w:r>
    </w:p>
    <w:bookmarkEnd w:id="36"/>
    <w:p w:rsidR="000D1730" w:rsidRPr="006A20F2" w:rsidP="000D1730" w14:paraId="27A17B23" w14:textId="77777777">
      <w:pPr>
        <w:pStyle w:val="Heading20"/>
      </w:pPr>
      <w:r>
        <w:rPr>
          <w:rFonts w:hint="eastAsia"/>
        </w:rPr>
        <w:t>印尼市场规模</w:t>
      </w:r>
    </w:p>
    <w:p w:rsidR="000D1730" w:rsidP="000D1730" w14:paraId="78FDBC89" w14:textId="77777777">
      <w:pPr>
        <w:pStyle w:val="Heading30"/>
      </w:pPr>
      <w:r>
        <w:rPr>
          <w:rFonts w:hint="eastAsia"/>
        </w:rPr>
        <w:t>印尼市场</w:t>
      </w:r>
      <w:r>
        <w:rPr>
          <w:rFonts w:hint="eastAsia"/>
        </w:rPr>
        <w:t>电子式热分配表(HCA)</w:t>
      </w:r>
      <w:r>
        <w:rPr>
          <w:rFonts w:hint="eastAsia"/>
        </w:rPr>
        <w:t>收入规模</w:t>
      </w:r>
      <w:r w:rsidRPr="00F74FCA">
        <w:rPr>
          <w:rFonts w:hint="eastAsia"/>
        </w:rPr>
        <w:t>及增长率（</w:t>
      </w:r>
      <w:r>
        <w:rPr>
          <w:rFonts w:hint="eastAsia"/>
        </w:rPr>
        <w:t>2019-2030</w:t>
      </w:r>
      <w:r w:rsidRPr="00F74FCA">
        <w:rPr>
          <w:rFonts w:hint="eastAsia"/>
        </w:rPr>
        <w:t>）</w:t>
      </w:r>
    </w:p>
    <w:p w:rsidR="000D1730" w:rsidRPr="005868B1" w:rsidP="000D1730" w14:paraId="3936D745" w14:textId="77777777">
      <w:pPr>
        <w:pStyle w:val="FigureStyle00"/>
      </w:pPr>
      <w:r>
        <w:rPr>
          <w:rFonts w:hint="eastAsia"/>
        </w:rPr>
        <w:t>印尼市场</w:t>
      </w:r>
      <w:r>
        <w:rPr>
          <w:rFonts w:hint="eastAsia"/>
        </w:rPr>
        <w:t>电子式热分配表(HCA)</w:t>
      </w:r>
      <w:r>
        <w:rPr>
          <w:rFonts w:hint="eastAsia"/>
        </w:rPr>
        <w:t>销售额</w:t>
      </w:r>
      <w:r w:rsidRPr="005868B1">
        <w:rPr>
          <w:rFonts w:hint="eastAsia"/>
        </w:rPr>
        <w:t>及增长率（</w:t>
      </w:r>
      <w:r w:rsidRPr="005868B1">
        <w:rPr>
          <w:rFonts w:hint="eastAsia"/>
        </w:rPr>
        <w:t>2019-2030</w:t>
      </w:r>
      <w:r w:rsidRPr="005868B1">
        <w:rPr>
          <w:rFonts w:hint="eastAsia"/>
        </w:rPr>
        <w:t>）</w:t>
      </w:r>
      <w:r w:rsidRPr="005868B1">
        <w:rPr>
          <w:rFonts w:hint="eastAsia"/>
        </w:rPr>
        <w:t>&amp;</w:t>
      </w:r>
      <w:r w:rsidRPr="005868B1">
        <w:rPr>
          <w:rFonts w:hint="eastAsia"/>
        </w:rPr>
        <w:t>（</w:t>
      </w:r>
      <w:r>
        <w:rPr>
          <w:rFonts w:hint="eastAsia"/>
        </w:rPr>
        <w:t>百</w:t>
      </w:r>
      <w:r w:rsidRPr="005868B1">
        <w:rPr>
          <w:rFonts w:hint="eastAsia"/>
        </w:rPr>
        <w:t>万元）</w:t>
      </w:r>
    </w:p>
    <w:p w:rsidR="000D1730" w:rsidRPr="007459E0" w:rsidP="000D1730" w14:paraId="07ED4384" w14:textId="77777777">
      <w:pPr>
        <w:pStyle w:val="Normal0"/>
      </w:pPr>
      <w:r>
        <w:rPr>
          <w:noProof/>
        </w:rPr>
        <w:drawing>
          <wp:inline distT="0" distB="0" distL="0" distR="0">
            <wp:extent cx="6192520" cy="2814955"/>
            <wp:effectExtent l="0" t="0" r="0" b="4445"/>
            <wp:docPr id="1476572442" name="图表 1">
              <a:extLst xmlns:a="http://schemas.openxmlformats.org/drawingml/2006/main">
                <a:ext xmlns:a="http://schemas.openxmlformats.org/drawingml/2006/main" uri="{FF2B5EF4-FFF2-40B4-BE49-F238E27FC236}">
                  <a16:creationId xmlns:a16="http://schemas.microsoft.com/office/drawing/2014/main" id="{00000000-0008-0000-0700-000041000000}"/>
                </a:ext>
              </a:extLst>
            </wp:docPr>
            <wp:cNvGraphicFramePr/>
            <a:graphic xmlns:a="http://schemas.openxmlformats.org/drawingml/2006/main">
              <a:graphicData uri="http://schemas.openxmlformats.org/drawingml/2006/chart">
                <c:chart xmlns:c="http://schemas.openxmlformats.org/drawingml/2006/chart" xmlns:r="http://schemas.openxmlformats.org/officeDocument/2006/relationships" r:id="rId15"/>
              </a:graphicData>
            </a:graphic>
          </wp:inline>
        </w:drawing>
      </w:r>
    </w:p>
    <w:p w:rsidR="000D1730" w:rsidP="000D1730" w14:paraId="3443E370" w14:textId="77777777">
      <w:pPr>
        <w:pStyle w:val="Source00"/>
      </w:pPr>
      <w:r>
        <w:rPr>
          <w:rFonts w:hint="eastAsia"/>
        </w:rPr>
        <w:t>资料来源：第三方资料、新闻报道、业内专家采访及</w:t>
      </w:r>
      <w:r>
        <w:rPr>
          <w:rFonts w:hint="eastAsia"/>
        </w:rPr>
        <w:t>QYResearch</w:t>
      </w:r>
      <w:r>
        <w:rPr>
          <w:rFonts w:hint="eastAsia"/>
        </w:rPr>
        <w:t>整理研究，</w:t>
      </w:r>
      <w:r>
        <w:rPr>
          <w:rFonts w:hint="eastAsia"/>
        </w:rPr>
        <w:t>2024</w:t>
      </w:r>
      <w:r>
        <w:rPr>
          <w:rFonts w:hint="eastAsia"/>
        </w:rPr>
        <w:t>年</w:t>
      </w:r>
    </w:p>
    <w:p w:rsidR="000D1730" w:rsidRPr="004C6793" w:rsidP="000D1730" w14:paraId="2B791A47" w14:textId="77777777">
      <w:pPr>
        <w:pStyle w:val="Heading30"/>
      </w:pPr>
      <w:r>
        <w:rPr>
          <w:rFonts w:hint="eastAsia"/>
        </w:rPr>
        <w:t>印尼市场</w:t>
      </w:r>
      <w:r>
        <w:rPr>
          <w:rFonts w:hint="eastAsia"/>
        </w:rPr>
        <w:t>电子式热分配表(HCA)</w:t>
      </w:r>
      <w:r>
        <w:rPr>
          <w:rFonts w:hint="eastAsia"/>
        </w:rPr>
        <w:t>销量</w:t>
      </w:r>
      <w:r w:rsidRPr="00F74FCA">
        <w:rPr>
          <w:rFonts w:hint="eastAsia"/>
        </w:rPr>
        <w:t>及增长率（</w:t>
      </w:r>
      <w:r>
        <w:rPr>
          <w:rFonts w:hint="eastAsia"/>
        </w:rPr>
        <w:t>2019-2030</w:t>
      </w:r>
      <w:r w:rsidRPr="00F74FCA">
        <w:rPr>
          <w:rFonts w:hint="eastAsia"/>
        </w:rPr>
        <w:t>）</w:t>
      </w:r>
    </w:p>
    <w:p w:rsidR="000D1730" w:rsidRPr="005868B1" w:rsidP="000D1730" w14:paraId="5FF1E06C" w14:textId="77777777">
      <w:pPr>
        <w:pStyle w:val="FigureStyle00"/>
      </w:pPr>
      <w:r>
        <w:rPr>
          <w:rFonts w:hint="eastAsia"/>
        </w:rPr>
        <w:t>印尼市场</w:t>
      </w:r>
      <w:r>
        <w:rPr>
          <w:rFonts w:hint="eastAsia"/>
        </w:rPr>
        <w:t>电子式热分配表(HCA)</w:t>
      </w:r>
      <w:r w:rsidRPr="005868B1">
        <w:rPr>
          <w:rFonts w:hint="eastAsia"/>
        </w:rPr>
        <w:t>销量及增长率（</w:t>
      </w:r>
      <w:r w:rsidRPr="005868B1">
        <w:rPr>
          <w:rFonts w:hint="eastAsia"/>
        </w:rPr>
        <w:t>2019-2030</w:t>
      </w:r>
      <w:r w:rsidRPr="005868B1">
        <w:rPr>
          <w:rFonts w:hint="eastAsia"/>
        </w:rPr>
        <w:t>）</w:t>
      </w:r>
      <w:r w:rsidRPr="005868B1">
        <w:rPr>
          <w:rFonts w:hint="eastAsia"/>
        </w:rPr>
        <w:t>&amp;</w:t>
      </w:r>
      <w:r w:rsidRPr="005868B1">
        <w:rPr>
          <w:rFonts w:hint="eastAsia"/>
        </w:rPr>
        <w:t>（</w:t>
      </w:r>
      <w:r w:rsidRPr="005868B1">
        <w:t>千个</w:t>
      </w:r>
      <w:r w:rsidRPr="005868B1">
        <w:rPr>
          <w:rFonts w:hint="eastAsia"/>
        </w:rPr>
        <w:t>）</w:t>
      </w:r>
    </w:p>
    <w:p w:rsidR="000D1730" w:rsidRPr="00925ECF" w:rsidP="000D1730" w14:paraId="5D3B65C6" w14:textId="77777777">
      <w:pPr>
        <w:pStyle w:val="Normal0"/>
      </w:pPr>
      <w:r>
        <w:rPr>
          <w:noProof/>
        </w:rPr>
        <w:drawing>
          <wp:inline distT="0" distB="0" distL="0" distR="0">
            <wp:extent cx="6192520" cy="2814955"/>
            <wp:effectExtent l="0" t="0" r="0" b="4445"/>
            <wp:docPr id="535937852" name="图表 1">
              <a:extLst xmlns:a="http://schemas.openxmlformats.org/drawingml/2006/main">
                <a:ext xmlns:a="http://schemas.openxmlformats.org/drawingml/2006/main" uri="{FF2B5EF4-FFF2-40B4-BE49-F238E27FC236}">
                  <a16:creationId xmlns:a16="http://schemas.microsoft.com/office/drawing/2014/main" id="{00000000-0008-0000-0700-000041000000}"/>
                </a:ext>
              </a:extLst>
            </wp:docPr>
            <wp:cNvGraphicFramePr/>
            <a:graphic xmlns:a="http://schemas.openxmlformats.org/drawingml/2006/main">
              <a:graphicData uri="http://schemas.openxmlformats.org/drawingml/2006/chart">
                <c:chart xmlns:c="http://schemas.openxmlformats.org/drawingml/2006/chart" xmlns:r="http://schemas.openxmlformats.org/officeDocument/2006/relationships" r:id="rId16"/>
              </a:graphicData>
            </a:graphic>
          </wp:inline>
        </w:drawing>
      </w:r>
    </w:p>
    <w:p w:rsidR="000D1730" w:rsidRPr="003B4E12" w:rsidP="000D1730">
      <w:pPr>
        <w:pStyle w:val="Source00"/>
      </w:pPr>
      <w:r>
        <w:rPr>
          <w:rFonts w:hint="eastAsia"/>
        </w:rPr>
        <w:t>资料来源：第三方资料、新闻报道、业内专家采访及</w:t>
      </w:r>
      <w:r>
        <w:rPr>
          <w:rFonts w:hint="eastAsia"/>
        </w:rPr>
        <w:t>QYResearch</w:t>
      </w:r>
      <w:r>
        <w:rPr>
          <w:rFonts w:hint="eastAsia"/>
        </w:rPr>
        <w:t>整理研究，</w:t>
      </w:r>
      <w:r>
        <w:rPr>
          <w:rFonts w:hint="eastAsia"/>
        </w:rPr>
        <w:t>2024</w:t>
      </w:r>
      <w:r>
        <w:rPr>
          <w:rFonts w:hint="eastAsia"/>
        </w:rPr>
        <w:t>年</w:t>
      </w:r>
    </w:p>
    <w:p w:rsidR="000D1730" w:rsidRPr="006A20F2" w:rsidP="000D1730" w14:paraId="5088E369" w14:textId="77777777">
      <w:pPr>
        <w:pStyle w:val="Heading20"/>
      </w:pPr>
      <w:r>
        <w:rPr>
          <w:rFonts w:hint="eastAsia"/>
        </w:rPr>
        <w:t>越南市场规模</w:t>
      </w:r>
    </w:p>
    <w:p w:rsidR="000D1730" w:rsidP="000D1730" w14:paraId="2E891FB8" w14:textId="77777777">
      <w:pPr>
        <w:pStyle w:val="Heading30"/>
      </w:pPr>
      <w:r>
        <w:rPr>
          <w:rFonts w:hint="eastAsia"/>
        </w:rPr>
        <w:t>越南市场</w:t>
      </w:r>
      <w:r>
        <w:rPr>
          <w:rFonts w:hint="eastAsia"/>
        </w:rPr>
        <w:t>电子式热分配表(HCA)</w:t>
      </w:r>
      <w:r>
        <w:rPr>
          <w:rFonts w:hint="eastAsia"/>
        </w:rPr>
        <w:t>收入规模</w:t>
      </w:r>
      <w:r w:rsidRPr="00F74FCA">
        <w:rPr>
          <w:rFonts w:hint="eastAsia"/>
        </w:rPr>
        <w:t>及增长率（</w:t>
      </w:r>
      <w:r>
        <w:rPr>
          <w:rFonts w:hint="eastAsia"/>
        </w:rPr>
        <w:t>2019-2030</w:t>
      </w:r>
      <w:r w:rsidRPr="00F74FCA">
        <w:rPr>
          <w:rFonts w:hint="eastAsia"/>
        </w:rPr>
        <w:t>）</w:t>
      </w:r>
    </w:p>
    <w:p w:rsidR="000D1730" w:rsidRPr="005868B1" w:rsidP="000D1730" w14:paraId="5D9290E3" w14:textId="77777777">
      <w:pPr>
        <w:pStyle w:val="FigureStyle00"/>
      </w:pPr>
      <w:r>
        <w:rPr>
          <w:rFonts w:hint="eastAsia"/>
        </w:rPr>
        <w:t>越南市场</w:t>
      </w:r>
      <w:r>
        <w:rPr>
          <w:rFonts w:hint="eastAsia"/>
        </w:rPr>
        <w:t>电子式热分配表(HCA)</w:t>
      </w:r>
      <w:r>
        <w:rPr>
          <w:rFonts w:hint="eastAsia"/>
        </w:rPr>
        <w:t>销售额</w:t>
      </w:r>
      <w:r w:rsidRPr="005868B1">
        <w:rPr>
          <w:rFonts w:hint="eastAsia"/>
        </w:rPr>
        <w:t>及增长率（</w:t>
      </w:r>
      <w:r w:rsidRPr="005868B1">
        <w:rPr>
          <w:rFonts w:hint="eastAsia"/>
        </w:rPr>
        <w:t>2019-2030</w:t>
      </w:r>
      <w:r w:rsidRPr="005868B1">
        <w:rPr>
          <w:rFonts w:hint="eastAsia"/>
        </w:rPr>
        <w:t>）</w:t>
      </w:r>
      <w:r w:rsidRPr="005868B1">
        <w:rPr>
          <w:rFonts w:hint="eastAsia"/>
        </w:rPr>
        <w:t>&amp;</w:t>
      </w:r>
      <w:r w:rsidRPr="005868B1">
        <w:rPr>
          <w:rFonts w:hint="eastAsia"/>
        </w:rPr>
        <w:t>（</w:t>
      </w:r>
      <w:r>
        <w:rPr>
          <w:rFonts w:hint="eastAsia"/>
        </w:rPr>
        <w:t>百</w:t>
      </w:r>
      <w:r w:rsidRPr="005868B1">
        <w:rPr>
          <w:rFonts w:hint="eastAsia"/>
        </w:rPr>
        <w:t>万元）</w:t>
      </w:r>
    </w:p>
    <w:p w:rsidR="000D1730" w:rsidRPr="007459E0" w:rsidP="000D1730" w14:paraId="5ACD3366" w14:textId="77777777">
      <w:pPr>
        <w:pStyle w:val="Normal0"/>
      </w:pPr>
      <w:r>
        <w:rPr>
          <w:noProof/>
        </w:rPr>
        <w:drawing>
          <wp:inline distT="0" distB="0" distL="0" distR="0">
            <wp:extent cx="6192520" cy="2814955"/>
            <wp:effectExtent l="0" t="0" r="0" b="4445"/>
            <wp:docPr id="1765090591" name="图表 1">
              <a:extLst xmlns:a="http://schemas.openxmlformats.org/drawingml/2006/main">
                <a:ext xmlns:a="http://schemas.openxmlformats.org/drawingml/2006/main" uri="{FF2B5EF4-FFF2-40B4-BE49-F238E27FC236}">
                  <a16:creationId xmlns:a16="http://schemas.microsoft.com/office/drawing/2014/main" id="{00000000-0008-0000-0700-000041000000}"/>
                </a:ext>
              </a:extLst>
            </wp:docPr>
            <wp:cNvGraphicFramePr/>
            <a:graphic xmlns:a="http://schemas.openxmlformats.org/drawingml/2006/main">
              <a:graphicData uri="http://schemas.openxmlformats.org/drawingml/2006/chart">
                <c:chart xmlns:c="http://schemas.openxmlformats.org/drawingml/2006/chart" xmlns:r="http://schemas.openxmlformats.org/officeDocument/2006/relationships" r:id="rId17"/>
              </a:graphicData>
            </a:graphic>
          </wp:inline>
        </w:drawing>
      </w:r>
    </w:p>
    <w:p w:rsidR="000D1730" w:rsidP="000D1730" w14:paraId="0D39AF38" w14:textId="77777777">
      <w:pPr>
        <w:pStyle w:val="Source00"/>
      </w:pPr>
      <w:r>
        <w:rPr>
          <w:rFonts w:hint="eastAsia"/>
        </w:rPr>
        <w:t>资料来源：第三方资料、新闻报道、业内专家采访及</w:t>
      </w:r>
      <w:r>
        <w:rPr>
          <w:rFonts w:hint="eastAsia"/>
        </w:rPr>
        <w:t>QYResearch</w:t>
      </w:r>
      <w:r>
        <w:rPr>
          <w:rFonts w:hint="eastAsia"/>
        </w:rPr>
        <w:t>整理研究，</w:t>
      </w:r>
      <w:r>
        <w:rPr>
          <w:rFonts w:hint="eastAsia"/>
        </w:rPr>
        <w:t>2024</w:t>
      </w:r>
      <w:r>
        <w:rPr>
          <w:rFonts w:hint="eastAsia"/>
        </w:rPr>
        <w:t>年</w:t>
      </w:r>
    </w:p>
    <w:p w:rsidR="000D1730" w:rsidRPr="004C6793" w:rsidP="000D1730" w14:paraId="79039EAE" w14:textId="77777777">
      <w:pPr>
        <w:pStyle w:val="Heading30"/>
      </w:pPr>
      <w:r>
        <w:rPr>
          <w:rFonts w:hint="eastAsia"/>
        </w:rPr>
        <w:t>越南市场</w:t>
      </w:r>
      <w:r>
        <w:rPr>
          <w:rFonts w:hint="eastAsia"/>
        </w:rPr>
        <w:t>电子式热分配表(HCA)</w:t>
      </w:r>
      <w:r>
        <w:rPr>
          <w:rFonts w:hint="eastAsia"/>
        </w:rPr>
        <w:t>销量</w:t>
      </w:r>
      <w:r w:rsidRPr="00F74FCA">
        <w:rPr>
          <w:rFonts w:hint="eastAsia"/>
        </w:rPr>
        <w:t>及增长率（</w:t>
      </w:r>
      <w:r>
        <w:rPr>
          <w:rFonts w:hint="eastAsia"/>
        </w:rPr>
        <w:t>2019-2030</w:t>
      </w:r>
      <w:r w:rsidRPr="00F74FCA">
        <w:rPr>
          <w:rFonts w:hint="eastAsia"/>
        </w:rPr>
        <w:t>）</w:t>
      </w:r>
    </w:p>
    <w:p w:rsidR="000D1730" w:rsidRPr="005868B1" w:rsidP="000D1730" w14:paraId="1AEB60EA" w14:textId="77777777">
      <w:pPr>
        <w:pStyle w:val="FigureStyle00"/>
      </w:pPr>
      <w:r>
        <w:rPr>
          <w:rFonts w:hint="eastAsia"/>
        </w:rPr>
        <w:t>越南市场</w:t>
      </w:r>
      <w:r>
        <w:rPr>
          <w:rFonts w:hint="eastAsia"/>
        </w:rPr>
        <w:t>电子式热分配表(HCA)</w:t>
      </w:r>
      <w:r w:rsidRPr="005868B1">
        <w:rPr>
          <w:rFonts w:hint="eastAsia"/>
        </w:rPr>
        <w:t>销量及增长率（</w:t>
      </w:r>
      <w:r w:rsidRPr="005868B1">
        <w:rPr>
          <w:rFonts w:hint="eastAsia"/>
        </w:rPr>
        <w:t>2019-2030</w:t>
      </w:r>
      <w:r w:rsidRPr="005868B1">
        <w:rPr>
          <w:rFonts w:hint="eastAsia"/>
        </w:rPr>
        <w:t>）</w:t>
      </w:r>
      <w:r w:rsidRPr="005868B1">
        <w:rPr>
          <w:rFonts w:hint="eastAsia"/>
        </w:rPr>
        <w:t>&amp;</w:t>
      </w:r>
      <w:r w:rsidRPr="005868B1">
        <w:rPr>
          <w:rFonts w:hint="eastAsia"/>
        </w:rPr>
        <w:t>（</w:t>
      </w:r>
      <w:r w:rsidRPr="005868B1">
        <w:t>千个</w:t>
      </w:r>
      <w:r w:rsidRPr="005868B1">
        <w:rPr>
          <w:rFonts w:hint="eastAsia"/>
        </w:rPr>
        <w:t>）</w:t>
      </w:r>
    </w:p>
    <w:p w:rsidR="000D1730" w:rsidRPr="00925ECF" w:rsidP="000D1730" w14:paraId="52F1B378" w14:textId="77777777">
      <w:pPr>
        <w:pStyle w:val="Normal0"/>
      </w:pPr>
      <w:r>
        <w:rPr>
          <w:noProof/>
        </w:rPr>
        <w:drawing>
          <wp:inline distT="0" distB="0" distL="0" distR="0">
            <wp:extent cx="6192520" cy="2814955"/>
            <wp:effectExtent l="0" t="0" r="0" b="4445"/>
            <wp:docPr id="1514066101" name="图表 1">
              <a:extLst xmlns:a="http://schemas.openxmlformats.org/drawingml/2006/main">
                <a:ext xmlns:a="http://schemas.openxmlformats.org/drawingml/2006/main" uri="{FF2B5EF4-FFF2-40B4-BE49-F238E27FC236}">
                  <a16:creationId xmlns:a16="http://schemas.microsoft.com/office/drawing/2014/main" id="{00000000-0008-0000-0700-000041000000}"/>
                </a:ext>
              </a:extLst>
            </wp:docPr>
            <wp:cNvGraphicFramePr/>
            <a:graphic xmlns:a="http://schemas.openxmlformats.org/drawingml/2006/main">
              <a:graphicData uri="http://schemas.openxmlformats.org/drawingml/2006/chart">
                <c:chart xmlns:c="http://schemas.openxmlformats.org/drawingml/2006/chart" xmlns:r="http://schemas.openxmlformats.org/officeDocument/2006/relationships" r:id="rId18"/>
              </a:graphicData>
            </a:graphic>
          </wp:inline>
        </w:drawing>
      </w:r>
    </w:p>
    <w:p w:rsidR="000D1730" w:rsidP="000D1730" w14:paraId="1D7EE0DB" w14:textId="77777777">
      <w:pPr>
        <w:pStyle w:val="Source00"/>
      </w:pPr>
      <w:r>
        <w:rPr>
          <w:rFonts w:hint="eastAsia"/>
        </w:rPr>
        <w:t>资料来源：第三方资料、新闻报道、业内专家采访及</w:t>
      </w:r>
      <w:r>
        <w:rPr>
          <w:rFonts w:hint="eastAsia"/>
        </w:rPr>
        <w:t>QYResearch</w:t>
      </w:r>
      <w:r>
        <w:rPr>
          <w:rFonts w:hint="eastAsia"/>
        </w:rPr>
        <w:t>整理研究，</w:t>
      </w:r>
      <w:r>
        <w:rPr>
          <w:rFonts w:hint="eastAsia"/>
        </w:rPr>
        <w:t>2024</w:t>
      </w:r>
      <w:r>
        <w:rPr>
          <w:rFonts w:hint="eastAsia"/>
        </w:rPr>
        <w:t>年</w:t>
      </w:r>
    </w:p>
    <w:p w:rsidR="000D1730" w:rsidRPr="006A20F2" w:rsidP="000D1730" w14:paraId="35B0EE69" w14:textId="77777777">
      <w:pPr>
        <w:pStyle w:val="Heading20"/>
      </w:pPr>
      <w:r>
        <w:rPr>
          <w:rFonts w:hint="eastAsia"/>
        </w:rPr>
        <w:t>马来西亚市场规模</w:t>
      </w:r>
    </w:p>
    <w:p w:rsidR="000D1730" w:rsidP="000D1730" w14:paraId="5FB6F714" w14:textId="77777777">
      <w:pPr>
        <w:pStyle w:val="Heading30"/>
      </w:pPr>
      <w:r>
        <w:rPr>
          <w:rFonts w:hint="eastAsia"/>
        </w:rPr>
        <w:t>马来西亚市场</w:t>
      </w:r>
      <w:r>
        <w:rPr>
          <w:rFonts w:hint="eastAsia"/>
        </w:rPr>
        <w:t>电子式热分配表(HCA)</w:t>
      </w:r>
      <w:r>
        <w:rPr>
          <w:rFonts w:hint="eastAsia"/>
        </w:rPr>
        <w:t>收入规模</w:t>
      </w:r>
      <w:r w:rsidRPr="00F74FCA">
        <w:rPr>
          <w:rFonts w:hint="eastAsia"/>
        </w:rPr>
        <w:t>及增长率（</w:t>
      </w:r>
      <w:r>
        <w:rPr>
          <w:rFonts w:hint="eastAsia"/>
        </w:rPr>
        <w:t>2019-2030</w:t>
      </w:r>
      <w:r w:rsidRPr="00F74FCA">
        <w:rPr>
          <w:rFonts w:hint="eastAsia"/>
        </w:rPr>
        <w:t>）</w:t>
      </w:r>
    </w:p>
    <w:p w:rsidR="000D1730" w:rsidRPr="005868B1" w:rsidP="000D1730" w14:paraId="0931984E" w14:textId="77777777">
      <w:pPr>
        <w:pStyle w:val="FigureStyle00"/>
      </w:pPr>
      <w:r>
        <w:rPr>
          <w:rFonts w:hint="eastAsia"/>
        </w:rPr>
        <w:t>马来西亚市场</w:t>
      </w:r>
      <w:r>
        <w:rPr>
          <w:rFonts w:hint="eastAsia"/>
        </w:rPr>
        <w:t>电子式热分配表(HCA)</w:t>
      </w:r>
      <w:r>
        <w:rPr>
          <w:rFonts w:hint="eastAsia"/>
        </w:rPr>
        <w:t>销售额</w:t>
      </w:r>
      <w:r w:rsidRPr="005868B1">
        <w:rPr>
          <w:rFonts w:hint="eastAsia"/>
        </w:rPr>
        <w:t>及增长率（</w:t>
      </w:r>
      <w:r w:rsidRPr="005868B1">
        <w:rPr>
          <w:rFonts w:hint="eastAsia"/>
        </w:rPr>
        <w:t>2019-2030</w:t>
      </w:r>
      <w:r w:rsidRPr="005868B1">
        <w:rPr>
          <w:rFonts w:hint="eastAsia"/>
        </w:rPr>
        <w:t>）</w:t>
      </w:r>
      <w:r w:rsidRPr="005868B1">
        <w:rPr>
          <w:rFonts w:hint="eastAsia"/>
        </w:rPr>
        <w:t>&amp;</w:t>
      </w:r>
      <w:r w:rsidRPr="005868B1">
        <w:rPr>
          <w:rFonts w:hint="eastAsia"/>
        </w:rPr>
        <w:t>（</w:t>
      </w:r>
      <w:r>
        <w:rPr>
          <w:rFonts w:hint="eastAsia"/>
        </w:rPr>
        <w:t>百</w:t>
      </w:r>
      <w:r w:rsidRPr="005868B1">
        <w:rPr>
          <w:rFonts w:hint="eastAsia"/>
        </w:rPr>
        <w:t>万元）</w:t>
      </w:r>
    </w:p>
    <w:p w:rsidR="000D1730" w:rsidRPr="007459E0" w:rsidP="000D1730" w14:paraId="4EAC9A3D" w14:textId="77777777">
      <w:pPr>
        <w:pStyle w:val="Normal0"/>
      </w:pPr>
      <w:r>
        <w:rPr>
          <w:noProof/>
        </w:rPr>
        <w:drawing>
          <wp:inline distT="0" distB="0" distL="0" distR="0">
            <wp:extent cx="6192520" cy="2814955"/>
            <wp:effectExtent l="0" t="0" r="0" b="4445"/>
            <wp:docPr id="747946377" name="图表 1">
              <a:extLst xmlns:a="http://schemas.openxmlformats.org/drawingml/2006/main">
                <a:ext xmlns:a="http://schemas.openxmlformats.org/drawingml/2006/main" uri="{FF2B5EF4-FFF2-40B4-BE49-F238E27FC236}">
                  <a16:creationId xmlns:a16="http://schemas.microsoft.com/office/drawing/2014/main" id="{00000000-0008-0000-0700-000041000000}"/>
                </a:ext>
              </a:extLst>
            </wp:docPr>
            <wp:cNvGraphicFramePr/>
            <a:graphic xmlns:a="http://schemas.openxmlformats.org/drawingml/2006/main">
              <a:graphicData uri="http://schemas.openxmlformats.org/drawingml/2006/chart">
                <c:chart xmlns:c="http://schemas.openxmlformats.org/drawingml/2006/chart" xmlns:r="http://schemas.openxmlformats.org/officeDocument/2006/relationships" r:id="rId19"/>
              </a:graphicData>
            </a:graphic>
          </wp:inline>
        </w:drawing>
      </w:r>
    </w:p>
    <w:p w:rsidR="000D1730" w:rsidP="000D1730" w14:paraId="4EA5EEF3" w14:textId="77777777">
      <w:pPr>
        <w:pStyle w:val="Source00"/>
      </w:pPr>
      <w:r>
        <w:rPr>
          <w:rFonts w:hint="eastAsia"/>
        </w:rPr>
        <w:t>资料来源：第三方资料、新闻报道、业内专家采访及</w:t>
      </w:r>
      <w:r>
        <w:rPr>
          <w:rFonts w:hint="eastAsia"/>
        </w:rPr>
        <w:t>QYResearch</w:t>
      </w:r>
      <w:r>
        <w:rPr>
          <w:rFonts w:hint="eastAsia"/>
        </w:rPr>
        <w:t>整理研究，</w:t>
      </w:r>
      <w:r>
        <w:rPr>
          <w:rFonts w:hint="eastAsia"/>
        </w:rPr>
        <w:t>2024</w:t>
      </w:r>
      <w:r>
        <w:rPr>
          <w:rFonts w:hint="eastAsia"/>
        </w:rPr>
        <w:t>年</w:t>
      </w:r>
    </w:p>
    <w:p w:rsidR="000D1730" w:rsidRPr="004C6793" w:rsidP="000D1730" w14:paraId="4ECCC37B" w14:textId="77777777">
      <w:pPr>
        <w:pStyle w:val="Heading30"/>
      </w:pPr>
      <w:r>
        <w:rPr>
          <w:rFonts w:hint="eastAsia"/>
        </w:rPr>
        <w:t>马来西亚市场</w:t>
      </w:r>
      <w:r>
        <w:rPr>
          <w:rFonts w:hint="eastAsia"/>
        </w:rPr>
        <w:t>电子式热分配表(HCA)</w:t>
      </w:r>
      <w:r>
        <w:rPr>
          <w:rFonts w:hint="eastAsia"/>
        </w:rPr>
        <w:t>销量</w:t>
      </w:r>
      <w:r w:rsidRPr="00F74FCA">
        <w:rPr>
          <w:rFonts w:hint="eastAsia"/>
        </w:rPr>
        <w:t>及增长率（</w:t>
      </w:r>
      <w:r>
        <w:rPr>
          <w:rFonts w:hint="eastAsia"/>
        </w:rPr>
        <w:t>2019-2030</w:t>
      </w:r>
      <w:r w:rsidRPr="00F74FCA">
        <w:rPr>
          <w:rFonts w:hint="eastAsia"/>
        </w:rPr>
        <w:t>）</w:t>
      </w:r>
    </w:p>
    <w:p w:rsidR="000D1730" w:rsidRPr="005868B1" w:rsidP="000D1730" w14:paraId="20743268" w14:textId="77777777">
      <w:pPr>
        <w:pStyle w:val="FigureStyle00"/>
      </w:pPr>
      <w:r>
        <w:rPr>
          <w:rFonts w:hint="eastAsia"/>
        </w:rPr>
        <w:t>马来西亚市场</w:t>
      </w:r>
      <w:r>
        <w:rPr>
          <w:rFonts w:hint="eastAsia"/>
        </w:rPr>
        <w:t>电子式热分配表(HCA)</w:t>
      </w:r>
      <w:r w:rsidRPr="005868B1">
        <w:rPr>
          <w:rFonts w:hint="eastAsia"/>
        </w:rPr>
        <w:t>销量及增长率（</w:t>
      </w:r>
      <w:r w:rsidRPr="005868B1">
        <w:rPr>
          <w:rFonts w:hint="eastAsia"/>
        </w:rPr>
        <w:t>2019-2030</w:t>
      </w:r>
      <w:r w:rsidRPr="005868B1">
        <w:rPr>
          <w:rFonts w:hint="eastAsia"/>
        </w:rPr>
        <w:t>）</w:t>
      </w:r>
      <w:r w:rsidRPr="005868B1">
        <w:rPr>
          <w:rFonts w:hint="eastAsia"/>
        </w:rPr>
        <w:t>&amp;</w:t>
      </w:r>
      <w:r w:rsidRPr="005868B1">
        <w:rPr>
          <w:rFonts w:hint="eastAsia"/>
        </w:rPr>
        <w:t>（</w:t>
      </w:r>
      <w:r w:rsidRPr="005868B1">
        <w:t>千个</w:t>
      </w:r>
      <w:r w:rsidRPr="005868B1">
        <w:rPr>
          <w:rFonts w:hint="eastAsia"/>
        </w:rPr>
        <w:t>）</w:t>
      </w:r>
    </w:p>
    <w:p w:rsidR="000D1730" w:rsidRPr="00925ECF" w:rsidP="000D1730" w14:paraId="24BE88C3" w14:textId="77777777">
      <w:pPr>
        <w:pStyle w:val="Normal0"/>
      </w:pPr>
      <w:r>
        <w:rPr>
          <w:noProof/>
        </w:rPr>
        <w:drawing>
          <wp:inline distT="0" distB="0" distL="0" distR="0">
            <wp:extent cx="6192520" cy="2814955"/>
            <wp:effectExtent l="0" t="0" r="0" b="4445"/>
            <wp:docPr id="1406828020" name="图表 1">
              <a:extLst xmlns:a="http://schemas.openxmlformats.org/drawingml/2006/main">
                <a:ext xmlns:a="http://schemas.openxmlformats.org/drawingml/2006/main" uri="{FF2B5EF4-FFF2-40B4-BE49-F238E27FC236}">
                  <a16:creationId xmlns:a16="http://schemas.microsoft.com/office/drawing/2014/main" id="{00000000-0008-0000-0700-000041000000}"/>
                </a:ext>
              </a:extLst>
            </wp:docPr>
            <wp:cNvGraphicFramePr/>
            <a:graphic xmlns:a="http://schemas.openxmlformats.org/drawingml/2006/main">
              <a:graphicData uri="http://schemas.openxmlformats.org/drawingml/2006/chart">
                <c:chart xmlns:c="http://schemas.openxmlformats.org/drawingml/2006/chart" xmlns:r="http://schemas.openxmlformats.org/officeDocument/2006/relationships" r:id="rId20"/>
              </a:graphicData>
            </a:graphic>
          </wp:inline>
        </w:drawing>
      </w:r>
    </w:p>
    <w:p w:rsidR="000D1730" w:rsidP="000D1730">
      <w:pPr>
        <w:pStyle w:val="Source00"/>
      </w:pPr>
      <w:r>
        <w:rPr>
          <w:rFonts w:hint="eastAsia"/>
        </w:rPr>
        <w:t>资料来源：第三方资料、新闻报道、业内专家采访及</w:t>
      </w:r>
      <w:r>
        <w:rPr>
          <w:rFonts w:hint="eastAsia"/>
        </w:rPr>
        <w:t>QYResearch</w:t>
      </w:r>
      <w:r>
        <w:rPr>
          <w:rFonts w:hint="eastAsia"/>
        </w:rPr>
        <w:t>整理研究，</w:t>
      </w:r>
      <w:r>
        <w:rPr>
          <w:rFonts w:hint="eastAsia"/>
        </w:rPr>
        <w:t>2024</w:t>
      </w:r>
      <w:r>
        <w:rPr>
          <w:rFonts w:hint="eastAsia"/>
        </w:rPr>
        <w:t>年</w:t>
      </w:r>
    </w:p>
    <w:p w:rsidR="000D1730" w:rsidRPr="006A20F2" w:rsidP="000D1730" w14:paraId="3BEB77D1" w14:textId="77777777">
      <w:pPr>
        <w:pStyle w:val="Heading20"/>
      </w:pPr>
      <w:r>
        <w:rPr>
          <w:rFonts w:hint="eastAsia"/>
        </w:rPr>
        <w:t>菲律宾市场规模</w:t>
      </w:r>
    </w:p>
    <w:p w:rsidR="000D1730" w:rsidP="000D1730" w14:paraId="53606710" w14:textId="77777777">
      <w:pPr>
        <w:pStyle w:val="Heading30"/>
      </w:pPr>
      <w:r>
        <w:rPr>
          <w:rFonts w:hint="eastAsia"/>
        </w:rPr>
        <w:t>菲律宾市场</w:t>
      </w:r>
      <w:r>
        <w:rPr>
          <w:rFonts w:hint="eastAsia"/>
        </w:rPr>
        <w:t>电子式热分配表(HCA)</w:t>
      </w:r>
      <w:r>
        <w:rPr>
          <w:rFonts w:hint="eastAsia"/>
        </w:rPr>
        <w:t>收入规模</w:t>
      </w:r>
      <w:r w:rsidRPr="00F74FCA">
        <w:rPr>
          <w:rFonts w:hint="eastAsia"/>
        </w:rPr>
        <w:t>及增长率（</w:t>
      </w:r>
      <w:r>
        <w:rPr>
          <w:rFonts w:hint="eastAsia"/>
        </w:rPr>
        <w:t>2019-2030</w:t>
      </w:r>
      <w:r w:rsidRPr="00F74FCA">
        <w:rPr>
          <w:rFonts w:hint="eastAsia"/>
        </w:rPr>
        <w:t>）</w:t>
      </w:r>
    </w:p>
    <w:p w:rsidR="000D1730" w:rsidRPr="005868B1" w:rsidP="000D1730" w14:paraId="345EBE5C" w14:textId="77777777">
      <w:pPr>
        <w:pStyle w:val="FigureStyle00"/>
      </w:pPr>
      <w:r>
        <w:rPr>
          <w:rFonts w:hint="eastAsia"/>
        </w:rPr>
        <w:t>菲律宾市场</w:t>
      </w:r>
      <w:r>
        <w:rPr>
          <w:rFonts w:hint="eastAsia"/>
        </w:rPr>
        <w:t>电子式热分配表(HCA)</w:t>
      </w:r>
      <w:r>
        <w:rPr>
          <w:rFonts w:hint="eastAsia"/>
        </w:rPr>
        <w:t>销售额</w:t>
      </w:r>
      <w:r w:rsidRPr="005868B1">
        <w:rPr>
          <w:rFonts w:hint="eastAsia"/>
        </w:rPr>
        <w:t>及增长率（</w:t>
      </w:r>
      <w:r w:rsidRPr="005868B1">
        <w:rPr>
          <w:rFonts w:hint="eastAsia"/>
        </w:rPr>
        <w:t>2019-2030</w:t>
      </w:r>
      <w:r w:rsidRPr="005868B1">
        <w:rPr>
          <w:rFonts w:hint="eastAsia"/>
        </w:rPr>
        <w:t>）</w:t>
      </w:r>
      <w:r w:rsidRPr="005868B1">
        <w:rPr>
          <w:rFonts w:hint="eastAsia"/>
        </w:rPr>
        <w:t>&amp;</w:t>
      </w:r>
      <w:r w:rsidRPr="005868B1">
        <w:rPr>
          <w:rFonts w:hint="eastAsia"/>
        </w:rPr>
        <w:t>（</w:t>
      </w:r>
      <w:r>
        <w:rPr>
          <w:rFonts w:hint="eastAsia"/>
        </w:rPr>
        <w:t>百</w:t>
      </w:r>
      <w:r w:rsidRPr="005868B1">
        <w:rPr>
          <w:rFonts w:hint="eastAsia"/>
        </w:rPr>
        <w:t>万元）</w:t>
      </w:r>
    </w:p>
    <w:p w:rsidR="000D1730" w:rsidRPr="007459E0" w:rsidP="000D1730" w14:paraId="31B99854" w14:textId="77777777">
      <w:pPr>
        <w:pStyle w:val="Normal0"/>
      </w:pPr>
      <w:r>
        <w:rPr>
          <w:noProof/>
        </w:rPr>
        <w:drawing>
          <wp:inline distT="0" distB="0" distL="0" distR="0">
            <wp:extent cx="6192520" cy="2814955"/>
            <wp:effectExtent l="0" t="0" r="0" b="4445"/>
            <wp:docPr id="1147587316" name="图表 1">
              <a:extLst xmlns:a="http://schemas.openxmlformats.org/drawingml/2006/main">
                <a:ext xmlns:a="http://schemas.openxmlformats.org/drawingml/2006/main" uri="{FF2B5EF4-FFF2-40B4-BE49-F238E27FC236}">
                  <a16:creationId xmlns:a16="http://schemas.microsoft.com/office/drawing/2014/main" id="{00000000-0008-0000-0700-000041000000}"/>
                </a:ext>
              </a:extLst>
            </wp:docPr>
            <wp:cNvGraphicFramePr/>
            <a:graphic xmlns:a="http://schemas.openxmlformats.org/drawingml/2006/main">
              <a:graphicData uri="http://schemas.openxmlformats.org/drawingml/2006/chart">
                <c:chart xmlns:c="http://schemas.openxmlformats.org/drawingml/2006/chart" xmlns:r="http://schemas.openxmlformats.org/officeDocument/2006/relationships" r:id="rId21"/>
              </a:graphicData>
            </a:graphic>
          </wp:inline>
        </w:drawing>
      </w:r>
    </w:p>
    <w:p w:rsidR="000D1730" w:rsidP="000D1730" w14:paraId="38159E3D" w14:textId="77777777">
      <w:pPr>
        <w:pStyle w:val="Source00"/>
      </w:pPr>
      <w:r>
        <w:rPr>
          <w:rFonts w:hint="eastAsia"/>
        </w:rPr>
        <w:t>资料来源：第三方资料、新闻报道、业内专家采访及</w:t>
      </w:r>
      <w:r>
        <w:rPr>
          <w:rFonts w:hint="eastAsia"/>
        </w:rPr>
        <w:t>QYResearch</w:t>
      </w:r>
      <w:r>
        <w:rPr>
          <w:rFonts w:hint="eastAsia"/>
        </w:rPr>
        <w:t>整理研究，</w:t>
      </w:r>
      <w:r>
        <w:rPr>
          <w:rFonts w:hint="eastAsia"/>
        </w:rPr>
        <w:t>2024</w:t>
      </w:r>
      <w:r>
        <w:rPr>
          <w:rFonts w:hint="eastAsia"/>
        </w:rPr>
        <w:t>年</w:t>
      </w:r>
    </w:p>
    <w:p w:rsidR="000D1730" w:rsidRPr="004C6793" w:rsidP="000D1730" w14:paraId="30646E31" w14:textId="77777777">
      <w:pPr>
        <w:pStyle w:val="Heading30"/>
      </w:pPr>
      <w:r>
        <w:rPr>
          <w:rFonts w:hint="eastAsia"/>
        </w:rPr>
        <w:t>菲律宾市场</w:t>
      </w:r>
      <w:r>
        <w:rPr>
          <w:rFonts w:hint="eastAsia"/>
        </w:rPr>
        <w:t>电子式热分配表(HCA)</w:t>
      </w:r>
      <w:r>
        <w:rPr>
          <w:rFonts w:hint="eastAsia"/>
        </w:rPr>
        <w:t>销量</w:t>
      </w:r>
      <w:r w:rsidRPr="00F74FCA">
        <w:rPr>
          <w:rFonts w:hint="eastAsia"/>
        </w:rPr>
        <w:t>及增长率（</w:t>
      </w:r>
      <w:r>
        <w:rPr>
          <w:rFonts w:hint="eastAsia"/>
        </w:rPr>
        <w:t>2019-2030</w:t>
      </w:r>
      <w:r w:rsidRPr="00F74FCA">
        <w:rPr>
          <w:rFonts w:hint="eastAsia"/>
        </w:rPr>
        <w:t>）</w:t>
      </w:r>
    </w:p>
    <w:p w:rsidR="000D1730" w:rsidRPr="005868B1" w:rsidP="000D1730" w14:paraId="17E41416" w14:textId="77777777">
      <w:pPr>
        <w:pStyle w:val="FigureStyle00"/>
      </w:pPr>
      <w:r>
        <w:rPr>
          <w:rFonts w:hint="eastAsia"/>
        </w:rPr>
        <w:t>菲律宾市场</w:t>
      </w:r>
      <w:r>
        <w:rPr>
          <w:rFonts w:hint="eastAsia"/>
        </w:rPr>
        <w:t>电子式热分配表(HCA)</w:t>
      </w:r>
      <w:r w:rsidRPr="005868B1">
        <w:rPr>
          <w:rFonts w:hint="eastAsia"/>
        </w:rPr>
        <w:t>销量及增长率（</w:t>
      </w:r>
      <w:r w:rsidRPr="005868B1">
        <w:rPr>
          <w:rFonts w:hint="eastAsia"/>
        </w:rPr>
        <w:t>2019-2030</w:t>
      </w:r>
      <w:r w:rsidRPr="005868B1">
        <w:rPr>
          <w:rFonts w:hint="eastAsia"/>
        </w:rPr>
        <w:t>）</w:t>
      </w:r>
      <w:r w:rsidRPr="005868B1">
        <w:rPr>
          <w:rFonts w:hint="eastAsia"/>
        </w:rPr>
        <w:t>&amp;</w:t>
      </w:r>
      <w:r w:rsidRPr="005868B1">
        <w:rPr>
          <w:rFonts w:hint="eastAsia"/>
        </w:rPr>
        <w:t>（</w:t>
      </w:r>
      <w:r w:rsidRPr="005868B1">
        <w:t>千个</w:t>
      </w:r>
      <w:r w:rsidRPr="005868B1">
        <w:rPr>
          <w:rFonts w:hint="eastAsia"/>
        </w:rPr>
        <w:t>）</w:t>
      </w:r>
    </w:p>
    <w:p w:rsidR="000D1730" w:rsidRPr="00925ECF" w:rsidP="000D1730" w14:paraId="23E35202" w14:textId="77777777">
      <w:pPr>
        <w:pStyle w:val="Normal0"/>
      </w:pPr>
      <w:r>
        <w:rPr>
          <w:noProof/>
        </w:rPr>
        <w:drawing>
          <wp:inline distT="0" distB="0" distL="0" distR="0">
            <wp:extent cx="6192520" cy="2814955"/>
            <wp:effectExtent l="0" t="0" r="0" b="4445"/>
            <wp:docPr id="696156569" name="图表 1">
              <a:extLst xmlns:a="http://schemas.openxmlformats.org/drawingml/2006/main">
                <a:ext xmlns:a="http://schemas.openxmlformats.org/drawingml/2006/main" uri="{FF2B5EF4-FFF2-40B4-BE49-F238E27FC236}">
                  <a16:creationId xmlns:a16="http://schemas.microsoft.com/office/drawing/2014/main" id="{00000000-0008-0000-0700-000041000000}"/>
                </a:ext>
              </a:extLst>
            </wp:docPr>
            <wp:cNvGraphicFramePr/>
            <a:graphic xmlns:a="http://schemas.openxmlformats.org/drawingml/2006/main">
              <a:graphicData uri="http://schemas.openxmlformats.org/drawingml/2006/chart">
                <c:chart xmlns:c="http://schemas.openxmlformats.org/drawingml/2006/chart" xmlns:r="http://schemas.openxmlformats.org/officeDocument/2006/relationships" r:id="rId22"/>
              </a:graphicData>
            </a:graphic>
          </wp:inline>
        </w:drawing>
      </w:r>
    </w:p>
    <w:p w:rsidR="000D1730" w:rsidP="000D1730">
      <w:pPr>
        <w:pStyle w:val="Source00"/>
      </w:pPr>
      <w:r>
        <w:rPr>
          <w:rFonts w:hint="eastAsia"/>
        </w:rPr>
        <w:t>资料来源：第三方资料、新闻报道、业内专家采访及</w:t>
      </w:r>
      <w:r>
        <w:rPr>
          <w:rFonts w:hint="eastAsia"/>
        </w:rPr>
        <w:t>QYResearch</w:t>
      </w:r>
      <w:r>
        <w:rPr>
          <w:rFonts w:hint="eastAsia"/>
        </w:rPr>
        <w:t>整理研究，</w:t>
      </w:r>
      <w:r>
        <w:rPr>
          <w:rFonts w:hint="eastAsia"/>
        </w:rPr>
        <w:t>2024</w:t>
      </w:r>
      <w:r>
        <w:rPr>
          <w:rFonts w:hint="eastAsia"/>
        </w:rPr>
        <w:t>年</w:t>
      </w:r>
    </w:p>
    <w:p w:rsidR="000D1730" w:rsidRPr="006A20F2" w:rsidP="000D1730" w14:paraId="5FC75BA9" w14:textId="77777777">
      <w:pPr>
        <w:pStyle w:val="Heading20"/>
      </w:pPr>
      <w:r>
        <w:rPr>
          <w:rFonts w:hint="eastAsia"/>
        </w:rPr>
        <w:t>新加坡市场规模</w:t>
      </w:r>
    </w:p>
    <w:p w:rsidR="000D1730" w:rsidP="000D1730" w14:paraId="7E144479" w14:textId="77777777">
      <w:pPr>
        <w:pStyle w:val="Heading30"/>
      </w:pPr>
      <w:r>
        <w:rPr>
          <w:rFonts w:hint="eastAsia"/>
        </w:rPr>
        <w:t>新加坡市场</w:t>
      </w:r>
      <w:r>
        <w:rPr>
          <w:rFonts w:hint="eastAsia"/>
        </w:rPr>
        <w:t>电子式热分配表(HCA)</w:t>
      </w:r>
      <w:r>
        <w:rPr>
          <w:rFonts w:hint="eastAsia"/>
        </w:rPr>
        <w:t>收入规模</w:t>
      </w:r>
      <w:r w:rsidRPr="00F74FCA">
        <w:rPr>
          <w:rFonts w:hint="eastAsia"/>
        </w:rPr>
        <w:t>及增长率（</w:t>
      </w:r>
      <w:r>
        <w:rPr>
          <w:rFonts w:hint="eastAsia"/>
        </w:rPr>
        <w:t>2019-2030</w:t>
      </w:r>
      <w:r w:rsidRPr="00F74FCA">
        <w:rPr>
          <w:rFonts w:hint="eastAsia"/>
        </w:rPr>
        <w:t>）</w:t>
      </w:r>
    </w:p>
    <w:p w:rsidR="000D1730" w:rsidRPr="005868B1" w:rsidP="000D1730" w14:paraId="6A93CD3E" w14:textId="77777777">
      <w:pPr>
        <w:pStyle w:val="FigureStyle00"/>
      </w:pPr>
      <w:r>
        <w:rPr>
          <w:rFonts w:hint="eastAsia"/>
        </w:rPr>
        <w:t>新加坡市场</w:t>
      </w:r>
      <w:r>
        <w:rPr>
          <w:rFonts w:hint="eastAsia"/>
        </w:rPr>
        <w:t>电子式热分配表(HCA)</w:t>
      </w:r>
      <w:r>
        <w:rPr>
          <w:rFonts w:hint="eastAsia"/>
        </w:rPr>
        <w:t>销售额</w:t>
      </w:r>
      <w:r w:rsidRPr="005868B1">
        <w:rPr>
          <w:rFonts w:hint="eastAsia"/>
        </w:rPr>
        <w:t>及增长率（</w:t>
      </w:r>
      <w:r w:rsidRPr="005868B1">
        <w:rPr>
          <w:rFonts w:hint="eastAsia"/>
        </w:rPr>
        <w:t>2019-2030</w:t>
      </w:r>
      <w:r w:rsidRPr="005868B1">
        <w:rPr>
          <w:rFonts w:hint="eastAsia"/>
        </w:rPr>
        <w:t>）</w:t>
      </w:r>
      <w:r w:rsidRPr="005868B1">
        <w:rPr>
          <w:rFonts w:hint="eastAsia"/>
        </w:rPr>
        <w:t>&amp;</w:t>
      </w:r>
      <w:r w:rsidRPr="005868B1">
        <w:rPr>
          <w:rFonts w:hint="eastAsia"/>
        </w:rPr>
        <w:t>（</w:t>
      </w:r>
      <w:r>
        <w:rPr>
          <w:rFonts w:hint="eastAsia"/>
        </w:rPr>
        <w:t>百</w:t>
      </w:r>
      <w:r w:rsidRPr="005868B1">
        <w:rPr>
          <w:rFonts w:hint="eastAsia"/>
        </w:rPr>
        <w:t>万元）</w:t>
      </w:r>
    </w:p>
    <w:p w:rsidR="000D1730" w:rsidRPr="007459E0" w:rsidP="000D1730" w14:paraId="4335A3F5" w14:textId="77777777">
      <w:pPr>
        <w:pStyle w:val="Normal0"/>
      </w:pPr>
      <w:r>
        <w:rPr>
          <w:noProof/>
        </w:rPr>
        <w:drawing>
          <wp:inline distT="0" distB="0" distL="0" distR="0">
            <wp:extent cx="6192520" cy="2814955"/>
            <wp:effectExtent l="0" t="0" r="0" b="4445"/>
            <wp:docPr id="1824269673" name="图表 1">
              <a:extLst xmlns:a="http://schemas.openxmlformats.org/drawingml/2006/main">
                <a:ext xmlns:a="http://schemas.openxmlformats.org/drawingml/2006/main" uri="{FF2B5EF4-FFF2-40B4-BE49-F238E27FC236}">
                  <a16:creationId xmlns:a16="http://schemas.microsoft.com/office/drawing/2014/main" id="{00000000-0008-0000-0700-000041000000}"/>
                </a:ext>
              </a:extLst>
            </wp:docPr>
            <wp:cNvGraphicFramePr/>
            <a:graphic xmlns:a="http://schemas.openxmlformats.org/drawingml/2006/main">
              <a:graphicData uri="http://schemas.openxmlformats.org/drawingml/2006/chart">
                <c:chart xmlns:c="http://schemas.openxmlformats.org/drawingml/2006/chart" xmlns:r="http://schemas.openxmlformats.org/officeDocument/2006/relationships" r:id="rId23"/>
              </a:graphicData>
            </a:graphic>
          </wp:inline>
        </w:drawing>
      </w:r>
    </w:p>
    <w:p w:rsidR="000D1730" w:rsidP="000D1730" w14:paraId="7BDFBF13" w14:textId="77777777">
      <w:pPr>
        <w:pStyle w:val="Source00"/>
      </w:pPr>
      <w:r>
        <w:rPr>
          <w:rFonts w:hint="eastAsia"/>
        </w:rPr>
        <w:t>资料来源：第三方资料、新闻报道、业内专家采访及</w:t>
      </w:r>
      <w:r>
        <w:rPr>
          <w:rFonts w:hint="eastAsia"/>
        </w:rPr>
        <w:t>QYResearch</w:t>
      </w:r>
      <w:r>
        <w:rPr>
          <w:rFonts w:hint="eastAsia"/>
        </w:rPr>
        <w:t>整理研究，</w:t>
      </w:r>
      <w:r>
        <w:rPr>
          <w:rFonts w:hint="eastAsia"/>
        </w:rPr>
        <w:t>2024</w:t>
      </w:r>
      <w:r>
        <w:rPr>
          <w:rFonts w:hint="eastAsia"/>
        </w:rPr>
        <w:t>年</w:t>
      </w:r>
    </w:p>
    <w:p w:rsidR="000D1730" w:rsidRPr="004C6793" w:rsidP="000D1730" w14:paraId="51B22A45" w14:textId="77777777">
      <w:pPr>
        <w:pStyle w:val="Heading30"/>
      </w:pPr>
      <w:r>
        <w:rPr>
          <w:rFonts w:hint="eastAsia"/>
        </w:rPr>
        <w:t>新加坡市场</w:t>
      </w:r>
      <w:r>
        <w:rPr>
          <w:rFonts w:hint="eastAsia"/>
        </w:rPr>
        <w:t>电子式热分配表(HCA)</w:t>
      </w:r>
      <w:r>
        <w:rPr>
          <w:rFonts w:hint="eastAsia"/>
        </w:rPr>
        <w:t>销量</w:t>
      </w:r>
      <w:r w:rsidRPr="00F74FCA">
        <w:rPr>
          <w:rFonts w:hint="eastAsia"/>
        </w:rPr>
        <w:t>及增长率（</w:t>
      </w:r>
      <w:r>
        <w:rPr>
          <w:rFonts w:hint="eastAsia"/>
        </w:rPr>
        <w:t>2019-2030</w:t>
      </w:r>
      <w:r w:rsidRPr="00F74FCA">
        <w:rPr>
          <w:rFonts w:hint="eastAsia"/>
        </w:rPr>
        <w:t>）</w:t>
      </w:r>
    </w:p>
    <w:p w:rsidR="000D1730" w:rsidRPr="005868B1" w:rsidP="000D1730" w14:paraId="3B0C8856" w14:textId="77777777">
      <w:pPr>
        <w:pStyle w:val="FigureStyle00"/>
      </w:pPr>
      <w:r>
        <w:rPr>
          <w:rFonts w:hint="eastAsia"/>
        </w:rPr>
        <w:t>新加坡市场</w:t>
      </w:r>
      <w:r>
        <w:rPr>
          <w:rFonts w:hint="eastAsia"/>
        </w:rPr>
        <w:t>电子式热分配表(HCA)</w:t>
      </w:r>
      <w:r w:rsidRPr="005868B1">
        <w:rPr>
          <w:rFonts w:hint="eastAsia"/>
        </w:rPr>
        <w:t>销量及增长率（</w:t>
      </w:r>
      <w:r w:rsidRPr="005868B1">
        <w:rPr>
          <w:rFonts w:hint="eastAsia"/>
        </w:rPr>
        <w:t>2019-2030</w:t>
      </w:r>
      <w:r w:rsidRPr="005868B1">
        <w:rPr>
          <w:rFonts w:hint="eastAsia"/>
        </w:rPr>
        <w:t>）</w:t>
      </w:r>
      <w:r w:rsidRPr="005868B1">
        <w:rPr>
          <w:rFonts w:hint="eastAsia"/>
        </w:rPr>
        <w:t>&amp;</w:t>
      </w:r>
      <w:r w:rsidRPr="005868B1">
        <w:rPr>
          <w:rFonts w:hint="eastAsia"/>
        </w:rPr>
        <w:t>（</w:t>
      </w:r>
      <w:r w:rsidRPr="005868B1">
        <w:t>千个</w:t>
      </w:r>
      <w:r w:rsidRPr="005868B1">
        <w:rPr>
          <w:rFonts w:hint="eastAsia"/>
        </w:rPr>
        <w:t>）</w:t>
      </w:r>
    </w:p>
    <w:p w:rsidR="000D1730" w:rsidRPr="00925ECF" w:rsidP="000D1730" w14:paraId="6AD71AF7" w14:textId="77777777">
      <w:pPr>
        <w:pStyle w:val="Normal0"/>
      </w:pPr>
      <w:r>
        <w:rPr>
          <w:noProof/>
        </w:rPr>
        <w:drawing>
          <wp:inline distT="0" distB="0" distL="0" distR="0">
            <wp:extent cx="6192520" cy="2814955"/>
            <wp:effectExtent l="0" t="0" r="0" b="4445"/>
            <wp:docPr id="2102009901" name="图表 1">
              <a:extLst xmlns:a="http://schemas.openxmlformats.org/drawingml/2006/main">
                <a:ext xmlns:a="http://schemas.openxmlformats.org/drawingml/2006/main" uri="{FF2B5EF4-FFF2-40B4-BE49-F238E27FC236}">
                  <a16:creationId xmlns:a16="http://schemas.microsoft.com/office/drawing/2014/main" id="{00000000-0008-0000-0700-000041000000}"/>
                </a:ext>
              </a:extLst>
            </wp:docPr>
            <wp:cNvGraphicFramePr/>
            <a:graphic xmlns:a="http://schemas.openxmlformats.org/drawingml/2006/main">
              <a:graphicData uri="http://schemas.openxmlformats.org/drawingml/2006/chart">
                <c:chart xmlns:c="http://schemas.openxmlformats.org/drawingml/2006/chart" xmlns:r="http://schemas.openxmlformats.org/officeDocument/2006/relationships" r:id="rId24"/>
              </a:graphicData>
            </a:graphic>
          </wp:inline>
        </w:drawing>
      </w:r>
    </w:p>
    <w:p w:rsidR="000D1730" w:rsidP="000D1730">
      <w:pPr>
        <w:pStyle w:val="Source00"/>
      </w:pPr>
      <w:r>
        <w:rPr>
          <w:rFonts w:hint="eastAsia"/>
        </w:rPr>
        <w:t>资料来源：第三方资料、新闻报道、业内专家采访及</w:t>
      </w:r>
      <w:r>
        <w:rPr>
          <w:rFonts w:hint="eastAsia"/>
        </w:rPr>
        <w:t>QYResearch</w:t>
      </w:r>
      <w:r>
        <w:rPr>
          <w:rFonts w:hint="eastAsia"/>
        </w:rPr>
        <w:t>整理研究，</w:t>
      </w:r>
      <w:r>
        <w:rPr>
          <w:rFonts w:hint="eastAsia"/>
        </w:rPr>
        <w:t>2024</w:t>
      </w:r>
      <w:r>
        <w:rPr>
          <w:rFonts w:hint="eastAsia"/>
        </w:rPr>
        <w:t>年</w:t>
      </w:r>
    </w:p>
    <w:p w:rsidR="000D1730" w:rsidRPr="006A20F2" w:rsidP="000D1730" w14:paraId="2B298B0A" w14:textId="77777777">
      <w:pPr>
        <w:pStyle w:val="Heading20"/>
      </w:pPr>
      <w:r>
        <w:rPr>
          <w:rFonts w:hint="eastAsia"/>
        </w:rPr>
        <w:t>泰国市场规模</w:t>
      </w:r>
    </w:p>
    <w:p w:rsidR="000D1730" w:rsidP="000D1730" w14:paraId="73C7C536" w14:textId="77777777">
      <w:pPr>
        <w:pStyle w:val="Heading30"/>
      </w:pPr>
      <w:r>
        <w:rPr>
          <w:rFonts w:hint="eastAsia"/>
        </w:rPr>
        <w:t>泰国市场</w:t>
      </w:r>
      <w:r>
        <w:rPr>
          <w:rFonts w:hint="eastAsia"/>
        </w:rPr>
        <w:t>电子式热分配表(HCA)</w:t>
      </w:r>
      <w:r>
        <w:rPr>
          <w:rFonts w:hint="eastAsia"/>
        </w:rPr>
        <w:t>收入规模</w:t>
      </w:r>
      <w:r w:rsidRPr="00F74FCA">
        <w:rPr>
          <w:rFonts w:hint="eastAsia"/>
        </w:rPr>
        <w:t>及增长率（</w:t>
      </w:r>
      <w:r>
        <w:rPr>
          <w:rFonts w:hint="eastAsia"/>
        </w:rPr>
        <w:t>2019-2030</w:t>
      </w:r>
      <w:r w:rsidRPr="00F74FCA">
        <w:rPr>
          <w:rFonts w:hint="eastAsia"/>
        </w:rPr>
        <w:t>）</w:t>
      </w:r>
    </w:p>
    <w:p w:rsidR="000D1730" w:rsidRPr="005868B1" w:rsidP="000D1730" w14:paraId="51E5ACDD" w14:textId="77777777">
      <w:pPr>
        <w:pStyle w:val="FigureStyle00"/>
      </w:pPr>
      <w:r>
        <w:rPr>
          <w:rFonts w:hint="eastAsia"/>
        </w:rPr>
        <w:t>泰国市场</w:t>
      </w:r>
      <w:r>
        <w:rPr>
          <w:rFonts w:hint="eastAsia"/>
        </w:rPr>
        <w:t>电子式热分配表(HCA)</w:t>
      </w:r>
      <w:r>
        <w:rPr>
          <w:rFonts w:hint="eastAsia"/>
        </w:rPr>
        <w:t>销售额</w:t>
      </w:r>
      <w:r w:rsidRPr="005868B1">
        <w:rPr>
          <w:rFonts w:hint="eastAsia"/>
        </w:rPr>
        <w:t>及增长率（</w:t>
      </w:r>
      <w:r w:rsidRPr="005868B1">
        <w:rPr>
          <w:rFonts w:hint="eastAsia"/>
        </w:rPr>
        <w:t>2019-2030</w:t>
      </w:r>
      <w:r w:rsidRPr="005868B1">
        <w:rPr>
          <w:rFonts w:hint="eastAsia"/>
        </w:rPr>
        <w:t>）</w:t>
      </w:r>
      <w:r w:rsidRPr="005868B1">
        <w:rPr>
          <w:rFonts w:hint="eastAsia"/>
        </w:rPr>
        <w:t>&amp;</w:t>
      </w:r>
      <w:r w:rsidRPr="005868B1">
        <w:rPr>
          <w:rFonts w:hint="eastAsia"/>
        </w:rPr>
        <w:t>（</w:t>
      </w:r>
      <w:r>
        <w:rPr>
          <w:rFonts w:hint="eastAsia"/>
        </w:rPr>
        <w:t>百</w:t>
      </w:r>
      <w:r w:rsidRPr="005868B1">
        <w:rPr>
          <w:rFonts w:hint="eastAsia"/>
        </w:rPr>
        <w:t>万元）</w:t>
      </w:r>
    </w:p>
    <w:p w:rsidR="000D1730" w:rsidRPr="007459E0" w:rsidP="000D1730" w14:paraId="73258B0D" w14:textId="77777777">
      <w:pPr>
        <w:pStyle w:val="Normal0"/>
      </w:pPr>
      <w:r>
        <w:rPr>
          <w:noProof/>
        </w:rPr>
        <w:drawing>
          <wp:inline distT="0" distB="0" distL="0" distR="0">
            <wp:extent cx="6192520" cy="2814955"/>
            <wp:effectExtent l="0" t="0" r="0" b="4445"/>
            <wp:docPr id="1593415018" name="图表 1">
              <a:extLst xmlns:a="http://schemas.openxmlformats.org/drawingml/2006/main">
                <a:ext xmlns:a="http://schemas.openxmlformats.org/drawingml/2006/main" uri="{FF2B5EF4-FFF2-40B4-BE49-F238E27FC236}">
                  <a16:creationId xmlns:a16="http://schemas.microsoft.com/office/drawing/2014/main" id="{00000000-0008-0000-0700-000041000000}"/>
                </a:ext>
              </a:extLst>
            </wp:docPr>
            <wp:cNvGraphicFramePr/>
            <a:graphic xmlns:a="http://schemas.openxmlformats.org/drawingml/2006/main">
              <a:graphicData uri="http://schemas.openxmlformats.org/drawingml/2006/chart">
                <c:chart xmlns:c="http://schemas.openxmlformats.org/drawingml/2006/chart" xmlns:r="http://schemas.openxmlformats.org/officeDocument/2006/relationships" r:id="rId25"/>
              </a:graphicData>
            </a:graphic>
          </wp:inline>
        </w:drawing>
      </w:r>
    </w:p>
    <w:p w:rsidR="000D1730" w:rsidP="000D1730" w14:paraId="025459BA" w14:textId="77777777">
      <w:pPr>
        <w:pStyle w:val="Source00"/>
      </w:pPr>
      <w:r>
        <w:rPr>
          <w:rFonts w:hint="eastAsia"/>
        </w:rPr>
        <w:t>资料来源：第三方资料、新闻报道、业内专家采访及</w:t>
      </w:r>
      <w:r>
        <w:rPr>
          <w:rFonts w:hint="eastAsia"/>
        </w:rPr>
        <w:t>QYResearch</w:t>
      </w:r>
      <w:r>
        <w:rPr>
          <w:rFonts w:hint="eastAsia"/>
        </w:rPr>
        <w:t>整理研究，</w:t>
      </w:r>
      <w:r>
        <w:rPr>
          <w:rFonts w:hint="eastAsia"/>
        </w:rPr>
        <w:t>2024</w:t>
      </w:r>
      <w:r>
        <w:rPr>
          <w:rFonts w:hint="eastAsia"/>
        </w:rPr>
        <w:t>年</w:t>
      </w:r>
    </w:p>
    <w:p w:rsidR="000D1730" w:rsidRPr="004C6793" w:rsidP="000D1730" w14:paraId="7902EC8A" w14:textId="77777777">
      <w:pPr>
        <w:pStyle w:val="Heading30"/>
      </w:pPr>
      <w:r>
        <w:rPr>
          <w:rFonts w:hint="eastAsia"/>
        </w:rPr>
        <w:t>泰国市场</w:t>
      </w:r>
      <w:r>
        <w:rPr>
          <w:rFonts w:hint="eastAsia"/>
        </w:rPr>
        <w:t>电子式热分配表(HCA)</w:t>
      </w:r>
      <w:r>
        <w:rPr>
          <w:rFonts w:hint="eastAsia"/>
        </w:rPr>
        <w:t>销量</w:t>
      </w:r>
      <w:r w:rsidRPr="00F74FCA">
        <w:rPr>
          <w:rFonts w:hint="eastAsia"/>
        </w:rPr>
        <w:t>及增长率（</w:t>
      </w:r>
      <w:r>
        <w:rPr>
          <w:rFonts w:hint="eastAsia"/>
        </w:rPr>
        <w:t>2019-2030</w:t>
      </w:r>
      <w:r w:rsidRPr="00F74FCA">
        <w:rPr>
          <w:rFonts w:hint="eastAsia"/>
        </w:rPr>
        <w:t>）</w:t>
      </w:r>
    </w:p>
    <w:p w:rsidR="000D1730" w:rsidRPr="005868B1" w:rsidP="000D1730" w14:paraId="00395E47" w14:textId="77777777">
      <w:pPr>
        <w:pStyle w:val="FigureStyle00"/>
      </w:pPr>
      <w:r>
        <w:rPr>
          <w:rFonts w:hint="eastAsia"/>
        </w:rPr>
        <w:t>泰国市场</w:t>
      </w:r>
      <w:r>
        <w:rPr>
          <w:rFonts w:hint="eastAsia"/>
        </w:rPr>
        <w:t>电子式热分配表(HCA)</w:t>
      </w:r>
      <w:r w:rsidRPr="005868B1">
        <w:rPr>
          <w:rFonts w:hint="eastAsia"/>
        </w:rPr>
        <w:t>销量及增长率（</w:t>
      </w:r>
      <w:r w:rsidRPr="005868B1">
        <w:rPr>
          <w:rFonts w:hint="eastAsia"/>
        </w:rPr>
        <w:t>2019-2030</w:t>
      </w:r>
      <w:r w:rsidRPr="005868B1">
        <w:rPr>
          <w:rFonts w:hint="eastAsia"/>
        </w:rPr>
        <w:t>）</w:t>
      </w:r>
      <w:r w:rsidRPr="005868B1">
        <w:rPr>
          <w:rFonts w:hint="eastAsia"/>
        </w:rPr>
        <w:t>&amp;</w:t>
      </w:r>
      <w:r w:rsidRPr="005868B1">
        <w:rPr>
          <w:rFonts w:hint="eastAsia"/>
        </w:rPr>
        <w:t>（</w:t>
      </w:r>
      <w:r w:rsidRPr="005868B1">
        <w:t>千个</w:t>
      </w:r>
      <w:r w:rsidRPr="005868B1">
        <w:rPr>
          <w:rFonts w:hint="eastAsia"/>
        </w:rPr>
        <w:t>）</w:t>
      </w:r>
    </w:p>
    <w:p w:rsidR="000D1730" w:rsidRPr="00925ECF" w:rsidP="000D1730" w14:paraId="33E282D1" w14:textId="77777777">
      <w:pPr>
        <w:pStyle w:val="Normal0"/>
      </w:pPr>
      <w:r>
        <w:rPr>
          <w:noProof/>
        </w:rPr>
        <w:drawing>
          <wp:inline distT="0" distB="0" distL="0" distR="0">
            <wp:extent cx="6192520" cy="2814955"/>
            <wp:effectExtent l="0" t="0" r="0" b="4445"/>
            <wp:docPr id="1267734871" name="图表 1">
              <a:extLst xmlns:a="http://schemas.openxmlformats.org/drawingml/2006/main">
                <a:ext xmlns:a="http://schemas.openxmlformats.org/drawingml/2006/main" uri="{FF2B5EF4-FFF2-40B4-BE49-F238E27FC236}">
                  <a16:creationId xmlns:a16="http://schemas.microsoft.com/office/drawing/2014/main" id="{00000000-0008-0000-0700-000041000000}"/>
                </a:ext>
              </a:extLst>
            </wp:docPr>
            <wp:cNvGraphicFramePr/>
            <a:graphic xmlns:a="http://schemas.openxmlformats.org/drawingml/2006/main">
              <a:graphicData uri="http://schemas.openxmlformats.org/drawingml/2006/chart">
                <c:chart xmlns:c="http://schemas.openxmlformats.org/drawingml/2006/chart" xmlns:r="http://schemas.openxmlformats.org/officeDocument/2006/relationships" r:id="rId26"/>
              </a:graphicData>
            </a:graphic>
          </wp:inline>
        </w:drawing>
      </w:r>
    </w:p>
    <w:p w:rsidR="000D1730" w:rsidP="000D1730">
      <w:pPr>
        <w:pStyle w:val="Source00"/>
      </w:pPr>
      <w:r>
        <w:rPr>
          <w:rFonts w:hint="eastAsia"/>
        </w:rPr>
        <w:t>资料来源：第三方资料、新闻报道、业内专家采访及</w:t>
      </w:r>
      <w:r>
        <w:rPr>
          <w:rFonts w:hint="eastAsia"/>
        </w:rPr>
        <w:t>QYResearch</w:t>
      </w:r>
      <w:r>
        <w:rPr>
          <w:rFonts w:hint="eastAsia"/>
        </w:rPr>
        <w:t>整理研究，</w:t>
      </w:r>
      <w:r>
        <w:rPr>
          <w:rFonts w:hint="eastAsia"/>
        </w:rPr>
        <w:t>2024</w:t>
      </w:r>
      <w:r>
        <w:rPr>
          <w:rFonts w:hint="eastAsia"/>
        </w:rPr>
        <w:t>年</w:t>
      </w:r>
    </w:p>
    <w:p w:rsidR="00137863" w:rsidP="00137863" w14:paraId="273641D6" w14:textId="57F3866A">
      <w:pPr>
        <w:pStyle w:val="Heading10"/>
        <w:rPr>
          <w:lang w:eastAsia="zh-CN"/>
        </w:rPr>
      </w:pPr>
      <w:bookmarkStart w:id="50" w:name="_Toc166761984"/>
      <w:r>
        <w:rPr>
          <w:rFonts w:hint="eastAsia"/>
          <w:lang w:eastAsia="zh-CN"/>
        </w:rPr>
        <w:t>东盟国家</w:t>
      </w:r>
      <w:r w:rsidRPr="000D4BC2">
        <w:rPr>
          <w:rFonts w:hint="eastAsia"/>
          <w:lang w:eastAsia="zh-CN"/>
        </w:rPr>
        <w:t>营商环境</w:t>
      </w:r>
      <w:r>
        <w:rPr>
          <w:rFonts w:hint="eastAsia"/>
          <w:lang w:eastAsia="zh-CN"/>
        </w:rPr>
        <w:t>分析</w:t>
      </w:r>
      <w:bookmarkEnd w:id="50"/>
    </w:p>
    <w:p w:rsidR="00137863" w:rsidP="00137863" w14:paraId="7A3A8153" w14:textId="04063569">
      <w:pPr>
        <w:pStyle w:val="Heading20"/>
      </w:pPr>
      <w:r>
        <w:rPr>
          <w:rFonts w:hint="eastAsia"/>
        </w:rPr>
        <w:t>东盟整体情况</w:t>
      </w:r>
    </w:p>
    <w:p w:rsidR="0094647E" w:rsidP="001573DD" w14:paraId="0E343E98" w14:textId="5E4A7729">
      <w:pPr>
        <w:pStyle w:val="-00"/>
        <w:ind w:firstLine="420"/>
        <w:rPr>
          <w:lang w:eastAsia="zh-CN"/>
        </w:rPr>
      </w:pPr>
      <w:r>
        <w:rPr>
          <w:rFonts w:hint="eastAsia"/>
          <w:lang w:eastAsia="zh-CN"/>
        </w:rPr>
        <w:t>东南亚位于我国倡导推进的“一带一路”海陆交汇地带，</w:t>
      </w:r>
      <w:r>
        <w:rPr>
          <w:rFonts w:hint="eastAsia"/>
          <w:lang w:eastAsia="zh-CN"/>
        </w:rPr>
        <w:t>作为当今全球发展最为迅速的地区之一，近年来区域内生产总值实现了显著且稳定的增长。</w:t>
      </w:r>
      <w:r w:rsidRPr="00661054">
        <w:rPr>
          <w:rFonts w:hint="eastAsia"/>
          <w:lang w:eastAsia="zh-CN"/>
        </w:rPr>
        <w:t>根据东盟主要经济体公布的最新数据，印度尼西亚</w:t>
      </w:r>
      <w:r w:rsidRPr="00661054">
        <w:rPr>
          <w:rFonts w:hint="eastAsia"/>
          <w:lang w:eastAsia="zh-CN"/>
        </w:rPr>
        <w:t>2023</w:t>
      </w:r>
      <w:r w:rsidRPr="00661054">
        <w:rPr>
          <w:rFonts w:hint="eastAsia"/>
          <w:lang w:eastAsia="zh-CN"/>
        </w:rPr>
        <w:t>年国内生产总值（</w:t>
      </w:r>
      <w:r w:rsidRPr="00661054">
        <w:rPr>
          <w:rFonts w:hint="eastAsia"/>
          <w:lang w:eastAsia="zh-CN"/>
        </w:rPr>
        <w:t>GDP</w:t>
      </w:r>
      <w:r w:rsidRPr="00661054">
        <w:rPr>
          <w:rFonts w:hint="eastAsia"/>
          <w:lang w:eastAsia="zh-CN"/>
        </w:rPr>
        <w:t>）增长</w:t>
      </w:r>
      <w:r w:rsidRPr="00661054">
        <w:rPr>
          <w:rFonts w:hint="eastAsia"/>
          <w:lang w:eastAsia="zh-CN"/>
        </w:rPr>
        <w:t>5.05%</w:t>
      </w:r>
      <w:r w:rsidRPr="00661054">
        <w:rPr>
          <w:rFonts w:hint="eastAsia"/>
          <w:lang w:eastAsia="zh-CN"/>
        </w:rPr>
        <w:t>；越南</w:t>
      </w:r>
      <w:r w:rsidRPr="00661054">
        <w:rPr>
          <w:rFonts w:hint="eastAsia"/>
          <w:lang w:eastAsia="zh-CN"/>
        </w:rPr>
        <w:t>2023</w:t>
      </w:r>
      <w:r w:rsidRPr="00661054">
        <w:rPr>
          <w:rFonts w:hint="eastAsia"/>
          <w:lang w:eastAsia="zh-CN"/>
        </w:rPr>
        <w:t>年经济增长</w:t>
      </w:r>
      <w:r w:rsidRPr="00661054">
        <w:rPr>
          <w:rFonts w:hint="eastAsia"/>
          <w:lang w:eastAsia="zh-CN"/>
        </w:rPr>
        <w:t>5.05%</w:t>
      </w:r>
      <w:r w:rsidRPr="00661054">
        <w:rPr>
          <w:rFonts w:hint="eastAsia"/>
          <w:lang w:eastAsia="zh-CN"/>
        </w:rPr>
        <w:t>；马来西亚</w:t>
      </w:r>
      <w:r w:rsidRPr="00661054">
        <w:rPr>
          <w:rFonts w:hint="eastAsia"/>
          <w:lang w:eastAsia="zh-CN"/>
        </w:rPr>
        <w:t>2023</w:t>
      </w:r>
      <w:r w:rsidRPr="00661054">
        <w:rPr>
          <w:rFonts w:hint="eastAsia"/>
          <w:lang w:eastAsia="zh-CN"/>
        </w:rPr>
        <w:t>年经济增速为</w:t>
      </w:r>
      <w:r w:rsidRPr="00661054">
        <w:rPr>
          <w:rFonts w:hint="eastAsia"/>
          <w:lang w:eastAsia="zh-CN"/>
        </w:rPr>
        <w:t>3.7%</w:t>
      </w:r>
      <w:r w:rsidRPr="00661054">
        <w:rPr>
          <w:rFonts w:hint="eastAsia"/>
          <w:lang w:eastAsia="zh-CN"/>
        </w:rPr>
        <w:t>；泰国</w:t>
      </w:r>
      <w:r w:rsidRPr="00661054">
        <w:rPr>
          <w:rFonts w:hint="eastAsia"/>
          <w:lang w:eastAsia="zh-CN"/>
        </w:rPr>
        <w:t>2023</w:t>
      </w:r>
      <w:r w:rsidRPr="00661054">
        <w:rPr>
          <w:rFonts w:hint="eastAsia"/>
          <w:lang w:eastAsia="zh-CN"/>
        </w:rPr>
        <w:t>年经济增长</w:t>
      </w:r>
      <w:r w:rsidRPr="00661054">
        <w:rPr>
          <w:rFonts w:hint="eastAsia"/>
          <w:lang w:eastAsia="zh-CN"/>
        </w:rPr>
        <w:t>1.9%</w:t>
      </w:r>
      <w:r w:rsidRPr="00661054">
        <w:rPr>
          <w:rFonts w:hint="eastAsia"/>
          <w:lang w:eastAsia="zh-CN"/>
        </w:rPr>
        <w:t>；新加坡</w:t>
      </w:r>
      <w:r w:rsidRPr="00661054">
        <w:rPr>
          <w:rFonts w:hint="eastAsia"/>
          <w:lang w:eastAsia="zh-CN"/>
        </w:rPr>
        <w:t>2023</w:t>
      </w:r>
      <w:r w:rsidRPr="00661054">
        <w:rPr>
          <w:rFonts w:hint="eastAsia"/>
          <w:lang w:eastAsia="zh-CN"/>
        </w:rPr>
        <w:t>年经济增长</w:t>
      </w:r>
      <w:r w:rsidRPr="00661054">
        <w:rPr>
          <w:rFonts w:hint="eastAsia"/>
          <w:lang w:eastAsia="zh-CN"/>
        </w:rPr>
        <w:t>1.1%</w:t>
      </w:r>
      <w:r w:rsidRPr="00661054">
        <w:rPr>
          <w:rFonts w:hint="eastAsia"/>
          <w:lang w:eastAsia="zh-CN"/>
        </w:rPr>
        <w:t>；柬埔寨</w:t>
      </w:r>
      <w:r w:rsidRPr="00661054">
        <w:rPr>
          <w:rFonts w:hint="eastAsia"/>
          <w:lang w:eastAsia="zh-CN"/>
        </w:rPr>
        <w:t>2023</w:t>
      </w:r>
      <w:r w:rsidRPr="00661054">
        <w:rPr>
          <w:rFonts w:hint="eastAsia"/>
          <w:lang w:eastAsia="zh-CN"/>
        </w:rPr>
        <w:t>年经济增速预计为</w:t>
      </w:r>
      <w:r w:rsidRPr="00661054">
        <w:rPr>
          <w:rFonts w:hint="eastAsia"/>
          <w:lang w:eastAsia="zh-CN"/>
        </w:rPr>
        <w:t>5.6%</w:t>
      </w:r>
      <w:r w:rsidRPr="00661054">
        <w:rPr>
          <w:rFonts w:hint="eastAsia"/>
          <w:lang w:eastAsia="zh-CN"/>
        </w:rPr>
        <w:t>。</w:t>
      </w:r>
    </w:p>
    <w:p w:rsidR="001573DD" w:rsidP="00DD26C0">
      <w:pPr>
        <w:pStyle w:val="-00"/>
        <w:ind w:firstLine="420"/>
        <w:rPr>
          <w:lang w:eastAsia="zh-CN"/>
        </w:rPr>
      </w:pPr>
      <w:r>
        <w:rPr>
          <w:rFonts w:hint="eastAsia"/>
          <w:lang w:eastAsia="zh-CN"/>
        </w:rPr>
        <w:t>东盟国家在“一带一路”沿线国家中的总体</w:t>
      </w:r>
      <w:r>
        <w:rPr>
          <w:rFonts w:hint="eastAsia"/>
          <w:lang w:eastAsia="zh-CN"/>
        </w:rPr>
        <w:t>GDP</w:t>
      </w:r>
      <w:r>
        <w:rPr>
          <w:rFonts w:hint="eastAsia"/>
          <w:lang w:eastAsia="zh-CN"/>
        </w:rPr>
        <w:t>经济规模、贸易总额与国外直接投资均为最大，因此有着举足轻重的地位和作用。当前，东盟与中国已互相成为双方最大的交易伙伴。中国</w:t>
      </w:r>
      <w:r>
        <w:rPr>
          <w:rFonts w:hint="eastAsia"/>
          <w:lang w:eastAsia="zh-CN"/>
        </w:rPr>
        <w:t>-</w:t>
      </w:r>
      <w:r>
        <w:rPr>
          <w:rFonts w:hint="eastAsia"/>
          <w:lang w:eastAsia="zh-CN"/>
        </w:rPr>
        <w:t>东盟贸易总额已从</w:t>
      </w:r>
      <w:r>
        <w:rPr>
          <w:rFonts w:hint="eastAsia"/>
          <w:lang w:eastAsia="zh-CN"/>
        </w:rPr>
        <w:t>2013</w:t>
      </w:r>
      <w:r>
        <w:rPr>
          <w:rFonts w:hint="eastAsia"/>
          <w:lang w:eastAsia="zh-CN"/>
        </w:rPr>
        <w:t>年的</w:t>
      </w:r>
      <w:r>
        <w:rPr>
          <w:rFonts w:hint="eastAsia"/>
          <w:lang w:eastAsia="zh-CN"/>
        </w:rPr>
        <w:t>443</w:t>
      </w:r>
      <w:r>
        <w:rPr>
          <w:rFonts w:hint="eastAsia"/>
          <w:lang w:eastAsia="zh-CN"/>
        </w:rPr>
        <w:t>亿元增长至</w:t>
      </w:r>
      <w:r>
        <w:rPr>
          <w:rFonts w:hint="eastAsia"/>
          <w:lang w:eastAsia="zh-CN"/>
        </w:rPr>
        <w:t xml:space="preserve"> 2023</w:t>
      </w:r>
      <w:r>
        <w:rPr>
          <w:rFonts w:hint="eastAsia"/>
          <w:lang w:eastAsia="zh-CN"/>
        </w:rPr>
        <w:t>年合计超逾</w:t>
      </w:r>
      <w:r>
        <w:rPr>
          <w:rFonts w:hint="eastAsia"/>
          <w:lang w:eastAsia="zh-CN"/>
        </w:rPr>
        <w:t>6.4</w:t>
      </w:r>
      <w:r>
        <w:rPr>
          <w:rFonts w:hint="eastAsia"/>
          <w:lang w:eastAsia="zh-CN"/>
        </w:rPr>
        <w:t>万亿元，占中国外贸总值的</w:t>
      </w:r>
      <w:r>
        <w:rPr>
          <w:rFonts w:hint="eastAsia"/>
          <w:lang w:eastAsia="zh-CN"/>
        </w:rPr>
        <w:t>15.4</w:t>
      </w:r>
      <w:r>
        <w:rPr>
          <w:rFonts w:hint="eastAsia"/>
          <w:lang w:eastAsia="zh-CN"/>
        </w:rPr>
        <w:t>％。在过去</w:t>
      </w:r>
      <w:r>
        <w:rPr>
          <w:rFonts w:hint="eastAsia"/>
          <w:lang w:eastAsia="zh-CN"/>
        </w:rPr>
        <w:t>20</w:t>
      </w:r>
      <w:r>
        <w:rPr>
          <w:rFonts w:hint="eastAsia"/>
          <w:lang w:eastAsia="zh-CN"/>
        </w:rPr>
        <w:t>余年中，东盟国家不断在全球多变的格局里面临挑战并寻求机遇。</w:t>
      </w:r>
      <w:r>
        <w:rPr>
          <w:rFonts w:hint="eastAsia"/>
          <w:lang w:eastAsia="zh-CN"/>
        </w:rPr>
        <w:t>2023</w:t>
      </w:r>
      <w:r>
        <w:rPr>
          <w:rFonts w:hint="eastAsia"/>
          <w:lang w:eastAsia="zh-CN"/>
        </w:rPr>
        <w:t>东盟国家主要经济体受到国内消费、国外投资、货币政策、旅游业复苏、和大宗商品出口价企稳等方面的提振，经济显现出稳步增长态势和强韧性的潜能。</w:t>
      </w:r>
    </w:p>
    <w:p w:rsidR="003D28FA" w:rsidP="003D28FA" w14:paraId="259064A2" w14:textId="77777777">
      <w:pPr>
        <w:pStyle w:val="Heading20"/>
      </w:pPr>
      <w:bookmarkStart w:id="51" w:name="_Toc166762014"/>
      <w:r>
        <w:rPr>
          <w:rFonts w:hint="eastAsia"/>
        </w:rPr>
        <w:t>2023</w:t>
      </w:r>
      <w:r>
        <w:rPr>
          <w:rFonts w:hint="eastAsia"/>
        </w:rPr>
        <w:t>“一带一路”共建国家基础设施发展指数</w:t>
      </w:r>
      <w:bookmarkEnd w:id="51"/>
    </w:p>
    <w:p w:rsidR="003D28FA" w:rsidP="003D28FA" w14:paraId="2F716602" w14:textId="77777777">
      <w:pPr>
        <w:pStyle w:val="FigureStyle00"/>
      </w:pPr>
      <w:bookmarkStart w:id="52" w:name="_Toc166761934"/>
      <w:r w:rsidRPr="001631BA">
        <w:rPr>
          <w:rFonts w:hint="eastAsia"/>
        </w:rPr>
        <w:t>2023</w:t>
      </w:r>
      <w:r w:rsidRPr="001631BA">
        <w:rPr>
          <w:rFonts w:hint="eastAsia"/>
        </w:rPr>
        <w:t>年基础设施发展指数</w:t>
      </w:r>
      <w:bookmarkEnd w:id="52"/>
    </w:p>
    <w:p w:rsidR="003D28FA" w:rsidP="003D28FA" w14:paraId="2C631552" w14:textId="77777777">
      <w:pPr>
        <w:pStyle w:val="Normal0"/>
      </w:pPr>
      <w:r>
        <w:rPr>
          <w:noProof/>
        </w:rPr>
        <w:drawing>
          <wp:inline distT="0" distB="0" distL="0" distR="0">
            <wp:extent cx="5912480" cy="7861852"/>
            <wp:effectExtent l="0" t="0" r="0" b="6350"/>
            <wp:docPr id="449694240" name="图片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49694240" name=""/>
                    <pic:cNvPicPr/>
                  </pic:nvPicPr>
                  <pic:blipFill>
                    <a:blip xmlns:r="http://schemas.openxmlformats.org/officeDocument/2006/relationships" r:embed="rId27"/>
                    <a:stretch>
                      <a:fillRect/>
                    </a:stretch>
                  </pic:blipFill>
                  <pic:spPr>
                    <a:xfrm>
                      <a:off x="0" y="0"/>
                      <a:ext cx="5915019" cy="7865228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3D28FA" w:rsidP="003D28FA">
      <w:pPr>
        <w:pStyle w:val="Source00"/>
      </w:pPr>
      <w:r>
        <w:rPr>
          <w:rFonts w:hint="eastAsia"/>
        </w:rPr>
        <w:t>资料来源：第三方资料、新闻报道、业内专家采访及</w:t>
      </w:r>
      <w:r>
        <w:rPr>
          <w:rFonts w:hint="eastAsia"/>
        </w:rPr>
        <w:t>QYResearch</w:t>
      </w:r>
      <w:r>
        <w:rPr>
          <w:rFonts w:hint="eastAsia"/>
        </w:rPr>
        <w:t>整理研究，</w:t>
      </w:r>
      <w:r>
        <w:rPr>
          <w:rFonts w:hint="eastAsia"/>
        </w:rPr>
        <w:t>2024</w:t>
      </w:r>
      <w:r>
        <w:rPr>
          <w:rFonts w:hint="eastAsia"/>
        </w:rPr>
        <w:t>年</w:t>
      </w:r>
    </w:p>
    <w:p w:rsidR="003D28FA" w:rsidRPr="006C3BE6" w:rsidP="003D28FA" w14:paraId="7562E5E0" w14:textId="77777777">
      <w:pPr>
        <w:pStyle w:val="TableStyle0"/>
        <w:ind w:left="252" w:right="-105"/>
        <w:rPr>
          <w:lang w:eastAsia="zh-CN"/>
        </w:rPr>
      </w:pPr>
      <w:bookmarkStart w:id="53" w:name="_Toc166761946"/>
      <w:r w:rsidRPr="006C3BE6">
        <w:rPr>
          <w:rFonts w:hint="eastAsia"/>
          <w:lang w:eastAsia="zh-CN"/>
        </w:rPr>
        <w:t>各区域基础设施发展指数变化情况</w:t>
      </w:r>
      <w:bookmarkEnd w:id="53"/>
    </w:p>
    <w:p w:rsidR="003D28FA" w:rsidP="003D28FA" w14:paraId="6E19BF34" w14:textId="77777777">
      <w:pPr>
        <w:pStyle w:val="Normal0"/>
        <w:rPr>
          <w:lang w:val="en-IN"/>
        </w:rPr>
      </w:pPr>
      <w:r>
        <w:rPr>
          <w:noProof/>
        </w:rPr>
        <w:drawing>
          <wp:inline distT="0" distB="0" distL="0" distR="0">
            <wp:extent cx="6133333" cy="2723809"/>
            <wp:effectExtent l="0" t="0" r="1270" b="635"/>
            <wp:docPr id="165588961" name="图片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65588961" name=""/>
                    <pic:cNvPicPr/>
                  </pic:nvPicPr>
                  <pic:blipFill>
                    <a:blip xmlns:r="http://schemas.openxmlformats.org/officeDocument/2006/relationships" r:embed="rId28"/>
                    <a:stretch>
                      <a:fillRect/>
                    </a:stretch>
                  </pic:blipFill>
                  <pic:spPr>
                    <a:xfrm>
                      <a:off x="0" y="0"/>
                      <a:ext cx="6133333" cy="2723809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3D28FA" w:rsidP="003D28FA">
      <w:pPr>
        <w:pStyle w:val="Source00"/>
      </w:pPr>
      <w:r>
        <w:rPr>
          <w:rFonts w:hint="eastAsia"/>
        </w:rPr>
        <w:t>资料来源：中国对外承包工程协会、中国信保国家风险数据库</w:t>
      </w:r>
    </w:p>
    <w:p w:rsidR="0094647E" w:rsidRPr="0094647E" w:rsidP="007E21E9" w14:paraId="47CB7576" w14:textId="709CDD91">
      <w:pPr>
        <w:pStyle w:val="Heading20"/>
      </w:pPr>
      <w:r>
        <w:rPr>
          <w:rFonts w:hint="eastAsia"/>
        </w:rPr>
        <w:t>印尼</w:t>
      </w:r>
    </w:p>
    <w:p w:rsidR="00137863" w:rsidP="00137863" w14:paraId="31805560" w14:textId="06F38F18">
      <w:pPr>
        <w:pStyle w:val="-00"/>
        <w:ind w:firstLine="420"/>
        <w:rPr>
          <w:lang w:eastAsia="zh-CN"/>
        </w:rPr>
      </w:pPr>
      <w:r>
        <w:rPr>
          <w:rFonts w:hint="eastAsia"/>
          <w:lang w:eastAsia="zh-CN"/>
        </w:rPr>
        <w:t>印</w:t>
      </w:r>
      <w:r>
        <w:rPr>
          <w:rFonts w:hint="eastAsia"/>
          <w:lang w:eastAsia="zh-CN"/>
        </w:rPr>
        <w:t>度尼西亚（以下简称印尼）位于亚洲东南部，地跨南北两个半球，拥有“千岛之国”的美誉，由太平洋和印度洋之间</w:t>
      </w:r>
      <w:r>
        <w:rPr>
          <w:rFonts w:hint="eastAsia"/>
          <w:lang w:eastAsia="zh-CN"/>
        </w:rPr>
        <w:t xml:space="preserve"> 17,508 </w:t>
      </w:r>
      <w:r>
        <w:rPr>
          <w:rFonts w:hint="eastAsia"/>
          <w:lang w:eastAsia="zh-CN"/>
        </w:rPr>
        <w:t>个岛屿组成，其中包括世界知名的旅游胜地巴厘岛。作为全球最大的群岛国家，印尼国土面积为</w:t>
      </w:r>
      <w:r>
        <w:rPr>
          <w:rFonts w:hint="eastAsia"/>
          <w:lang w:eastAsia="zh-CN"/>
        </w:rPr>
        <w:t xml:space="preserve"> 191.4 </w:t>
      </w:r>
      <w:r>
        <w:rPr>
          <w:rFonts w:hint="eastAsia"/>
          <w:lang w:eastAsia="zh-CN"/>
        </w:rPr>
        <w:t>万平方公里，扼守着马六甲海峡、巽他海峡、龙目海峡等重要国际贸易航道，与巴布亚新几内亚、东帝汶、马来西亚接壤，与泰国、新加坡、菲律宾、澳大利亚等国隔海相望，享有约</w:t>
      </w:r>
      <w:r>
        <w:rPr>
          <w:rFonts w:hint="eastAsia"/>
          <w:lang w:eastAsia="zh-CN"/>
        </w:rPr>
        <w:t xml:space="preserve"> 316.6</w:t>
      </w:r>
      <w:r>
        <w:rPr>
          <w:rFonts w:hint="eastAsia"/>
          <w:lang w:eastAsia="zh-CN"/>
        </w:rPr>
        <w:t>万平方公里的海域国土。</w:t>
      </w:r>
    </w:p>
    <w:p w:rsidR="00137863" w:rsidP="00137863" w14:paraId="2358000B" w14:textId="77777777">
      <w:pPr>
        <w:pStyle w:val="-00"/>
        <w:ind w:firstLine="420"/>
        <w:rPr>
          <w:lang w:eastAsia="zh-CN"/>
        </w:rPr>
      </w:pPr>
      <w:r>
        <w:rPr>
          <w:rFonts w:hint="eastAsia"/>
          <w:lang w:eastAsia="zh-CN"/>
        </w:rPr>
        <w:t>尼是世界排名第</w:t>
      </w:r>
      <w:r>
        <w:rPr>
          <w:rFonts w:hint="eastAsia"/>
          <w:lang w:eastAsia="zh-CN"/>
        </w:rPr>
        <w:t xml:space="preserve"> 4 </w:t>
      </w:r>
      <w:r>
        <w:rPr>
          <w:rFonts w:hint="eastAsia"/>
          <w:lang w:eastAsia="zh-CN"/>
        </w:rPr>
        <w:t>位的人口大国，总人口数高达</w:t>
      </w:r>
      <w:r>
        <w:rPr>
          <w:rFonts w:hint="eastAsia"/>
          <w:lang w:eastAsia="zh-CN"/>
        </w:rPr>
        <w:t xml:space="preserve"> 2.7 </w:t>
      </w:r>
      <w:r>
        <w:rPr>
          <w:rFonts w:hint="eastAsia"/>
          <w:lang w:eastAsia="zh-CN"/>
        </w:rPr>
        <w:t>亿，人口年龄中位数是</w:t>
      </w:r>
      <w:r>
        <w:rPr>
          <w:rFonts w:hint="eastAsia"/>
          <w:lang w:eastAsia="zh-CN"/>
        </w:rPr>
        <w:t xml:space="preserve"> 30.3 </w:t>
      </w:r>
      <w:r>
        <w:rPr>
          <w:rFonts w:hint="eastAsia"/>
          <w:lang w:eastAsia="zh-CN"/>
        </w:rPr>
        <w:t>岁，人口结构年轻化。其中爪哇岛是印尼人口最密集的地区，约有</w:t>
      </w:r>
      <w:r>
        <w:rPr>
          <w:rFonts w:hint="eastAsia"/>
          <w:lang w:eastAsia="zh-CN"/>
        </w:rPr>
        <w:t xml:space="preserve"> 1.5 </w:t>
      </w:r>
      <w:r>
        <w:rPr>
          <w:rFonts w:hint="eastAsia"/>
          <w:lang w:eastAsia="zh-CN"/>
        </w:rPr>
        <w:t>亿人，占到全国总人口数量的</w:t>
      </w:r>
      <w:r>
        <w:rPr>
          <w:rFonts w:hint="eastAsia"/>
          <w:lang w:eastAsia="zh-CN"/>
        </w:rPr>
        <w:t xml:space="preserve"> 56.1%</w:t>
      </w:r>
      <w:r>
        <w:rPr>
          <w:rFonts w:hint="eastAsia"/>
          <w:lang w:eastAsia="zh-CN"/>
        </w:rPr>
        <w:t>，首都雅加达人口约为</w:t>
      </w:r>
      <w:r>
        <w:rPr>
          <w:rFonts w:hint="eastAsia"/>
          <w:lang w:eastAsia="zh-CN"/>
        </w:rPr>
        <w:t xml:space="preserve"> 1,056 </w:t>
      </w:r>
      <w:r>
        <w:rPr>
          <w:rFonts w:hint="eastAsia"/>
          <w:lang w:eastAsia="zh-CN"/>
        </w:rPr>
        <w:t>万人</w:t>
      </w:r>
    </w:p>
    <w:p w:rsidR="00137863" w:rsidP="00137863" w14:paraId="4D912FDB" w14:textId="77777777">
      <w:pPr>
        <w:pStyle w:val="-00"/>
        <w:ind w:firstLine="420"/>
        <w:rPr>
          <w:lang w:eastAsia="zh-CN"/>
        </w:rPr>
      </w:pPr>
      <w:r>
        <w:rPr>
          <w:rFonts w:hint="eastAsia"/>
          <w:lang w:eastAsia="zh-CN"/>
        </w:rPr>
        <w:t>多年来，印尼经济一直保持着</w:t>
      </w:r>
      <w:r>
        <w:rPr>
          <w:rFonts w:hint="eastAsia"/>
          <w:lang w:eastAsia="zh-CN"/>
        </w:rPr>
        <w:t xml:space="preserve"> 5% </w:t>
      </w:r>
      <w:r>
        <w:rPr>
          <w:rFonts w:hint="eastAsia"/>
          <w:lang w:eastAsia="zh-CN"/>
        </w:rPr>
        <w:t>左右的良性增长态势，作为东盟成员国里最大的经济体和</w:t>
      </w:r>
      <w:r>
        <w:rPr>
          <w:rFonts w:hint="eastAsia"/>
          <w:lang w:eastAsia="zh-CN"/>
        </w:rPr>
        <w:t xml:space="preserve"> 20 </w:t>
      </w:r>
      <w:r>
        <w:rPr>
          <w:rFonts w:hint="eastAsia"/>
          <w:lang w:eastAsia="zh-CN"/>
        </w:rPr>
        <w:t>国集团重要成员，印尼正在东南亚地区和全球国际事务中释放越来越多的影响力。</w:t>
      </w:r>
      <w:r>
        <w:rPr>
          <w:rFonts w:hint="eastAsia"/>
          <w:lang w:eastAsia="zh-CN"/>
        </w:rPr>
        <w:t xml:space="preserve">2019 </w:t>
      </w:r>
      <w:r>
        <w:rPr>
          <w:rFonts w:hint="eastAsia"/>
          <w:lang w:eastAsia="zh-CN"/>
        </w:rPr>
        <w:t>年，印尼总统佐科·维多多在就职仪式上宣布：印尼致力于在</w:t>
      </w:r>
      <w:r>
        <w:rPr>
          <w:rFonts w:hint="eastAsia"/>
          <w:lang w:eastAsia="zh-CN"/>
        </w:rPr>
        <w:t xml:space="preserve"> 2045 </w:t>
      </w:r>
      <w:r>
        <w:rPr>
          <w:rFonts w:hint="eastAsia"/>
          <w:lang w:eastAsia="zh-CN"/>
        </w:rPr>
        <w:t>年，即建国时发展为世界发达国家，力争跻身世界前</w:t>
      </w:r>
      <w:r>
        <w:rPr>
          <w:rFonts w:hint="eastAsia"/>
          <w:lang w:eastAsia="zh-CN"/>
        </w:rPr>
        <w:t xml:space="preserve"> 5 </w:t>
      </w:r>
      <w:r>
        <w:rPr>
          <w:rFonts w:hint="eastAsia"/>
          <w:lang w:eastAsia="zh-CN"/>
        </w:rPr>
        <w:t>大经济体行列，实现</w:t>
      </w:r>
      <w:r>
        <w:rPr>
          <w:rFonts w:hint="eastAsia"/>
          <w:lang w:eastAsia="zh-CN"/>
        </w:rPr>
        <w:t xml:space="preserve"> GDP </w:t>
      </w:r>
      <w:r>
        <w:rPr>
          <w:rFonts w:hint="eastAsia"/>
          <w:lang w:eastAsia="zh-CN"/>
        </w:rPr>
        <w:t>总量达到</w:t>
      </w:r>
      <w:r>
        <w:rPr>
          <w:rFonts w:hint="eastAsia"/>
          <w:lang w:eastAsia="zh-CN"/>
        </w:rPr>
        <w:t xml:space="preserve"> 7.3 </w:t>
      </w:r>
      <w:r>
        <w:rPr>
          <w:rFonts w:hint="eastAsia"/>
          <w:lang w:eastAsia="zh-CN"/>
        </w:rPr>
        <w:t>万亿美元，人均</w:t>
      </w:r>
      <w:r>
        <w:rPr>
          <w:rFonts w:hint="eastAsia"/>
          <w:lang w:eastAsia="zh-CN"/>
        </w:rPr>
        <w:t xml:space="preserve"> GDP </w:t>
      </w:r>
      <w:r>
        <w:rPr>
          <w:rFonts w:hint="eastAsia"/>
          <w:lang w:eastAsia="zh-CN"/>
        </w:rPr>
        <w:t>达到</w:t>
      </w:r>
      <w:r>
        <w:rPr>
          <w:rFonts w:hint="eastAsia"/>
          <w:lang w:eastAsia="zh-CN"/>
        </w:rPr>
        <w:t xml:space="preserve"> 2.25 </w:t>
      </w:r>
      <w:r>
        <w:rPr>
          <w:rFonts w:hint="eastAsia"/>
          <w:lang w:eastAsia="zh-CN"/>
        </w:rPr>
        <w:t>万美元。</w:t>
      </w:r>
    </w:p>
    <w:p w:rsidR="007E21E9" w:rsidP="007E21E9" w14:paraId="209DA507" w14:textId="2BC8F091">
      <w:pPr>
        <w:pStyle w:val="Heading20"/>
      </w:pPr>
      <w:r>
        <w:rPr>
          <w:rFonts w:hint="eastAsia"/>
        </w:rPr>
        <w:t>越南</w:t>
      </w:r>
    </w:p>
    <w:p w:rsidR="007E21E9" w:rsidP="007E21E9" w14:paraId="5E9044F3" w14:textId="46504E34">
      <w:pPr>
        <w:pStyle w:val="-00"/>
        <w:ind w:firstLine="420"/>
        <w:rPr>
          <w:lang w:eastAsia="zh-CN"/>
        </w:rPr>
      </w:pPr>
      <w:r>
        <w:rPr>
          <w:rFonts w:hint="eastAsia"/>
          <w:lang w:eastAsia="zh-CN"/>
        </w:rPr>
        <w:t>自上世纪</w:t>
      </w:r>
      <w:r>
        <w:rPr>
          <w:rFonts w:hint="eastAsia"/>
          <w:lang w:eastAsia="zh-CN"/>
        </w:rPr>
        <w:t xml:space="preserve"> 80 </w:t>
      </w:r>
      <w:r>
        <w:rPr>
          <w:rFonts w:hint="eastAsia"/>
          <w:lang w:eastAsia="zh-CN"/>
        </w:rPr>
        <w:t>年代实行开放政策以来，越南经济增长强劲。</w:t>
      </w:r>
      <w:r>
        <w:rPr>
          <w:rFonts w:hint="eastAsia"/>
          <w:lang w:eastAsia="zh-CN"/>
        </w:rPr>
        <w:t xml:space="preserve">1990-2020 </w:t>
      </w:r>
      <w:r>
        <w:rPr>
          <w:rFonts w:hint="eastAsia"/>
          <w:lang w:eastAsia="zh-CN"/>
        </w:rPr>
        <w:t>年，越南的国内生产总值平均增速达到</w:t>
      </w:r>
      <w:r>
        <w:rPr>
          <w:rFonts w:hint="eastAsia"/>
          <w:lang w:eastAsia="zh-CN"/>
        </w:rPr>
        <w:t xml:space="preserve"> 5.8%</w:t>
      </w:r>
      <w:r>
        <w:rPr>
          <w:rFonts w:hint="eastAsia"/>
          <w:lang w:eastAsia="zh-CN"/>
        </w:rPr>
        <w:t>，且一直维持在较高水平。尽管</w:t>
      </w:r>
      <w:r>
        <w:rPr>
          <w:rFonts w:hint="eastAsia"/>
          <w:lang w:eastAsia="zh-CN"/>
        </w:rPr>
        <w:t xml:space="preserve"> 2020 </w:t>
      </w:r>
      <w:r>
        <w:rPr>
          <w:rFonts w:hint="eastAsia"/>
          <w:lang w:eastAsia="zh-CN"/>
        </w:rPr>
        <w:t>年受到疫情影响，经济增速受到一定拖累，但</w:t>
      </w:r>
      <w:r>
        <w:rPr>
          <w:rFonts w:hint="eastAsia"/>
          <w:lang w:eastAsia="zh-CN"/>
        </w:rPr>
        <w:t xml:space="preserve"> 2.9%</w:t>
      </w:r>
      <w:r>
        <w:rPr>
          <w:rFonts w:hint="eastAsia"/>
          <w:lang w:eastAsia="zh-CN"/>
        </w:rPr>
        <w:t>的增长在与东南亚地区整体横向对比之下却十分亮眼。</w:t>
      </w:r>
      <w:r>
        <w:rPr>
          <w:rFonts w:hint="eastAsia"/>
          <w:lang w:eastAsia="zh-CN"/>
        </w:rPr>
        <w:t xml:space="preserve">2022 </w:t>
      </w:r>
      <w:r>
        <w:rPr>
          <w:rFonts w:hint="eastAsia"/>
          <w:lang w:eastAsia="zh-CN"/>
        </w:rPr>
        <w:t>年在全球经济严峻的背景之下，越南展现出强劲</w:t>
      </w:r>
      <w:r>
        <w:rPr>
          <w:rFonts w:hint="eastAsia"/>
          <w:lang w:eastAsia="zh-CN"/>
        </w:rPr>
        <w:t>复苏力和庞大潜能，</w:t>
      </w:r>
      <w:r>
        <w:rPr>
          <w:rFonts w:hint="eastAsia"/>
          <w:lang w:eastAsia="zh-CN"/>
        </w:rPr>
        <w:t xml:space="preserve">GDP </w:t>
      </w:r>
      <w:r>
        <w:rPr>
          <w:rFonts w:hint="eastAsia"/>
          <w:lang w:eastAsia="zh-CN"/>
        </w:rPr>
        <w:t>增长高达</w:t>
      </w:r>
      <w:r>
        <w:rPr>
          <w:rFonts w:hint="eastAsia"/>
          <w:lang w:eastAsia="zh-CN"/>
        </w:rPr>
        <w:t xml:space="preserve"> 8.02%</w:t>
      </w:r>
      <w:r>
        <w:rPr>
          <w:rFonts w:hint="eastAsia"/>
          <w:lang w:eastAsia="zh-CN"/>
        </w:rPr>
        <w:t>，创下了</w:t>
      </w:r>
      <w:r>
        <w:rPr>
          <w:rFonts w:hint="eastAsia"/>
          <w:lang w:eastAsia="zh-CN"/>
        </w:rPr>
        <w:t xml:space="preserve"> 25 </w:t>
      </w:r>
      <w:r>
        <w:rPr>
          <w:rFonts w:hint="eastAsia"/>
          <w:lang w:eastAsia="zh-CN"/>
        </w:rPr>
        <w:t>年来最快和</w:t>
      </w:r>
      <w:r>
        <w:rPr>
          <w:rFonts w:hint="eastAsia"/>
          <w:lang w:eastAsia="zh-CN"/>
        </w:rPr>
        <w:t xml:space="preserve"> 10 </w:t>
      </w:r>
      <w:r>
        <w:rPr>
          <w:rFonts w:hint="eastAsia"/>
          <w:lang w:eastAsia="zh-CN"/>
        </w:rPr>
        <w:t>年来最高的增长记录，并且远远超过了</w:t>
      </w:r>
      <w:r>
        <w:rPr>
          <w:rFonts w:hint="eastAsia"/>
          <w:lang w:eastAsia="zh-CN"/>
        </w:rPr>
        <w:t xml:space="preserve"> 6.0%-6.5%</w:t>
      </w:r>
      <w:r>
        <w:rPr>
          <w:rFonts w:hint="eastAsia"/>
          <w:lang w:eastAsia="zh-CN"/>
        </w:rPr>
        <w:t>的增长预期。</w:t>
      </w:r>
    </w:p>
    <w:p w:rsidR="007E21E9" w:rsidP="007E21E9" w14:paraId="4E8B2FBD" w14:textId="3E554174">
      <w:pPr>
        <w:pStyle w:val="-00"/>
        <w:ind w:firstLine="420"/>
        <w:rPr>
          <w:lang w:eastAsia="zh-CN"/>
        </w:rPr>
      </w:pPr>
      <w:r>
        <w:rPr>
          <w:rFonts w:hint="eastAsia"/>
          <w:lang w:eastAsia="zh-CN"/>
        </w:rPr>
        <w:t>以主要支出法来看，消费和投资是越南最为主要的</w:t>
      </w:r>
      <w:r>
        <w:rPr>
          <w:rFonts w:hint="eastAsia"/>
          <w:lang w:eastAsia="zh-CN"/>
        </w:rPr>
        <w:t xml:space="preserve"> GDP </w:t>
      </w:r>
      <w:r>
        <w:rPr>
          <w:rFonts w:hint="eastAsia"/>
          <w:lang w:eastAsia="zh-CN"/>
        </w:rPr>
        <w:t>贡献项。越南的最终消费主要由居民消费拉动，当前来看居民端需求疲弱，较疫情前处于偏低水平。从净出口项来看，</w:t>
      </w:r>
      <w:r>
        <w:rPr>
          <w:rFonts w:hint="eastAsia"/>
          <w:lang w:eastAsia="zh-CN"/>
        </w:rPr>
        <w:t xml:space="preserve">2012 </w:t>
      </w:r>
      <w:r>
        <w:rPr>
          <w:rFonts w:hint="eastAsia"/>
          <w:lang w:eastAsia="zh-CN"/>
        </w:rPr>
        <w:t>年之前，越南对外贸易常年为逆差，虽然在大力推动制造业出口的政策导向之下，净出口自</w:t>
      </w:r>
      <w:r>
        <w:rPr>
          <w:rFonts w:hint="eastAsia"/>
          <w:lang w:eastAsia="zh-CN"/>
        </w:rPr>
        <w:t xml:space="preserve"> 2012 </w:t>
      </w:r>
      <w:r>
        <w:rPr>
          <w:rFonts w:hint="eastAsia"/>
          <w:lang w:eastAsia="zh-CN"/>
        </w:rPr>
        <w:t>年起由负转正，但占</w:t>
      </w:r>
      <w:r>
        <w:rPr>
          <w:rFonts w:hint="eastAsia"/>
          <w:lang w:eastAsia="zh-CN"/>
        </w:rPr>
        <w:t xml:space="preserve"> GDP </w:t>
      </w:r>
      <w:r>
        <w:rPr>
          <w:rFonts w:hint="eastAsia"/>
          <w:lang w:eastAsia="zh-CN"/>
        </w:rPr>
        <w:t>的比重依旧偏低，主要因为越南随制造业发展和加强区域经济合作后，加工贸易型经济体形成对进出口两端都有提振作用。随全球需求回暖，美国库存见底对出口的利好作用，世界银行预计</w:t>
      </w:r>
      <w:r>
        <w:rPr>
          <w:rFonts w:hint="eastAsia"/>
          <w:lang w:eastAsia="zh-CN"/>
        </w:rPr>
        <w:t xml:space="preserve"> 2024-2025 </w:t>
      </w:r>
      <w:r>
        <w:rPr>
          <w:rFonts w:hint="eastAsia"/>
          <w:lang w:eastAsia="zh-CN"/>
        </w:rPr>
        <w:t>年间，越南经济将持续上行，并在</w:t>
      </w:r>
      <w:r>
        <w:rPr>
          <w:rFonts w:hint="eastAsia"/>
          <w:lang w:eastAsia="zh-CN"/>
        </w:rPr>
        <w:t xml:space="preserve"> 2036 </w:t>
      </w:r>
      <w:r>
        <w:rPr>
          <w:rFonts w:hint="eastAsia"/>
          <w:lang w:eastAsia="zh-CN"/>
        </w:rPr>
        <w:t>年成为东盟第二大经济体。</w:t>
      </w:r>
    </w:p>
    <w:p w:rsidR="007E21E9" w:rsidP="003D28FA">
      <w:pPr>
        <w:pStyle w:val="-00"/>
        <w:ind w:firstLine="420"/>
        <w:rPr>
          <w:lang w:eastAsia="zh-CN"/>
        </w:rPr>
      </w:pPr>
      <w:r>
        <w:rPr>
          <w:rFonts w:hint="eastAsia"/>
          <w:lang w:eastAsia="zh-CN"/>
        </w:rPr>
        <w:t>进出口贸易方面，越南对外奉行独立开放，多样化，和多边化的国际一体化政策，与中美间的贸易伙伴关系持续加深。</w:t>
      </w:r>
      <w:r>
        <w:rPr>
          <w:lang w:eastAsia="zh-CN"/>
        </w:rPr>
        <w:t xml:space="preserve">1995 </w:t>
      </w:r>
      <w:r>
        <w:rPr>
          <w:rFonts w:hint="eastAsia"/>
          <w:lang w:eastAsia="zh-CN"/>
        </w:rPr>
        <w:t>年加入东盟，</w:t>
      </w:r>
      <w:r>
        <w:rPr>
          <w:lang w:eastAsia="zh-CN"/>
        </w:rPr>
        <w:t xml:space="preserve">1986 </w:t>
      </w:r>
      <w:r>
        <w:rPr>
          <w:rFonts w:hint="eastAsia"/>
          <w:lang w:eastAsia="zh-CN"/>
        </w:rPr>
        <w:t>年实施</w:t>
      </w:r>
      <w:r>
        <w:rPr>
          <w:lang w:eastAsia="zh-CN"/>
        </w:rPr>
        <w:t xml:space="preserve"> Đổi Mới </w:t>
      </w:r>
      <w:r>
        <w:rPr>
          <w:rFonts w:hint="eastAsia"/>
          <w:lang w:eastAsia="zh-CN"/>
        </w:rPr>
        <w:t>经济改革之后，贸易活动和金额显著上行。</w:t>
      </w:r>
      <w:r>
        <w:rPr>
          <w:rFonts w:hint="eastAsia"/>
          <w:lang w:eastAsia="zh-CN"/>
        </w:rPr>
        <w:t xml:space="preserve">2006 </w:t>
      </w:r>
      <w:r>
        <w:rPr>
          <w:rFonts w:hint="eastAsia"/>
          <w:lang w:eastAsia="zh-CN"/>
        </w:rPr>
        <w:t>年加入了世贸组织，迄今为止，越南已经和</w:t>
      </w:r>
      <w:r>
        <w:rPr>
          <w:rFonts w:hint="eastAsia"/>
          <w:lang w:eastAsia="zh-CN"/>
        </w:rPr>
        <w:t xml:space="preserve"> 30 </w:t>
      </w:r>
      <w:r>
        <w:rPr>
          <w:rFonts w:hint="eastAsia"/>
          <w:lang w:eastAsia="zh-CN"/>
        </w:rPr>
        <w:t>多个全球战略伙伴建立了贸易协定。当前已经落实了《跨太平洋伙伴关系全面和渐进协定》（</w:t>
      </w:r>
      <w:r>
        <w:rPr>
          <w:rFonts w:hint="eastAsia"/>
          <w:lang w:eastAsia="zh-CN"/>
        </w:rPr>
        <w:t>CPTTP)</w:t>
      </w:r>
      <w:r>
        <w:rPr>
          <w:rFonts w:hint="eastAsia"/>
          <w:lang w:eastAsia="zh-CN"/>
        </w:rPr>
        <w:t>，《越南与欧盟自由贸易协定》（</w:t>
      </w:r>
      <w:r>
        <w:rPr>
          <w:rFonts w:hint="eastAsia"/>
          <w:lang w:eastAsia="zh-CN"/>
        </w:rPr>
        <w:t xml:space="preserve">EVFTA), </w:t>
      </w:r>
      <w:r>
        <w:rPr>
          <w:rFonts w:hint="eastAsia"/>
          <w:lang w:eastAsia="zh-CN"/>
        </w:rPr>
        <w:t>以及《区域全面经济伙伴协定》（</w:t>
      </w:r>
      <w:r>
        <w:rPr>
          <w:rFonts w:hint="eastAsia"/>
          <w:lang w:eastAsia="zh-CN"/>
        </w:rPr>
        <w:t>RCEP</w:t>
      </w:r>
      <w:r>
        <w:rPr>
          <w:rFonts w:hint="eastAsia"/>
          <w:lang w:eastAsia="zh-CN"/>
        </w:rPr>
        <w:t>）等。近年来，出口的大幅提升改善了越南自</w:t>
      </w:r>
      <w:r>
        <w:rPr>
          <w:rFonts w:hint="eastAsia"/>
          <w:lang w:eastAsia="zh-CN"/>
        </w:rPr>
        <w:t xml:space="preserve"> 80 </w:t>
      </w:r>
      <w:r>
        <w:rPr>
          <w:rFonts w:hint="eastAsia"/>
          <w:lang w:eastAsia="zh-CN"/>
        </w:rPr>
        <w:t>年代以来的贸易逆差。从</w:t>
      </w:r>
      <w:r>
        <w:rPr>
          <w:rFonts w:hint="eastAsia"/>
          <w:lang w:eastAsia="zh-CN"/>
        </w:rPr>
        <w:t xml:space="preserve"> 2012 </w:t>
      </w:r>
      <w:r>
        <w:rPr>
          <w:rFonts w:hint="eastAsia"/>
          <w:lang w:eastAsia="zh-CN"/>
        </w:rPr>
        <w:t>年开始，越南已实现了稳定的贸易顺差，然而由于越南对外依存度较重，原料和零部件高度依赖国外进口，因此越南的贸易顺差偏低，净出口对</w:t>
      </w:r>
      <w:r>
        <w:rPr>
          <w:rFonts w:hint="eastAsia"/>
          <w:lang w:eastAsia="zh-CN"/>
        </w:rPr>
        <w:t xml:space="preserve"> GDP </w:t>
      </w:r>
      <w:r>
        <w:rPr>
          <w:rFonts w:hint="eastAsia"/>
          <w:lang w:eastAsia="zh-CN"/>
        </w:rPr>
        <w:t>的拉动不显著。当前越南最大的贸易伙伴为美国、欧盟、中国、东盟、韩国和日本，从出口地来看，美国当前占据越南出口的最大份额，其次为中国。在</w:t>
      </w:r>
      <w:r>
        <w:rPr>
          <w:rFonts w:hint="eastAsia"/>
          <w:lang w:eastAsia="zh-CN"/>
        </w:rPr>
        <w:t xml:space="preserve"> 2018-2022</w:t>
      </w:r>
      <w:r>
        <w:rPr>
          <w:rFonts w:hint="eastAsia"/>
          <w:lang w:eastAsia="zh-CN"/>
        </w:rPr>
        <w:t>年，越南向两国的出口额皆有所扩张，去年对中国的出口额维持上行趋势，</w:t>
      </w:r>
      <w:r>
        <w:rPr>
          <w:rFonts w:hint="eastAsia"/>
          <w:lang w:eastAsia="zh-CN"/>
        </w:rPr>
        <w:t>而对美国的出口额则有所放缓。</w:t>
      </w:r>
    </w:p>
    <w:p w:rsidR="007E21E9" w:rsidP="003D28FA">
      <w:pPr>
        <w:pStyle w:val="-00"/>
        <w:ind w:firstLine="420"/>
        <w:rPr>
          <w:lang w:eastAsia="zh-CN"/>
        </w:rPr>
      </w:pPr>
      <w:r>
        <w:rPr>
          <w:rFonts w:hint="eastAsia"/>
          <w:lang w:eastAsia="zh-CN"/>
        </w:rPr>
        <w:t>QYResearch（恒州博智）</w:t>
      </w:r>
    </w:p>
    <w:p w:rsidR="007E21E9" w:rsidP="003D28FA">
      <w:pPr>
        <w:pStyle w:val="-00"/>
        <w:ind w:firstLine="420"/>
        <w:rPr>
          <w:lang w:eastAsia="zh-CN"/>
        </w:rPr>
      </w:pPr>
      <w:r>
        <w:rPr>
          <w:rFonts w:hint="eastAsia"/>
          <w:lang w:eastAsia="zh-CN"/>
        </w:rPr>
        <w:t>深耕细分市场研究十七载，作为全球细分市场研究的领军者，已赢得超过6.5万家顶尖企业的信赖与选择。</w:t>
      </w:r>
    </w:p>
    <w:p w:rsidR="007E21E9" w:rsidP="003D28FA">
      <w:pPr>
        <w:pStyle w:val="-00"/>
        <w:ind w:firstLine="420"/>
        <w:rPr>
          <w:lang w:eastAsia="zh-CN"/>
        </w:rPr>
      </w:pPr>
      <w:r>
        <w:rPr>
          <w:rFonts w:hint="eastAsia"/>
          <w:lang w:eastAsia="zh-CN"/>
        </w:rPr>
        <w:t>横跨千余行业，累计撰写超过200万份商品研究报告，构建300多个行业数据库，全面覆盖市场脉络。</w:t>
      </w:r>
    </w:p>
    <w:p w:rsidR="007E21E9" w:rsidP="003D28FA">
      <w:pPr>
        <w:pStyle w:val="-00"/>
        <w:ind w:firstLine="420"/>
        <w:rPr>
          <w:lang w:eastAsia="zh-CN"/>
        </w:rPr>
      </w:pPr>
      <w:r>
        <w:rPr>
          <w:rFonts w:hint="eastAsia"/>
          <w:lang w:eastAsia="zh-CN"/>
        </w:rPr>
        <w:t>我们独步全球，拥有30维度数据采访验证体系，并设立365天、7x24小时全天候在线服务系统，确保客户需求得到及时响应。</w:t>
      </w:r>
    </w:p>
    <w:p w:rsidR="007E21E9" w:rsidP="003D28FA">
      <w:pPr>
        <w:pStyle w:val="-00"/>
        <w:ind w:firstLine="420"/>
        <w:rPr>
          <w:lang w:eastAsia="zh-CN"/>
        </w:rPr>
      </w:pPr>
      <w:r>
        <w:rPr>
          <w:rFonts w:hint="eastAsia"/>
          <w:lang w:eastAsia="zh-CN"/>
        </w:rPr>
        <w:t>凭借业内领先的需求响应速度，我们实现了95%的成本优化（以同等品质为标准，价格仅为主流品牌的1/20）。</w:t>
      </w:r>
    </w:p>
    <w:p w:rsidR="007E21E9" w:rsidP="003D28FA">
      <w:pPr>
        <w:pStyle w:val="-00"/>
        <w:ind w:firstLine="420"/>
        <w:rPr>
          <w:lang w:eastAsia="zh-CN"/>
        </w:rPr>
      </w:pPr>
      <w:r>
        <w:rPr>
          <w:rFonts w:hint="eastAsia"/>
          <w:lang w:eastAsia="zh-CN"/>
        </w:rPr>
        <w:t>我们建立了覆盖全球200个国家的本地化数据采集网络，每年输出超过20万份高质量行业研究报告。</w:t>
      </w:r>
    </w:p>
    <w:p w:rsidR="007E21E9" w:rsidP="003D28FA">
      <w:pPr>
        <w:pStyle w:val="-00"/>
        <w:ind w:firstLine="420"/>
        <w:rPr>
          <w:lang w:eastAsia="zh-CN"/>
        </w:rPr>
      </w:pPr>
      <w:r>
        <w:rPr>
          <w:rFonts w:hint="eastAsia"/>
          <w:lang w:eastAsia="zh-CN"/>
        </w:rPr>
        <w:t>在数据来源方面，我们坚持严谨态度，其中80%的数据直接来源于一手渠道，确保信息的真实性和时效性；而剩余的20%则来自权威二手渠道，以丰富数据的维度和深度。</w:t>
      </w:r>
    </w:p>
    <w:p w:rsidR="007E21E9" w:rsidP="003D28FA" w14:paraId="5394EA0B" w14:textId="4E2CEABC">
      <w:pPr>
        <w:pStyle w:val="-00"/>
        <w:ind w:firstLine="420"/>
        <w:rPr>
          <w:lang w:eastAsia="zh-CN"/>
        </w:rPr>
      </w:pPr>
      <w:r>
        <w:rPr>
          <w:rFonts w:hint="eastAsia"/>
          <w:lang w:eastAsia="zh-CN"/>
        </w:rPr>
        <w:t>QYResearch的数据品质备受认可，99%的世界500强企业选择我们的数据作为决策依据，每天更有大量国内外媒体引用我们的研究成果。</w:t>
      </w:r>
    </w:p>
    <w:p w:rsidR="00CB1E51" w:rsidP="00CB1E51">
      <w:pPr>
        <w:pStyle w:val="Heading20"/>
      </w:pPr>
      <w:r w:rsidRPr="00CB1E51">
        <w:rPr>
          <w:rFonts w:hint="eastAsia"/>
        </w:rPr>
        <w:t>马来西亚</w:t>
      </w:r>
    </w:p>
    <w:p w:rsidR="00CB1E51" w:rsidP="00CB1E51">
      <w:pPr>
        <w:pStyle w:val="Heading20"/>
      </w:pPr>
      <w:r w:rsidRPr="00CB1E51">
        <w:rPr>
          <w:rFonts w:hint="eastAsia"/>
        </w:rPr>
        <w:t>菲律宾</w:t>
      </w:r>
    </w:p>
    <w:p w:rsidR="00CB1E51" w:rsidP="00CB1E51">
      <w:pPr>
        <w:pStyle w:val="Heading20"/>
      </w:pPr>
      <w:r w:rsidRPr="00CB1E51">
        <w:rPr>
          <w:rFonts w:hint="eastAsia"/>
        </w:rPr>
        <w:t>新加坡</w:t>
      </w:r>
    </w:p>
    <w:p w:rsidR="00CB1E51" w:rsidP="00CB1E51">
      <w:pPr>
        <w:pStyle w:val="Heading20"/>
      </w:pPr>
      <w:r w:rsidRPr="00CB1E51">
        <w:rPr>
          <w:rFonts w:hint="eastAsia"/>
        </w:rPr>
        <w:t>泰国</w:t>
      </w:r>
    </w:p>
    <w:p w:rsidR="007E21E9" w:rsidP="00CB1E51">
      <w:pPr>
        <w:pStyle w:val="Heading20"/>
      </w:pPr>
      <w:r>
        <w:rPr>
          <w:rFonts w:hint="eastAsia"/>
        </w:rPr>
        <w:t>其他国家</w:t>
      </w:r>
    </w:p>
    <w:p w:rsidR="00137863" w:rsidP="00137863" w14:paraId="119DF669" w14:textId="77777777">
      <w:pPr>
        <w:pStyle w:val="Heading10"/>
        <w:rPr>
          <w:lang w:eastAsia="zh-CN"/>
        </w:rPr>
      </w:pPr>
      <w:bookmarkStart w:id="54" w:name="_Toc166762015"/>
      <w:r>
        <w:rPr>
          <w:rFonts w:hint="eastAsia"/>
          <w:lang w:eastAsia="zh-CN"/>
        </w:rPr>
        <w:t>行业竞争格局</w:t>
      </w:r>
      <w:bookmarkEnd w:id="54"/>
    </w:p>
    <w:p w:rsidR="00137863" w:rsidRPr="00780235" w:rsidP="00137863" w14:paraId="7402E106" w14:textId="77777777">
      <w:pPr>
        <w:pStyle w:val="Heading20"/>
        <w:rPr>
          <w:lang w:val="en-IN"/>
        </w:rPr>
      </w:pPr>
      <w:bookmarkStart w:id="55" w:name="_Toc166762016"/>
      <w:r>
        <w:rPr>
          <w:rFonts w:hint="eastAsia"/>
        </w:rPr>
        <w:t>全球市场</w:t>
      </w:r>
      <w:r w:rsidRPr="00C055B0">
        <w:rPr>
          <w:rFonts w:hint="eastAsia"/>
        </w:rPr>
        <w:t>电子式热分配表(HCA)</w:t>
      </w:r>
      <w:r>
        <w:rPr>
          <w:rFonts w:hint="eastAsia"/>
        </w:rPr>
        <w:t>竞争格局</w:t>
      </w:r>
      <w:bookmarkEnd w:id="55"/>
    </w:p>
    <w:p w:rsidR="00137863" w:rsidP="00137863" w14:paraId="2D7F9CF1" w14:textId="77777777">
      <w:pPr>
        <w:pStyle w:val="Heading30"/>
      </w:pPr>
      <w:bookmarkStart w:id="56" w:name="_Toc166762017"/>
      <w:r>
        <w:rPr>
          <w:rFonts w:hint="eastAsia"/>
        </w:rPr>
        <w:t>全球市场</w:t>
      </w:r>
      <w:r w:rsidRPr="00C055B0">
        <w:rPr>
          <w:rFonts w:hint="eastAsia"/>
        </w:rPr>
        <w:t>电子式热分配表(HCA)</w:t>
      </w:r>
      <w:r>
        <w:rPr>
          <w:rFonts w:hint="eastAsia"/>
        </w:rPr>
        <w:t>厂商份额（</w:t>
      </w:r>
      <w:r>
        <w:rPr>
          <w:rFonts w:hint="eastAsia"/>
        </w:rPr>
        <w:t>2023</w:t>
      </w:r>
      <w:r>
        <w:rPr>
          <w:rFonts w:hint="eastAsia"/>
        </w:rPr>
        <w:t>）</w:t>
      </w:r>
      <w:bookmarkEnd w:id="56"/>
    </w:p>
    <w:p w:rsidR="00137863" w:rsidP="00137863" w14:paraId="13B48379" w14:textId="77777777">
      <w:pPr>
        <w:pStyle w:val="FigureStyle00"/>
      </w:pPr>
      <w:bookmarkStart w:id="57" w:name="_Toc166761935"/>
      <w:r>
        <w:rPr>
          <w:rFonts w:hint="eastAsia"/>
        </w:rPr>
        <w:t>全球市场</w:t>
      </w:r>
      <w:r w:rsidRPr="00C055B0">
        <w:rPr>
          <w:rFonts w:hint="eastAsia"/>
        </w:rPr>
        <w:t>电子式热分配表(HCA)</w:t>
      </w:r>
      <w:r>
        <w:rPr>
          <w:rFonts w:hint="eastAsia"/>
        </w:rPr>
        <w:t>厂商份额（</w:t>
      </w:r>
      <w:r>
        <w:rPr>
          <w:rFonts w:hint="eastAsia"/>
        </w:rPr>
        <w:t>2023</w:t>
      </w:r>
      <w:r>
        <w:rPr>
          <w:rFonts w:hint="eastAsia"/>
        </w:rPr>
        <w:t>）</w:t>
      </w:r>
      <w:bookmarkEnd w:id="57"/>
    </w:p>
    <w:p w:rsidR="00137863" w:rsidP="00137863" w14:paraId="0F247C19" w14:textId="77777777">
      <w:pPr>
        <w:pStyle w:val="Normal0"/>
      </w:pPr>
      <w:r>
        <w:rPr>
          <w:noProof/>
        </w:rPr>
        <w:drawing>
          <wp:inline distT="0" distB="0" distL="0" distR="0">
            <wp:extent cx="3037588" cy="2880000"/>
            <wp:effectExtent l="0" t="0" r="0" b="0"/>
            <wp:docPr id="893377840" name="图表 893377840">
              <a:extLst xmlns:a="http://schemas.openxmlformats.org/drawingml/2006/main">
                <a:ext xmlns:a="http://schemas.openxmlformats.org/drawingml/2006/main" uri="{FF2B5EF4-FFF2-40B4-BE49-F238E27FC236}">
                  <a16:creationId xmlns:a16="http://schemas.microsoft.com/office/drawing/2014/main" id="{2F9CA30B-3C73-407D-B031-22FB6B3C89C0}"/>
                </a:ext>
              </a:extLst>
            </wp:docPr>
            <wp:cNvGraphicFramePr/>
            <a:graphic xmlns:a="http://schemas.openxmlformats.org/drawingml/2006/main">
              <a:graphicData uri="http://schemas.openxmlformats.org/drawingml/2006/chart">
                <c:chart xmlns:c="http://schemas.openxmlformats.org/drawingml/2006/chart" xmlns:r="http://schemas.openxmlformats.org/officeDocument/2006/relationships" r:id="rId29"/>
              </a:graphicData>
            </a:graphic>
          </wp:inline>
        </w:drawing>
      </w:r>
    </w:p>
    <w:p w:rsidR="00137863" w:rsidP="00137863" w14:paraId="05B974F9" w14:textId="77777777">
      <w:pPr>
        <w:pStyle w:val="Source00"/>
      </w:pPr>
      <w:r>
        <w:rPr>
          <w:rFonts w:hint="eastAsia"/>
        </w:rPr>
        <w:t>资料来源：如上企业、第三方资料、新闻报道、业内专家采访及</w:t>
      </w:r>
      <w:r>
        <w:rPr>
          <w:rFonts w:hint="eastAsia"/>
        </w:rPr>
        <w:t>QYResearch</w:t>
      </w:r>
      <w:r>
        <w:rPr>
          <w:rFonts w:hint="eastAsia"/>
        </w:rPr>
        <w:t>整理研究，</w:t>
      </w:r>
      <w:r>
        <w:rPr>
          <w:rFonts w:hint="eastAsia"/>
        </w:rPr>
        <w:t>2024</w:t>
      </w:r>
      <w:r>
        <w:rPr>
          <w:rFonts w:hint="eastAsia"/>
        </w:rPr>
        <w:t>年</w:t>
      </w:r>
    </w:p>
    <w:p w:rsidR="00137863" w:rsidP="00137863">
      <w:pPr>
        <w:pStyle w:val="Heading30"/>
      </w:pPr>
      <w:bookmarkStart w:id="58" w:name="_Toc166762018"/>
      <w:r>
        <w:rPr>
          <w:rFonts w:hint="eastAsia"/>
        </w:rPr>
        <w:t>全球市场</w:t>
      </w:r>
      <w:r w:rsidRPr="00C055B0">
        <w:rPr>
          <w:rFonts w:hint="eastAsia"/>
        </w:rPr>
        <w:t>电子式热分配表(HCA)</w:t>
      </w:r>
      <w:r>
        <w:rPr>
          <w:rFonts w:hint="eastAsia"/>
        </w:rPr>
        <w:t>竞争分析</w:t>
      </w:r>
      <w:bookmarkEnd w:id="58"/>
    </w:p>
    <w:p w:rsidR="00137863" w:rsidP="00137863" w14:paraId="0417AF5F" w14:textId="77777777">
      <w:pPr>
        <w:pStyle w:val="Heading30"/>
      </w:pPr>
      <w:bookmarkStart w:id="59" w:name="_Toc24028312"/>
      <w:bookmarkStart w:id="60" w:name="_Toc24972502"/>
      <w:bookmarkStart w:id="61" w:name="_Toc121583901"/>
      <w:bookmarkStart w:id="62" w:name="_Toc166762019"/>
      <w:bookmarkStart w:id="63" w:name="_Toc24028304"/>
      <w:bookmarkStart w:id="64" w:name="_Toc24972494"/>
      <w:bookmarkStart w:id="65" w:name="_Toc121583895"/>
      <w:r>
        <w:rPr>
          <w:rFonts w:hint="eastAsia"/>
        </w:rPr>
        <w:t>主要厂商</w:t>
      </w:r>
      <w:r w:rsidRPr="00B728C9">
        <w:t>电子式热分配表(HCA)</w:t>
      </w:r>
      <w:r>
        <w:rPr>
          <w:rFonts w:hint="eastAsia"/>
        </w:rPr>
        <w:t>总部及产地分布</w:t>
      </w:r>
      <w:bookmarkEnd w:id="59"/>
      <w:bookmarkEnd w:id="60"/>
      <w:bookmarkEnd w:id="61"/>
      <w:bookmarkEnd w:id="62"/>
    </w:p>
    <w:p w:rsidR="00137863" w:rsidRPr="006C3BE6" w:rsidP="006C3BE6" w14:paraId="1BAF8071" w14:textId="77777777">
      <w:pPr>
        <w:pStyle w:val="TableStyle0"/>
        <w:ind w:left="252" w:right="-105"/>
      </w:pPr>
      <w:bookmarkStart w:id="66" w:name="_Toc24028926"/>
      <w:bookmarkStart w:id="67" w:name="_Toc26780078"/>
      <w:bookmarkStart w:id="68" w:name="_Toc121583633"/>
      <w:bookmarkStart w:id="69" w:name="_Toc166761947"/>
      <w:r w:rsidRPr="006C3BE6">
        <w:rPr>
          <w:rFonts w:hint="eastAsia"/>
        </w:rPr>
        <w:t>主要厂商</w:t>
      </w:r>
      <w:r w:rsidRPr="006C3BE6">
        <w:rPr>
          <w:rFonts w:hint="eastAsia"/>
        </w:rPr>
        <w:t>电子式热分配表(HCA)</w:t>
      </w:r>
      <w:bookmarkEnd w:id="66"/>
      <w:bookmarkEnd w:id="67"/>
      <w:r w:rsidRPr="006C3BE6">
        <w:rPr>
          <w:rFonts w:hint="eastAsia"/>
        </w:rPr>
        <w:t>总部及产地分布</w:t>
      </w:r>
      <w:bookmarkEnd w:id="68"/>
      <w:bookmarkEnd w:id="69"/>
    </w:p>
    <w:tbl>
      <w:tblPr>
        <w:tblStyle w:val="TableGrid80"/>
        <w:tblW w:w="5000" w:type="pct"/>
        <w:tblLook w:val="04A0"/>
      </w:tblPr>
      <w:tblGrid>
        <w:gridCol w:w="3623"/>
        <w:gridCol w:w="2444"/>
        <w:gridCol w:w="3901"/>
      </w:tblGrid>
      <w:tr w14:paraId="0D156FB5" w14:textId="77777777" w:rsidTr="00017B34">
        <w:tblPrEx>
          <w:tblW w:w="5000" w:type="pct"/>
          <w:tblLook w:val="04A0"/>
        </w:tblPrEx>
        <w:trPr>
          <w:trHeight w:val="270"/>
        </w:trPr>
        <w:tc>
          <w:tcPr>
            <w:tcW w:w="1817" w:type="pct"/>
            <w:noWrap/>
            <w:hideMark/>
          </w:tcPr>
          <w:p w:rsidR="00137863" w:rsidRPr="00F844AB" w:rsidP="00017B34" w14:paraId="36DF39FB" w14:textId="77777777">
            <w:pPr>
              <w:pStyle w:val="Normal0"/>
            </w:pPr>
            <w:bookmarkStart w:id="70" w:name="_Hlk535523575"/>
            <w:r>
              <w:rPr>
                <w:rFonts w:hint="eastAsia"/>
              </w:rPr>
              <w:t>公司名称</w:t>
            </w:r>
          </w:p>
        </w:tc>
        <w:tc>
          <w:tcPr>
            <w:tcW w:w="1226" w:type="pct"/>
            <w:noWrap/>
            <w:hideMark/>
          </w:tcPr>
          <w:p w:rsidR="00137863" w:rsidRPr="00F844AB" w:rsidP="00017B34" w14:paraId="2CC01E3D" w14:textId="77777777">
            <w:pPr>
              <w:pStyle w:val="Normal0"/>
            </w:pPr>
            <w:r>
              <w:rPr>
                <w:rFonts w:hint="eastAsia"/>
              </w:rPr>
              <w:t>总部</w:t>
            </w:r>
          </w:p>
        </w:tc>
        <w:tc>
          <w:tcPr>
            <w:tcW w:w="1957" w:type="pct"/>
            <w:noWrap/>
            <w:hideMark/>
          </w:tcPr>
          <w:p w:rsidR="00137863" w:rsidRPr="00F844AB" w:rsidP="00017B34" w14:paraId="6154CBA5" w14:textId="77777777">
            <w:pPr>
              <w:pStyle w:val="Normal0"/>
            </w:pPr>
            <w:r>
              <w:rPr>
                <w:rFonts w:hint="eastAsia"/>
              </w:rPr>
              <w:t>产地分布</w:t>
            </w:r>
          </w:p>
        </w:tc>
      </w:tr>
      <w:tr w14:paraId="5E901869" w14:textId="77777777" w:rsidTr="00017B34">
        <w:tblPrEx>
          <w:tblW w:w="5000" w:type="pct"/>
          <w:tblLook w:val="04A0"/>
        </w:tblPrEx>
        <w:trPr>
          <w:trHeight w:val="270"/>
        </w:trPr>
        <w:tc>
          <w:tcPr>
            <w:tcW w:w="1817" w:type="pct"/>
            <w:noWrap/>
            <w:hideMark/>
          </w:tcPr>
          <w:p w:rsidR="00137863" w:rsidRPr="009D02FC" w:rsidP="00017B34" w14:paraId="0A6B2269" w14:textId="77777777">
            <w:pPr>
              <w:pStyle w:val="Normal0"/>
            </w:pPr>
            <w:r w:rsidRPr="009D02FC">
              <w:t>Zenner</w:t>
            </w:r>
          </w:p>
        </w:tc>
        <w:tc>
          <w:tcPr>
            <w:tcW w:w="1226" w:type="pct"/>
            <w:noWrap/>
          </w:tcPr>
          <w:p w:rsidR="00137863" w:rsidP="00017B34" w14:paraId="4B13DDB3" w14:textId="77777777">
            <w:pPr>
              <w:pStyle w:val="Normal0"/>
            </w:pPr>
            <w:r w:rsidRPr="00FA3FC2">
              <w:rPr>
                <w:rFonts w:hint="eastAsia"/>
              </w:rPr>
              <w:t>XX</w:t>
            </w:r>
          </w:p>
        </w:tc>
        <w:tc>
          <w:tcPr>
            <w:tcW w:w="1957" w:type="pct"/>
            <w:noWrap/>
          </w:tcPr>
          <w:p w:rsidR="00137863" w:rsidP="00017B34" w14:paraId="542D07C6" w14:textId="77777777">
            <w:pPr>
              <w:pStyle w:val="Normal0"/>
            </w:pPr>
            <w:r w:rsidRPr="00FA3FC2">
              <w:rPr>
                <w:rFonts w:hint="eastAsia"/>
              </w:rPr>
              <w:t>XX</w:t>
            </w:r>
          </w:p>
        </w:tc>
      </w:tr>
      <w:tr w14:paraId="61E7122A" w14:textId="77777777" w:rsidTr="00017B34">
        <w:tblPrEx>
          <w:tblW w:w="5000" w:type="pct"/>
          <w:tblLook w:val="04A0"/>
        </w:tblPrEx>
        <w:trPr>
          <w:trHeight w:val="270"/>
        </w:trPr>
        <w:tc>
          <w:tcPr>
            <w:tcW w:w="1817" w:type="pct"/>
            <w:noWrap/>
            <w:hideMark/>
          </w:tcPr>
          <w:p w:rsidR="00137863" w:rsidRPr="009D02FC" w:rsidP="00017B34" w14:paraId="59055A0C" w14:textId="77777777">
            <w:pPr>
              <w:pStyle w:val="Normal0"/>
            </w:pPr>
            <w:r w:rsidRPr="009D02FC">
              <w:t>Ista</w:t>
            </w:r>
          </w:p>
        </w:tc>
        <w:tc>
          <w:tcPr>
            <w:tcW w:w="1226" w:type="pct"/>
            <w:noWrap/>
          </w:tcPr>
          <w:p w:rsidR="00137863" w:rsidP="00017B34" w14:paraId="3D5C5966" w14:textId="77777777">
            <w:pPr>
              <w:pStyle w:val="Normal0"/>
            </w:pPr>
            <w:r w:rsidRPr="00FA3FC2">
              <w:rPr>
                <w:rFonts w:hint="eastAsia"/>
              </w:rPr>
              <w:t>XX</w:t>
            </w:r>
          </w:p>
        </w:tc>
        <w:tc>
          <w:tcPr>
            <w:tcW w:w="1957" w:type="pct"/>
            <w:noWrap/>
          </w:tcPr>
          <w:p w:rsidR="00137863" w:rsidP="00017B34" w14:paraId="1ADE6C22" w14:textId="77777777">
            <w:pPr>
              <w:pStyle w:val="Normal0"/>
            </w:pPr>
            <w:r w:rsidRPr="00FA3FC2">
              <w:rPr>
                <w:rFonts w:hint="eastAsia"/>
              </w:rPr>
              <w:t>XX</w:t>
            </w:r>
          </w:p>
        </w:tc>
      </w:tr>
      <w:tr w14:paraId="594EF791" w14:textId="77777777" w:rsidTr="00017B34">
        <w:tblPrEx>
          <w:tblW w:w="5000" w:type="pct"/>
          <w:tblLook w:val="04A0"/>
        </w:tblPrEx>
        <w:trPr>
          <w:trHeight w:val="270"/>
        </w:trPr>
        <w:tc>
          <w:tcPr>
            <w:tcW w:w="1817" w:type="pct"/>
            <w:noWrap/>
            <w:hideMark/>
          </w:tcPr>
          <w:p w:rsidR="00137863" w:rsidRPr="009D02FC" w:rsidP="00017B34" w14:paraId="78B0CFD6" w14:textId="77777777">
            <w:pPr>
              <w:pStyle w:val="Normal0"/>
            </w:pPr>
            <w:r w:rsidRPr="009D02FC">
              <w:t>Techem</w:t>
            </w:r>
          </w:p>
        </w:tc>
        <w:tc>
          <w:tcPr>
            <w:tcW w:w="1226" w:type="pct"/>
            <w:noWrap/>
          </w:tcPr>
          <w:p w:rsidR="00137863" w:rsidP="00017B34" w14:paraId="32224B3D" w14:textId="77777777">
            <w:pPr>
              <w:pStyle w:val="Normal0"/>
            </w:pPr>
            <w:r w:rsidRPr="00FA3FC2">
              <w:rPr>
                <w:rFonts w:hint="eastAsia"/>
              </w:rPr>
              <w:t>XX</w:t>
            </w:r>
          </w:p>
        </w:tc>
        <w:tc>
          <w:tcPr>
            <w:tcW w:w="1957" w:type="pct"/>
            <w:noWrap/>
          </w:tcPr>
          <w:p w:rsidR="00137863" w:rsidP="00017B34" w14:paraId="68AD3ECC" w14:textId="77777777">
            <w:pPr>
              <w:pStyle w:val="Normal0"/>
            </w:pPr>
            <w:r w:rsidRPr="00FA3FC2">
              <w:rPr>
                <w:rFonts w:hint="eastAsia"/>
              </w:rPr>
              <w:t>XX</w:t>
            </w:r>
          </w:p>
        </w:tc>
      </w:tr>
      <w:tr w14:paraId="3E1FB3C2" w14:textId="77777777" w:rsidTr="00017B34">
        <w:tblPrEx>
          <w:tblW w:w="5000" w:type="pct"/>
          <w:tblLook w:val="04A0"/>
        </w:tblPrEx>
        <w:trPr>
          <w:trHeight w:val="270"/>
        </w:trPr>
        <w:tc>
          <w:tcPr>
            <w:tcW w:w="1817" w:type="pct"/>
            <w:noWrap/>
            <w:hideMark/>
          </w:tcPr>
          <w:p w:rsidR="00137863" w:rsidRPr="009D02FC" w:rsidP="00017B34" w14:paraId="457C5F40" w14:textId="77777777">
            <w:pPr>
              <w:pStyle w:val="Normal0"/>
            </w:pPr>
            <w:r w:rsidRPr="009D02FC">
              <w:t>Siemens</w:t>
            </w:r>
          </w:p>
        </w:tc>
        <w:tc>
          <w:tcPr>
            <w:tcW w:w="1226" w:type="pct"/>
            <w:noWrap/>
          </w:tcPr>
          <w:p w:rsidR="00137863" w:rsidP="00017B34" w14:paraId="4F5EF177" w14:textId="77777777">
            <w:pPr>
              <w:pStyle w:val="Normal0"/>
            </w:pPr>
            <w:r w:rsidRPr="00FA3FC2">
              <w:rPr>
                <w:rFonts w:hint="eastAsia"/>
              </w:rPr>
              <w:t>XX</w:t>
            </w:r>
          </w:p>
        </w:tc>
        <w:tc>
          <w:tcPr>
            <w:tcW w:w="1957" w:type="pct"/>
            <w:noWrap/>
          </w:tcPr>
          <w:p w:rsidR="00137863" w:rsidP="00017B34" w14:paraId="08624C8F" w14:textId="77777777">
            <w:pPr>
              <w:pStyle w:val="Normal0"/>
            </w:pPr>
            <w:r w:rsidRPr="00FA3FC2">
              <w:rPr>
                <w:rFonts w:hint="eastAsia"/>
              </w:rPr>
              <w:t>XX</w:t>
            </w:r>
          </w:p>
        </w:tc>
      </w:tr>
      <w:tr w14:paraId="62884929" w14:textId="77777777" w:rsidTr="00017B34">
        <w:tblPrEx>
          <w:tblW w:w="5000" w:type="pct"/>
          <w:tblLook w:val="04A0"/>
        </w:tblPrEx>
        <w:trPr>
          <w:trHeight w:val="270"/>
        </w:trPr>
        <w:tc>
          <w:tcPr>
            <w:tcW w:w="1817" w:type="pct"/>
            <w:noWrap/>
          </w:tcPr>
          <w:p w:rsidR="00137863" w:rsidRPr="009D02FC" w:rsidP="00017B34" w14:paraId="614000F3" w14:textId="77777777">
            <w:pPr>
              <w:pStyle w:val="Normal0"/>
            </w:pPr>
            <w:r w:rsidRPr="009D02FC">
              <w:t>Engelmnn</w:t>
            </w:r>
          </w:p>
        </w:tc>
        <w:tc>
          <w:tcPr>
            <w:tcW w:w="1226" w:type="pct"/>
            <w:noWrap/>
          </w:tcPr>
          <w:p w:rsidR="00137863" w:rsidP="00017B34" w14:paraId="6F71648F" w14:textId="77777777">
            <w:pPr>
              <w:pStyle w:val="Normal0"/>
            </w:pPr>
            <w:r w:rsidRPr="00FA3FC2">
              <w:rPr>
                <w:rFonts w:hint="eastAsia"/>
              </w:rPr>
              <w:t>XX</w:t>
            </w:r>
          </w:p>
        </w:tc>
        <w:tc>
          <w:tcPr>
            <w:tcW w:w="1957" w:type="pct"/>
            <w:noWrap/>
          </w:tcPr>
          <w:p w:rsidR="00137863" w:rsidP="00017B34" w14:paraId="6C2BAC92" w14:textId="77777777">
            <w:pPr>
              <w:pStyle w:val="Normal0"/>
            </w:pPr>
            <w:r w:rsidRPr="00FA3FC2">
              <w:rPr>
                <w:rFonts w:hint="eastAsia"/>
              </w:rPr>
              <w:t>XX</w:t>
            </w:r>
          </w:p>
        </w:tc>
      </w:tr>
      <w:tr w14:paraId="18D739A1" w14:textId="77777777" w:rsidTr="00017B34">
        <w:tblPrEx>
          <w:tblW w:w="5000" w:type="pct"/>
          <w:tblLook w:val="04A0"/>
        </w:tblPrEx>
        <w:trPr>
          <w:trHeight w:val="270"/>
        </w:trPr>
        <w:tc>
          <w:tcPr>
            <w:tcW w:w="1817" w:type="pct"/>
            <w:noWrap/>
          </w:tcPr>
          <w:p w:rsidR="00137863" w:rsidRPr="009D02FC" w:rsidP="00017B34" w14:paraId="216B87EF" w14:textId="77777777">
            <w:pPr>
              <w:pStyle w:val="Normal0"/>
            </w:pPr>
            <w:r w:rsidRPr="009D02FC">
              <w:t>Te-sa s.r.l.</w:t>
            </w:r>
          </w:p>
        </w:tc>
        <w:tc>
          <w:tcPr>
            <w:tcW w:w="1226" w:type="pct"/>
            <w:noWrap/>
          </w:tcPr>
          <w:p w:rsidR="00137863" w:rsidP="00017B34" w14:paraId="354A8DBA" w14:textId="77777777">
            <w:pPr>
              <w:pStyle w:val="Normal0"/>
            </w:pPr>
            <w:r w:rsidRPr="00FA3FC2">
              <w:rPr>
                <w:rFonts w:hint="eastAsia"/>
              </w:rPr>
              <w:t>XX</w:t>
            </w:r>
          </w:p>
        </w:tc>
        <w:tc>
          <w:tcPr>
            <w:tcW w:w="1957" w:type="pct"/>
            <w:noWrap/>
          </w:tcPr>
          <w:p w:rsidR="00137863" w:rsidP="00017B34" w14:paraId="082BF15D" w14:textId="77777777">
            <w:pPr>
              <w:pStyle w:val="Normal0"/>
            </w:pPr>
            <w:r w:rsidRPr="00FA3FC2">
              <w:rPr>
                <w:rFonts w:hint="eastAsia"/>
              </w:rPr>
              <w:t>XX</w:t>
            </w:r>
          </w:p>
        </w:tc>
      </w:tr>
      <w:tr w14:paraId="2AD6D386" w14:textId="77777777" w:rsidTr="00017B34">
        <w:tblPrEx>
          <w:tblW w:w="5000" w:type="pct"/>
          <w:tblLook w:val="04A0"/>
        </w:tblPrEx>
        <w:trPr>
          <w:trHeight w:val="270"/>
        </w:trPr>
        <w:tc>
          <w:tcPr>
            <w:tcW w:w="1817" w:type="pct"/>
            <w:noWrap/>
          </w:tcPr>
          <w:p w:rsidR="00137863" w:rsidRPr="009D02FC" w:rsidP="00017B34" w14:paraId="13CA9BD9" w14:textId="77777777">
            <w:pPr>
              <w:pStyle w:val="Normal0"/>
            </w:pPr>
            <w:r w:rsidRPr="009D02FC">
              <w:t>Itron</w:t>
            </w:r>
          </w:p>
        </w:tc>
        <w:tc>
          <w:tcPr>
            <w:tcW w:w="1226" w:type="pct"/>
            <w:noWrap/>
          </w:tcPr>
          <w:p w:rsidR="00137863" w:rsidP="00017B34" w14:paraId="5EC99CD0" w14:textId="77777777">
            <w:pPr>
              <w:pStyle w:val="Normal0"/>
            </w:pPr>
            <w:r w:rsidRPr="00FA3FC2">
              <w:rPr>
                <w:rFonts w:hint="eastAsia"/>
              </w:rPr>
              <w:t>XX</w:t>
            </w:r>
          </w:p>
        </w:tc>
        <w:tc>
          <w:tcPr>
            <w:tcW w:w="1957" w:type="pct"/>
            <w:noWrap/>
          </w:tcPr>
          <w:p w:rsidR="00137863" w:rsidP="00017B34" w14:paraId="7791AE40" w14:textId="77777777">
            <w:pPr>
              <w:pStyle w:val="Normal0"/>
            </w:pPr>
            <w:r w:rsidRPr="00FA3FC2">
              <w:rPr>
                <w:rFonts w:hint="eastAsia"/>
              </w:rPr>
              <w:t>XX</w:t>
            </w:r>
          </w:p>
        </w:tc>
      </w:tr>
      <w:tr w14:paraId="67BFDB5D" w14:textId="77777777" w:rsidTr="00017B34">
        <w:tblPrEx>
          <w:tblW w:w="5000" w:type="pct"/>
          <w:tblLook w:val="04A0"/>
        </w:tblPrEx>
        <w:trPr>
          <w:trHeight w:val="270"/>
        </w:trPr>
        <w:tc>
          <w:tcPr>
            <w:tcW w:w="1817" w:type="pct"/>
            <w:noWrap/>
          </w:tcPr>
          <w:p w:rsidR="00137863" w:rsidRPr="009D02FC" w:rsidP="00017B34" w14:paraId="0E7D8257" w14:textId="77777777">
            <w:pPr>
              <w:pStyle w:val="Normal0"/>
            </w:pPr>
            <w:r w:rsidRPr="009D02FC">
              <w:t>Sontex</w:t>
            </w:r>
          </w:p>
        </w:tc>
        <w:tc>
          <w:tcPr>
            <w:tcW w:w="1226" w:type="pct"/>
            <w:noWrap/>
          </w:tcPr>
          <w:p w:rsidR="00137863" w:rsidP="00017B34" w14:paraId="7FFE0218" w14:textId="77777777">
            <w:pPr>
              <w:pStyle w:val="Normal0"/>
            </w:pPr>
            <w:r w:rsidRPr="00FA3FC2">
              <w:rPr>
                <w:rFonts w:hint="eastAsia"/>
              </w:rPr>
              <w:t>XX</w:t>
            </w:r>
          </w:p>
        </w:tc>
        <w:tc>
          <w:tcPr>
            <w:tcW w:w="1957" w:type="pct"/>
            <w:noWrap/>
          </w:tcPr>
          <w:p w:rsidR="00137863" w:rsidP="00017B34" w14:paraId="4EA33F4A" w14:textId="77777777">
            <w:pPr>
              <w:pStyle w:val="Normal0"/>
            </w:pPr>
            <w:r w:rsidRPr="00FA3FC2">
              <w:rPr>
                <w:rFonts w:hint="eastAsia"/>
              </w:rPr>
              <w:t>XX</w:t>
            </w:r>
          </w:p>
        </w:tc>
      </w:tr>
      <w:tr w14:paraId="51D56785" w14:textId="77777777" w:rsidTr="00017B34">
        <w:tblPrEx>
          <w:tblW w:w="5000" w:type="pct"/>
          <w:tblLook w:val="04A0"/>
        </w:tblPrEx>
        <w:trPr>
          <w:trHeight w:val="270"/>
        </w:trPr>
        <w:tc>
          <w:tcPr>
            <w:tcW w:w="1817" w:type="pct"/>
            <w:noWrap/>
          </w:tcPr>
          <w:p w:rsidR="00137863" w:rsidRPr="009D02FC" w:rsidP="00017B34" w14:paraId="464F64B0" w14:textId="77777777">
            <w:pPr>
              <w:pStyle w:val="Normal0"/>
            </w:pPr>
            <w:r w:rsidRPr="009D02FC">
              <w:t>乐业节能</w:t>
            </w:r>
          </w:p>
        </w:tc>
        <w:tc>
          <w:tcPr>
            <w:tcW w:w="1226" w:type="pct"/>
            <w:noWrap/>
          </w:tcPr>
          <w:p w:rsidR="00137863" w:rsidP="00017B34" w14:paraId="6ED68EF9" w14:textId="77777777">
            <w:pPr>
              <w:pStyle w:val="Normal0"/>
            </w:pPr>
            <w:r w:rsidRPr="00FA3FC2">
              <w:rPr>
                <w:rFonts w:hint="eastAsia"/>
              </w:rPr>
              <w:t>XX</w:t>
            </w:r>
          </w:p>
        </w:tc>
        <w:tc>
          <w:tcPr>
            <w:tcW w:w="1957" w:type="pct"/>
            <w:noWrap/>
          </w:tcPr>
          <w:p w:rsidR="00137863" w:rsidP="00017B34" w14:paraId="3837DAE5" w14:textId="77777777">
            <w:pPr>
              <w:pStyle w:val="Normal0"/>
            </w:pPr>
            <w:r w:rsidRPr="00FA3FC2">
              <w:rPr>
                <w:rFonts w:hint="eastAsia"/>
              </w:rPr>
              <w:t>XX</w:t>
            </w:r>
          </w:p>
        </w:tc>
      </w:tr>
      <w:tr w14:paraId="4CE958F7" w14:textId="77777777" w:rsidTr="00017B34">
        <w:tblPrEx>
          <w:tblW w:w="5000" w:type="pct"/>
          <w:tblLook w:val="04A0"/>
        </w:tblPrEx>
        <w:trPr>
          <w:trHeight w:val="270"/>
        </w:trPr>
        <w:tc>
          <w:tcPr>
            <w:tcW w:w="1817" w:type="pct"/>
            <w:tcBorders>
              <w:bottom w:val="single" w:sz="0" w:space="0" w:color="4F81BD"/>
            </w:tcBorders>
            <w:noWrap/>
          </w:tcPr>
          <w:p w:rsidR="00137863" w:rsidRPr="009D02FC" w:rsidP="00017B34" w14:paraId="02F13B7A" w14:textId="77777777">
            <w:pPr>
              <w:pStyle w:val="Normal0"/>
            </w:pPr>
            <w:r w:rsidRPr="009D02FC">
              <w:t>Brunata</w:t>
            </w:r>
          </w:p>
        </w:tc>
        <w:tc>
          <w:tcPr>
            <w:tcW w:w="1226" w:type="pct"/>
            <w:noWrap/>
          </w:tcPr>
          <w:p w:rsidR="00137863" w:rsidP="00017B34" w14:paraId="7B8368D8" w14:textId="77777777">
            <w:pPr>
              <w:pStyle w:val="Normal0"/>
            </w:pPr>
            <w:r w:rsidRPr="00FA3FC2">
              <w:rPr>
                <w:rFonts w:hint="eastAsia"/>
              </w:rPr>
              <w:t>XX</w:t>
            </w:r>
          </w:p>
        </w:tc>
        <w:tc>
          <w:tcPr>
            <w:tcW w:w="1957" w:type="pct"/>
            <w:noWrap/>
          </w:tcPr>
          <w:p w:rsidR="00137863" w:rsidP="00017B34" w14:paraId="7B5A2925" w14:textId="77777777">
            <w:pPr>
              <w:pStyle w:val="Normal0"/>
            </w:pPr>
            <w:r w:rsidRPr="00FA3FC2">
              <w:rPr>
                <w:rFonts w:hint="eastAsia"/>
              </w:rPr>
              <w:t>XX</w:t>
            </w:r>
          </w:p>
        </w:tc>
      </w:tr>
    </w:tbl>
    <w:bookmarkEnd w:id="70"/>
    <w:p w:rsidR="00137863" w:rsidP="00137863" w14:paraId="44D612D8" w14:textId="77777777">
      <w:pPr>
        <w:pStyle w:val="Source00"/>
      </w:pPr>
      <w:r>
        <w:rPr>
          <w:rFonts w:hint="eastAsia"/>
        </w:rPr>
        <w:t>资料来源：上述企业，第三方资料、新闻报道、业内专家采访及</w:t>
      </w:r>
      <w:r>
        <w:rPr>
          <w:rFonts w:hint="eastAsia"/>
        </w:rPr>
        <w:t>QYResearch</w:t>
      </w:r>
      <w:r>
        <w:rPr>
          <w:rFonts w:hint="eastAsia"/>
        </w:rPr>
        <w:t>整理研究，</w:t>
      </w:r>
      <w:r>
        <w:rPr>
          <w:rFonts w:hint="eastAsia"/>
        </w:rPr>
        <w:t>2024</w:t>
      </w:r>
      <w:r>
        <w:rPr>
          <w:rFonts w:hint="eastAsia"/>
        </w:rPr>
        <w:t>年</w:t>
      </w:r>
    </w:p>
    <w:p w:rsidR="00137863" w:rsidP="00137863" w14:paraId="639DB365" w14:textId="77777777">
      <w:pPr>
        <w:pStyle w:val="Heading30"/>
      </w:pPr>
      <w:bookmarkStart w:id="71" w:name="_Toc121583903"/>
      <w:bookmarkStart w:id="72" w:name="_Toc166762020"/>
      <w:r>
        <w:rPr>
          <w:rFonts w:hint="eastAsia"/>
        </w:rPr>
        <w:t>主要厂商</w:t>
      </w:r>
      <w:r w:rsidRPr="00B728C9">
        <w:t>电子式热分配表(HCA)</w:t>
      </w:r>
      <w:r>
        <w:rPr>
          <w:rFonts w:hint="eastAsia"/>
        </w:rPr>
        <w:t>产品类型及应用</w:t>
      </w:r>
      <w:bookmarkEnd w:id="71"/>
      <w:bookmarkEnd w:id="72"/>
    </w:p>
    <w:p w:rsidR="00137863" w:rsidRPr="006C3BE6" w:rsidP="006C3BE6" w14:paraId="33F81C1C" w14:textId="77777777">
      <w:pPr>
        <w:pStyle w:val="TableStyle0"/>
        <w:ind w:left="252" w:right="-105"/>
      </w:pPr>
      <w:bookmarkStart w:id="73" w:name="_Toc121583635"/>
      <w:bookmarkStart w:id="74" w:name="_Toc166761948"/>
      <w:r w:rsidRPr="006C3BE6">
        <w:rPr>
          <w:rFonts w:hint="eastAsia"/>
        </w:rPr>
        <w:t>主要厂商</w:t>
      </w:r>
      <w:r w:rsidRPr="006C3BE6">
        <w:rPr>
          <w:rFonts w:hint="eastAsia"/>
        </w:rPr>
        <w:t>电子式热分配表(HCA)</w:t>
      </w:r>
      <w:r w:rsidRPr="006C3BE6">
        <w:rPr>
          <w:rFonts w:hint="eastAsia"/>
        </w:rPr>
        <w:t>产品类型及应用</w:t>
      </w:r>
      <w:bookmarkEnd w:id="73"/>
      <w:bookmarkEnd w:id="74"/>
    </w:p>
    <w:tbl>
      <w:tblPr>
        <w:tblStyle w:val="TableGrid80"/>
        <w:tblW w:w="5000" w:type="pct"/>
        <w:tblLook w:val="04A0"/>
      </w:tblPr>
      <w:tblGrid>
        <w:gridCol w:w="3623"/>
        <w:gridCol w:w="2444"/>
        <w:gridCol w:w="3901"/>
      </w:tblGrid>
      <w:tr w14:paraId="4A4ED9C2" w14:textId="77777777" w:rsidTr="00017B34">
        <w:tblPrEx>
          <w:tblW w:w="5000" w:type="pct"/>
          <w:tblLook w:val="04A0"/>
        </w:tblPrEx>
        <w:trPr>
          <w:trHeight w:val="270"/>
        </w:trPr>
        <w:tc>
          <w:tcPr>
            <w:tcW w:w="1817" w:type="pct"/>
            <w:noWrap/>
            <w:hideMark/>
          </w:tcPr>
          <w:p w:rsidR="00137863" w:rsidRPr="00F844AB" w:rsidP="00017B34" w14:paraId="505B1FA9" w14:textId="77777777">
            <w:pPr>
              <w:pStyle w:val="Normal0"/>
            </w:pPr>
            <w:r>
              <w:rPr>
                <w:rFonts w:hint="eastAsia"/>
              </w:rPr>
              <w:t>公司名称</w:t>
            </w:r>
          </w:p>
        </w:tc>
        <w:tc>
          <w:tcPr>
            <w:tcW w:w="1226" w:type="pct"/>
            <w:noWrap/>
            <w:hideMark/>
          </w:tcPr>
          <w:p w:rsidR="00137863" w:rsidRPr="00F844AB" w:rsidP="00017B34" w14:paraId="52DA66CB" w14:textId="77777777">
            <w:pPr>
              <w:pStyle w:val="Normal0"/>
            </w:pPr>
            <w:r>
              <w:rPr>
                <w:rFonts w:hint="eastAsia"/>
              </w:rPr>
              <w:t>产品类型</w:t>
            </w:r>
          </w:p>
        </w:tc>
        <w:tc>
          <w:tcPr>
            <w:tcW w:w="1957" w:type="pct"/>
            <w:noWrap/>
            <w:hideMark/>
          </w:tcPr>
          <w:p w:rsidR="00137863" w:rsidRPr="00F844AB" w:rsidP="00017B34" w14:paraId="1FA64FC4" w14:textId="77777777">
            <w:pPr>
              <w:pStyle w:val="Normal0"/>
            </w:pPr>
            <w:r>
              <w:rPr>
                <w:rFonts w:hint="eastAsia"/>
              </w:rPr>
              <w:t>应用</w:t>
            </w:r>
          </w:p>
        </w:tc>
      </w:tr>
      <w:tr w14:paraId="494E2AA5" w14:textId="77777777" w:rsidTr="00017B34">
        <w:tblPrEx>
          <w:tblW w:w="5000" w:type="pct"/>
          <w:tblLook w:val="04A0"/>
        </w:tblPrEx>
        <w:trPr>
          <w:trHeight w:val="270"/>
        </w:trPr>
        <w:tc>
          <w:tcPr>
            <w:tcW w:w="1817" w:type="pct"/>
            <w:noWrap/>
            <w:hideMark/>
          </w:tcPr>
          <w:p w:rsidR="00137863" w:rsidRPr="009D02FC" w:rsidP="00017B34" w14:paraId="4E04D339" w14:textId="77777777">
            <w:pPr>
              <w:pStyle w:val="Normal0"/>
            </w:pPr>
            <w:r w:rsidRPr="009D02FC">
              <w:t>Zenner</w:t>
            </w:r>
          </w:p>
        </w:tc>
        <w:tc>
          <w:tcPr>
            <w:tcW w:w="1226" w:type="pct"/>
            <w:noWrap/>
          </w:tcPr>
          <w:p w:rsidR="00137863" w:rsidP="00017B34" w14:paraId="2A281331" w14:textId="77777777">
            <w:pPr>
              <w:pStyle w:val="Normal0"/>
            </w:pPr>
            <w:r w:rsidRPr="00FA3FC2">
              <w:rPr>
                <w:rFonts w:hint="eastAsia"/>
              </w:rPr>
              <w:t>XX</w:t>
            </w:r>
          </w:p>
        </w:tc>
        <w:tc>
          <w:tcPr>
            <w:tcW w:w="1957" w:type="pct"/>
            <w:noWrap/>
          </w:tcPr>
          <w:p w:rsidR="00137863" w:rsidP="00017B34" w14:paraId="5E74FE57" w14:textId="77777777">
            <w:pPr>
              <w:pStyle w:val="Normal0"/>
            </w:pPr>
            <w:r w:rsidRPr="00FA3FC2">
              <w:rPr>
                <w:rFonts w:hint="eastAsia"/>
              </w:rPr>
              <w:t>XX</w:t>
            </w:r>
          </w:p>
        </w:tc>
      </w:tr>
      <w:tr w14:paraId="6D1E78AB" w14:textId="77777777" w:rsidTr="00017B34">
        <w:tblPrEx>
          <w:tblW w:w="5000" w:type="pct"/>
          <w:tblLook w:val="04A0"/>
        </w:tblPrEx>
        <w:trPr>
          <w:trHeight w:val="270"/>
        </w:trPr>
        <w:tc>
          <w:tcPr>
            <w:tcW w:w="1817" w:type="pct"/>
            <w:noWrap/>
            <w:hideMark/>
          </w:tcPr>
          <w:p w:rsidR="00137863" w:rsidRPr="009D02FC" w:rsidP="00017B34" w14:paraId="56C6CA04" w14:textId="77777777">
            <w:pPr>
              <w:pStyle w:val="Normal0"/>
            </w:pPr>
            <w:r w:rsidRPr="009D02FC">
              <w:t>Ista</w:t>
            </w:r>
          </w:p>
        </w:tc>
        <w:tc>
          <w:tcPr>
            <w:tcW w:w="1226" w:type="pct"/>
            <w:noWrap/>
          </w:tcPr>
          <w:p w:rsidR="00137863" w:rsidP="00017B34" w14:paraId="2340DFA2" w14:textId="77777777">
            <w:pPr>
              <w:pStyle w:val="Normal0"/>
            </w:pPr>
            <w:r w:rsidRPr="00FA3FC2">
              <w:rPr>
                <w:rFonts w:hint="eastAsia"/>
              </w:rPr>
              <w:t>XX</w:t>
            </w:r>
          </w:p>
        </w:tc>
        <w:tc>
          <w:tcPr>
            <w:tcW w:w="1957" w:type="pct"/>
            <w:noWrap/>
          </w:tcPr>
          <w:p w:rsidR="00137863" w:rsidP="00017B34" w14:paraId="0AD01E13" w14:textId="77777777">
            <w:pPr>
              <w:pStyle w:val="Normal0"/>
            </w:pPr>
            <w:r w:rsidRPr="00FA3FC2">
              <w:rPr>
                <w:rFonts w:hint="eastAsia"/>
              </w:rPr>
              <w:t>XX</w:t>
            </w:r>
          </w:p>
        </w:tc>
      </w:tr>
      <w:tr w14:paraId="142835AB" w14:textId="77777777" w:rsidTr="00017B34">
        <w:tblPrEx>
          <w:tblW w:w="5000" w:type="pct"/>
          <w:tblLook w:val="04A0"/>
        </w:tblPrEx>
        <w:trPr>
          <w:trHeight w:val="270"/>
        </w:trPr>
        <w:tc>
          <w:tcPr>
            <w:tcW w:w="1817" w:type="pct"/>
            <w:noWrap/>
            <w:hideMark/>
          </w:tcPr>
          <w:p w:rsidR="00137863" w:rsidRPr="009D02FC" w:rsidP="00017B34" w14:paraId="45083A0C" w14:textId="77777777">
            <w:pPr>
              <w:pStyle w:val="Normal0"/>
            </w:pPr>
            <w:r w:rsidRPr="009D02FC">
              <w:t>Techem</w:t>
            </w:r>
          </w:p>
        </w:tc>
        <w:tc>
          <w:tcPr>
            <w:tcW w:w="1226" w:type="pct"/>
            <w:noWrap/>
          </w:tcPr>
          <w:p w:rsidR="00137863" w:rsidP="00017B34" w14:paraId="67A7B6FF" w14:textId="77777777">
            <w:pPr>
              <w:pStyle w:val="Normal0"/>
            </w:pPr>
            <w:r w:rsidRPr="00FA3FC2">
              <w:rPr>
                <w:rFonts w:hint="eastAsia"/>
              </w:rPr>
              <w:t>XX</w:t>
            </w:r>
          </w:p>
        </w:tc>
        <w:tc>
          <w:tcPr>
            <w:tcW w:w="1957" w:type="pct"/>
            <w:noWrap/>
          </w:tcPr>
          <w:p w:rsidR="00137863" w:rsidP="00017B34" w14:paraId="28245045" w14:textId="77777777">
            <w:pPr>
              <w:pStyle w:val="Normal0"/>
            </w:pPr>
            <w:r w:rsidRPr="00FA3FC2">
              <w:rPr>
                <w:rFonts w:hint="eastAsia"/>
              </w:rPr>
              <w:t>XX</w:t>
            </w:r>
          </w:p>
        </w:tc>
      </w:tr>
      <w:tr w14:paraId="361072C1" w14:textId="77777777" w:rsidTr="00017B34">
        <w:tblPrEx>
          <w:tblW w:w="5000" w:type="pct"/>
          <w:tblLook w:val="04A0"/>
        </w:tblPrEx>
        <w:trPr>
          <w:trHeight w:val="270"/>
        </w:trPr>
        <w:tc>
          <w:tcPr>
            <w:tcW w:w="1817" w:type="pct"/>
            <w:noWrap/>
            <w:hideMark/>
          </w:tcPr>
          <w:p w:rsidR="00137863" w:rsidRPr="009D02FC" w:rsidP="00017B34" w14:paraId="659FA95A" w14:textId="77777777">
            <w:pPr>
              <w:pStyle w:val="Normal0"/>
            </w:pPr>
            <w:r w:rsidRPr="009D02FC">
              <w:t>Siemens</w:t>
            </w:r>
          </w:p>
        </w:tc>
        <w:tc>
          <w:tcPr>
            <w:tcW w:w="1226" w:type="pct"/>
            <w:noWrap/>
          </w:tcPr>
          <w:p w:rsidR="00137863" w:rsidP="00017B34" w14:paraId="3930BF6E" w14:textId="77777777">
            <w:pPr>
              <w:pStyle w:val="Normal0"/>
            </w:pPr>
            <w:r w:rsidRPr="00FA3FC2">
              <w:rPr>
                <w:rFonts w:hint="eastAsia"/>
              </w:rPr>
              <w:t>XX</w:t>
            </w:r>
          </w:p>
        </w:tc>
        <w:tc>
          <w:tcPr>
            <w:tcW w:w="1957" w:type="pct"/>
            <w:noWrap/>
          </w:tcPr>
          <w:p w:rsidR="00137863" w:rsidP="00017B34" w14:paraId="1E2CC1B8" w14:textId="77777777">
            <w:pPr>
              <w:pStyle w:val="Normal0"/>
            </w:pPr>
            <w:r w:rsidRPr="00FA3FC2">
              <w:rPr>
                <w:rFonts w:hint="eastAsia"/>
              </w:rPr>
              <w:t>XX</w:t>
            </w:r>
          </w:p>
        </w:tc>
      </w:tr>
      <w:tr w14:paraId="7458B0A7" w14:textId="77777777" w:rsidTr="00017B34">
        <w:tblPrEx>
          <w:tblW w:w="5000" w:type="pct"/>
          <w:tblLook w:val="04A0"/>
        </w:tblPrEx>
        <w:trPr>
          <w:trHeight w:val="270"/>
        </w:trPr>
        <w:tc>
          <w:tcPr>
            <w:tcW w:w="1817" w:type="pct"/>
            <w:noWrap/>
          </w:tcPr>
          <w:p w:rsidR="00137863" w:rsidRPr="009D02FC" w:rsidP="00017B34" w14:paraId="300F37D2" w14:textId="77777777">
            <w:pPr>
              <w:pStyle w:val="Normal0"/>
            </w:pPr>
            <w:r w:rsidRPr="009D02FC">
              <w:t>Engelmnn</w:t>
            </w:r>
          </w:p>
        </w:tc>
        <w:tc>
          <w:tcPr>
            <w:tcW w:w="1226" w:type="pct"/>
            <w:noWrap/>
          </w:tcPr>
          <w:p w:rsidR="00137863" w:rsidP="00017B34" w14:paraId="52DD47BC" w14:textId="77777777">
            <w:pPr>
              <w:pStyle w:val="Normal0"/>
            </w:pPr>
            <w:r w:rsidRPr="00FA3FC2">
              <w:rPr>
                <w:rFonts w:hint="eastAsia"/>
              </w:rPr>
              <w:t>XX</w:t>
            </w:r>
          </w:p>
        </w:tc>
        <w:tc>
          <w:tcPr>
            <w:tcW w:w="1957" w:type="pct"/>
            <w:noWrap/>
          </w:tcPr>
          <w:p w:rsidR="00137863" w:rsidP="00017B34" w14:paraId="0E15C5FA" w14:textId="77777777">
            <w:pPr>
              <w:pStyle w:val="Normal0"/>
            </w:pPr>
            <w:r w:rsidRPr="00FA3FC2">
              <w:rPr>
                <w:rFonts w:hint="eastAsia"/>
              </w:rPr>
              <w:t>XX</w:t>
            </w:r>
          </w:p>
        </w:tc>
      </w:tr>
      <w:tr w14:paraId="52695559" w14:textId="77777777" w:rsidTr="00017B34">
        <w:tblPrEx>
          <w:tblW w:w="5000" w:type="pct"/>
          <w:tblLook w:val="04A0"/>
        </w:tblPrEx>
        <w:trPr>
          <w:trHeight w:val="270"/>
        </w:trPr>
        <w:tc>
          <w:tcPr>
            <w:tcW w:w="1817" w:type="pct"/>
            <w:noWrap/>
          </w:tcPr>
          <w:p w:rsidR="00137863" w:rsidRPr="009D02FC" w:rsidP="00017B34" w14:paraId="097DF6A6" w14:textId="77777777">
            <w:pPr>
              <w:pStyle w:val="Normal0"/>
            </w:pPr>
            <w:r w:rsidRPr="009D02FC">
              <w:t>Te-sa s.r.l.</w:t>
            </w:r>
          </w:p>
        </w:tc>
        <w:tc>
          <w:tcPr>
            <w:tcW w:w="1226" w:type="pct"/>
            <w:noWrap/>
          </w:tcPr>
          <w:p w:rsidR="00137863" w:rsidP="00017B34" w14:paraId="406BFB12" w14:textId="77777777">
            <w:pPr>
              <w:pStyle w:val="Normal0"/>
            </w:pPr>
            <w:r w:rsidRPr="00FA3FC2">
              <w:rPr>
                <w:rFonts w:hint="eastAsia"/>
              </w:rPr>
              <w:t>XX</w:t>
            </w:r>
          </w:p>
        </w:tc>
        <w:tc>
          <w:tcPr>
            <w:tcW w:w="1957" w:type="pct"/>
            <w:noWrap/>
          </w:tcPr>
          <w:p w:rsidR="00137863" w:rsidP="00017B34" w14:paraId="098BC74C" w14:textId="77777777">
            <w:pPr>
              <w:pStyle w:val="Normal0"/>
            </w:pPr>
            <w:r w:rsidRPr="00FA3FC2">
              <w:rPr>
                <w:rFonts w:hint="eastAsia"/>
              </w:rPr>
              <w:t>XX</w:t>
            </w:r>
          </w:p>
        </w:tc>
      </w:tr>
      <w:tr w14:paraId="45C537EE" w14:textId="77777777" w:rsidTr="00017B34">
        <w:tblPrEx>
          <w:tblW w:w="5000" w:type="pct"/>
          <w:tblLook w:val="04A0"/>
        </w:tblPrEx>
        <w:trPr>
          <w:trHeight w:val="270"/>
        </w:trPr>
        <w:tc>
          <w:tcPr>
            <w:tcW w:w="1817" w:type="pct"/>
            <w:noWrap/>
          </w:tcPr>
          <w:p w:rsidR="00137863" w:rsidRPr="009D02FC" w:rsidP="00017B34" w14:paraId="2DFC0DA7" w14:textId="77777777">
            <w:pPr>
              <w:pStyle w:val="Normal0"/>
            </w:pPr>
            <w:r w:rsidRPr="009D02FC">
              <w:t>Itron</w:t>
            </w:r>
          </w:p>
        </w:tc>
        <w:tc>
          <w:tcPr>
            <w:tcW w:w="1226" w:type="pct"/>
            <w:noWrap/>
          </w:tcPr>
          <w:p w:rsidR="00137863" w:rsidP="00017B34" w14:paraId="39A47CBC" w14:textId="77777777">
            <w:pPr>
              <w:pStyle w:val="Normal0"/>
            </w:pPr>
            <w:r w:rsidRPr="00FA3FC2">
              <w:rPr>
                <w:rFonts w:hint="eastAsia"/>
              </w:rPr>
              <w:t>XX</w:t>
            </w:r>
          </w:p>
        </w:tc>
        <w:tc>
          <w:tcPr>
            <w:tcW w:w="1957" w:type="pct"/>
            <w:noWrap/>
          </w:tcPr>
          <w:p w:rsidR="00137863" w:rsidP="00017B34" w14:paraId="7652138E" w14:textId="77777777">
            <w:pPr>
              <w:pStyle w:val="Normal0"/>
            </w:pPr>
            <w:r w:rsidRPr="00FA3FC2">
              <w:rPr>
                <w:rFonts w:hint="eastAsia"/>
              </w:rPr>
              <w:t>XX</w:t>
            </w:r>
          </w:p>
        </w:tc>
      </w:tr>
      <w:tr w14:paraId="4655BAD5" w14:textId="77777777" w:rsidTr="00017B34">
        <w:tblPrEx>
          <w:tblW w:w="5000" w:type="pct"/>
          <w:tblLook w:val="04A0"/>
        </w:tblPrEx>
        <w:trPr>
          <w:trHeight w:val="270"/>
        </w:trPr>
        <w:tc>
          <w:tcPr>
            <w:tcW w:w="1817" w:type="pct"/>
            <w:noWrap/>
          </w:tcPr>
          <w:p w:rsidR="00137863" w:rsidRPr="009D02FC" w:rsidP="00017B34" w14:paraId="39FF7D5A" w14:textId="77777777">
            <w:pPr>
              <w:pStyle w:val="Normal0"/>
            </w:pPr>
            <w:r w:rsidRPr="009D02FC">
              <w:t>Sontex</w:t>
            </w:r>
          </w:p>
        </w:tc>
        <w:tc>
          <w:tcPr>
            <w:tcW w:w="1226" w:type="pct"/>
            <w:noWrap/>
          </w:tcPr>
          <w:p w:rsidR="00137863" w:rsidP="00017B34" w14:paraId="1978C202" w14:textId="77777777">
            <w:pPr>
              <w:pStyle w:val="Normal0"/>
            </w:pPr>
            <w:r w:rsidRPr="00FA3FC2">
              <w:rPr>
                <w:rFonts w:hint="eastAsia"/>
              </w:rPr>
              <w:t>XX</w:t>
            </w:r>
          </w:p>
        </w:tc>
        <w:tc>
          <w:tcPr>
            <w:tcW w:w="1957" w:type="pct"/>
            <w:noWrap/>
          </w:tcPr>
          <w:p w:rsidR="00137863" w:rsidP="00017B34" w14:paraId="48B7982C" w14:textId="77777777">
            <w:pPr>
              <w:pStyle w:val="Normal0"/>
            </w:pPr>
            <w:r w:rsidRPr="00FA3FC2">
              <w:rPr>
                <w:rFonts w:hint="eastAsia"/>
              </w:rPr>
              <w:t>XX</w:t>
            </w:r>
          </w:p>
        </w:tc>
      </w:tr>
      <w:tr w14:paraId="5016D1B9" w14:textId="77777777" w:rsidTr="00017B34">
        <w:tblPrEx>
          <w:tblW w:w="5000" w:type="pct"/>
          <w:tblLook w:val="04A0"/>
        </w:tblPrEx>
        <w:trPr>
          <w:trHeight w:val="270"/>
        </w:trPr>
        <w:tc>
          <w:tcPr>
            <w:tcW w:w="1817" w:type="pct"/>
            <w:noWrap/>
          </w:tcPr>
          <w:p w:rsidR="00137863" w:rsidRPr="009D02FC" w:rsidP="00017B34" w14:paraId="61ED57F7" w14:textId="77777777">
            <w:pPr>
              <w:pStyle w:val="Normal0"/>
            </w:pPr>
            <w:r w:rsidRPr="009D02FC">
              <w:t>乐业节能</w:t>
            </w:r>
          </w:p>
        </w:tc>
        <w:tc>
          <w:tcPr>
            <w:tcW w:w="1226" w:type="pct"/>
            <w:noWrap/>
          </w:tcPr>
          <w:p w:rsidR="00137863" w:rsidP="00017B34" w14:paraId="69548FB8" w14:textId="77777777">
            <w:pPr>
              <w:pStyle w:val="Normal0"/>
            </w:pPr>
            <w:r w:rsidRPr="00FA3FC2">
              <w:rPr>
                <w:rFonts w:hint="eastAsia"/>
              </w:rPr>
              <w:t>XX</w:t>
            </w:r>
          </w:p>
        </w:tc>
        <w:tc>
          <w:tcPr>
            <w:tcW w:w="1957" w:type="pct"/>
            <w:noWrap/>
          </w:tcPr>
          <w:p w:rsidR="00137863" w:rsidP="00017B34" w14:paraId="6C1A82BF" w14:textId="77777777">
            <w:pPr>
              <w:pStyle w:val="Normal0"/>
            </w:pPr>
            <w:r w:rsidRPr="00FA3FC2">
              <w:rPr>
                <w:rFonts w:hint="eastAsia"/>
              </w:rPr>
              <w:t>XX</w:t>
            </w:r>
          </w:p>
        </w:tc>
      </w:tr>
      <w:tr w14:paraId="2987FEA3" w14:textId="77777777" w:rsidTr="00017B34">
        <w:tblPrEx>
          <w:tblW w:w="5000" w:type="pct"/>
          <w:tblLook w:val="04A0"/>
        </w:tblPrEx>
        <w:trPr>
          <w:trHeight w:val="270"/>
        </w:trPr>
        <w:tc>
          <w:tcPr>
            <w:tcW w:w="1817" w:type="pct"/>
            <w:tcBorders>
              <w:bottom w:val="single" w:sz="0" w:space="0" w:color="4F81BD"/>
            </w:tcBorders>
            <w:noWrap/>
          </w:tcPr>
          <w:p w:rsidR="00137863" w:rsidRPr="009D02FC" w:rsidP="00017B34" w14:paraId="16787542" w14:textId="77777777">
            <w:pPr>
              <w:pStyle w:val="Normal0"/>
            </w:pPr>
            <w:r w:rsidRPr="009D02FC">
              <w:t>Brunata</w:t>
            </w:r>
          </w:p>
        </w:tc>
        <w:tc>
          <w:tcPr>
            <w:tcW w:w="1226" w:type="pct"/>
            <w:noWrap/>
          </w:tcPr>
          <w:p w:rsidR="00137863" w:rsidP="00017B34" w14:paraId="263730A8" w14:textId="77777777">
            <w:pPr>
              <w:pStyle w:val="Normal0"/>
            </w:pPr>
            <w:r w:rsidRPr="00FA3FC2">
              <w:rPr>
                <w:rFonts w:hint="eastAsia"/>
              </w:rPr>
              <w:t>XX</w:t>
            </w:r>
          </w:p>
        </w:tc>
        <w:tc>
          <w:tcPr>
            <w:tcW w:w="1957" w:type="pct"/>
            <w:noWrap/>
          </w:tcPr>
          <w:p w:rsidR="00137863" w:rsidP="00017B34" w14:paraId="2E52620B" w14:textId="77777777">
            <w:pPr>
              <w:pStyle w:val="Normal0"/>
            </w:pPr>
            <w:r w:rsidRPr="00FA3FC2">
              <w:rPr>
                <w:rFonts w:hint="eastAsia"/>
              </w:rPr>
              <w:t>XX</w:t>
            </w:r>
          </w:p>
        </w:tc>
      </w:tr>
    </w:tbl>
    <w:p w:rsidR="00137863" w:rsidRPr="00F1047D" w:rsidP="00137863" w14:paraId="1CC037AC" w14:textId="77777777">
      <w:pPr>
        <w:pStyle w:val="Source00"/>
      </w:pPr>
      <w:r>
        <w:rPr>
          <w:rFonts w:hint="eastAsia"/>
        </w:rPr>
        <w:t>资料来源：上述企业，第三方资料、新闻报道、业内专家采访及</w:t>
      </w:r>
      <w:r>
        <w:rPr>
          <w:rFonts w:hint="eastAsia"/>
        </w:rPr>
        <w:t>QYResearch</w:t>
      </w:r>
      <w:r>
        <w:rPr>
          <w:rFonts w:hint="eastAsia"/>
        </w:rPr>
        <w:t>整理研究，</w:t>
      </w:r>
      <w:r>
        <w:rPr>
          <w:rFonts w:hint="eastAsia"/>
        </w:rPr>
        <w:t>2024</w:t>
      </w:r>
      <w:r>
        <w:rPr>
          <w:rFonts w:hint="eastAsia"/>
        </w:rPr>
        <w:t>年</w:t>
      </w:r>
    </w:p>
    <w:p w:rsidR="00137863" w:rsidP="00137863" w14:paraId="152483A6" w14:textId="18961777">
      <w:pPr>
        <w:pStyle w:val="Heading20"/>
      </w:pPr>
      <w:bookmarkStart w:id="75" w:name="_Toc166762021"/>
      <w:r>
        <w:rPr>
          <w:rFonts w:hint="eastAsia"/>
        </w:rPr>
        <w:t>东南亚市场</w:t>
      </w:r>
      <w:r>
        <w:rPr>
          <w:rFonts w:hint="eastAsia"/>
        </w:rPr>
        <w:t>电子式热分配表(HCA)</w:t>
      </w:r>
      <w:r>
        <w:rPr>
          <w:rFonts w:hint="eastAsia"/>
        </w:rPr>
        <w:t>竞争格局</w:t>
      </w:r>
      <w:bookmarkEnd w:id="75"/>
    </w:p>
    <w:p w:rsidR="00137863" w:rsidRPr="00962483" w:rsidP="00137863" w14:paraId="34DB39B1" w14:textId="12D65111">
      <w:pPr>
        <w:pStyle w:val="Heading30"/>
      </w:pPr>
      <w:bookmarkStart w:id="76" w:name="_Toc166762022"/>
      <w:bookmarkEnd w:id="63"/>
      <w:bookmarkEnd w:id="64"/>
      <w:bookmarkEnd w:id="65"/>
      <w:r>
        <w:rPr>
          <w:rFonts w:hint="eastAsia"/>
        </w:rPr>
        <w:t>东南亚市场</w:t>
      </w:r>
      <w:r w:rsidRPr="00F74FCA">
        <w:rPr>
          <w:rFonts w:hint="eastAsia"/>
        </w:rPr>
        <w:t>主要厂商</w:t>
      </w:r>
      <w:r w:rsidRPr="00B728C9">
        <w:t>电子式热分配表(HCA)</w:t>
      </w:r>
      <w:r>
        <w:rPr>
          <w:rFonts w:hint="eastAsia"/>
        </w:rPr>
        <w:t>销量（</w:t>
      </w:r>
      <w:r>
        <w:rPr>
          <w:rFonts w:hint="eastAsia"/>
        </w:rPr>
        <w:t>2019-2024</w:t>
      </w:r>
      <w:r>
        <w:rPr>
          <w:rFonts w:hint="eastAsia"/>
        </w:rPr>
        <w:t>）</w:t>
      </w:r>
      <w:bookmarkEnd w:id="76"/>
    </w:p>
    <w:p w:rsidR="00137863" w:rsidRPr="006C3BE6" w:rsidP="006C3BE6" w14:paraId="59411297" w14:textId="2697EEC8">
      <w:pPr>
        <w:pStyle w:val="TableStyle0"/>
        <w:ind w:left="252" w:right="-105"/>
      </w:pPr>
      <w:bookmarkStart w:id="77" w:name="_Toc24028913"/>
      <w:bookmarkStart w:id="78" w:name="_Toc26780069"/>
      <w:bookmarkStart w:id="79" w:name="_Toc121583627"/>
      <w:bookmarkStart w:id="80" w:name="_Toc166761949"/>
      <w:r>
        <w:rPr>
          <w:rFonts w:hint="eastAsia"/>
        </w:rPr>
        <w:t>东南亚市场</w:t>
      </w:r>
      <w:r w:rsidRPr="006C3BE6">
        <w:rPr>
          <w:rFonts w:hint="eastAsia"/>
        </w:rPr>
        <w:t>主要厂商</w:t>
      </w:r>
      <w:r w:rsidRPr="006C3BE6">
        <w:t>电子式热分配表(HCA)</w:t>
      </w:r>
      <w:r w:rsidRPr="006C3BE6">
        <w:rPr>
          <w:rFonts w:hint="eastAsia"/>
        </w:rPr>
        <w:t>销量</w:t>
      </w:r>
      <w:bookmarkEnd w:id="77"/>
      <w:bookmarkEnd w:id="78"/>
      <w:r w:rsidRPr="006C3BE6">
        <w:rPr>
          <w:rFonts w:hint="eastAsia"/>
        </w:rPr>
        <w:t>（</w:t>
      </w:r>
      <w:r w:rsidRPr="006C3BE6">
        <w:rPr>
          <w:rFonts w:hint="eastAsia"/>
        </w:rPr>
        <w:t>2019-2024</w:t>
      </w:r>
      <w:r w:rsidRPr="006C3BE6">
        <w:rPr>
          <w:rFonts w:hint="eastAsia"/>
        </w:rPr>
        <w:t>）</w:t>
      </w:r>
      <w:r w:rsidRPr="006C3BE6">
        <w:rPr>
          <w:rFonts w:hint="eastAsia"/>
        </w:rPr>
        <w:t>&amp;</w:t>
      </w:r>
      <w:r w:rsidRPr="006C3BE6">
        <w:rPr>
          <w:rFonts w:hint="eastAsia"/>
        </w:rPr>
        <w:t>（</w:t>
      </w:r>
      <w:r w:rsidRPr="006C3BE6">
        <w:rPr>
          <w:rFonts w:hint="eastAsia"/>
        </w:rPr>
        <w:t>千个</w:t>
      </w:r>
      <w:r w:rsidRPr="006C3BE6">
        <w:rPr>
          <w:rFonts w:hint="eastAsia"/>
        </w:rPr>
        <w:t>）</w:t>
      </w:r>
      <w:bookmarkEnd w:id="79"/>
      <w:bookmarkEnd w:id="80"/>
    </w:p>
    <w:tbl>
      <w:tblPr>
        <w:tblStyle w:val="TableGrid80"/>
        <w:tblW w:w="4999" w:type="pct"/>
        <w:tblLook w:val="04A0"/>
      </w:tblPr>
      <w:tblGrid>
        <w:gridCol w:w="2756"/>
        <w:gridCol w:w="1208"/>
        <w:gridCol w:w="1206"/>
        <w:gridCol w:w="1204"/>
        <w:gridCol w:w="1204"/>
        <w:gridCol w:w="1196"/>
        <w:gridCol w:w="1192"/>
      </w:tblGrid>
      <w:tr w14:paraId="72FCEAF0" w14:textId="77777777" w:rsidTr="00017B34">
        <w:tblPrEx>
          <w:tblW w:w="4999" w:type="pct"/>
          <w:tblLook w:val="04A0"/>
        </w:tblPrEx>
        <w:trPr>
          <w:trHeight w:val="270"/>
        </w:trPr>
        <w:tc>
          <w:tcPr>
            <w:tcW w:w="1383" w:type="pct"/>
            <w:noWrap/>
            <w:hideMark/>
          </w:tcPr>
          <w:p w:rsidR="00137863" w:rsidRPr="00F844AB" w:rsidP="00017B34" w14:paraId="30731C26" w14:textId="77777777">
            <w:pPr>
              <w:pStyle w:val="-02"/>
            </w:pPr>
            <w:r>
              <w:rPr>
                <w:rFonts w:hint="eastAsia"/>
              </w:rPr>
              <w:t>公司名称</w:t>
            </w:r>
          </w:p>
        </w:tc>
        <w:tc>
          <w:tcPr>
            <w:tcW w:w="606" w:type="pct"/>
          </w:tcPr>
          <w:p w:rsidR="00137863" w:rsidP="00017B34" w14:paraId="4B0BA9DB" w14:textId="77777777">
            <w:pPr>
              <w:pStyle w:val="-02"/>
            </w:pPr>
            <w:r>
              <w:rPr>
                <w:rFonts w:hint="eastAsia"/>
              </w:rPr>
              <w:t>2019</w:t>
            </w:r>
          </w:p>
        </w:tc>
        <w:tc>
          <w:tcPr>
            <w:tcW w:w="605" w:type="pct"/>
          </w:tcPr>
          <w:p w:rsidR="00137863" w:rsidP="00017B34" w14:paraId="19801E69" w14:textId="77777777">
            <w:pPr>
              <w:pStyle w:val="-02"/>
            </w:pPr>
            <w:r>
              <w:rPr>
                <w:rFonts w:hint="eastAsia"/>
              </w:rPr>
              <w:t>2020</w:t>
            </w:r>
          </w:p>
        </w:tc>
        <w:tc>
          <w:tcPr>
            <w:tcW w:w="604" w:type="pct"/>
            <w:noWrap/>
            <w:hideMark/>
          </w:tcPr>
          <w:p w:rsidR="00137863" w:rsidRPr="00F844AB" w:rsidP="00017B34" w14:paraId="631B728A" w14:textId="77777777">
            <w:pPr>
              <w:pStyle w:val="-02"/>
            </w:pPr>
            <w:r>
              <w:rPr>
                <w:rFonts w:hint="eastAsia"/>
              </w:rPr>
              <w:t>202</w:t>
            </w:r>
            <w:r>
              <w:t>1</w:t>
            </w:r>
          </w:p>
        </w:tc>
        <w:tc>
          <w:tcPr>
            <w:tcW w:w="604" w:type="pct"/>
            <w:noWrap/>
            <w:hideMark/>
          </w:tcPr>
          <w:p w:rsidR="00137863" w:rsidRPr="00F844AB" w:rsidP="00017B34" w14:paraId="2F061484" w14:textId="77777777">
            <w:pPr>
              <w:pStyle w:val="-02"/>
            </w:pPr>
            <w:r>
              <w:rPr>
                <w:rFonts w:hint="eastAsia"/>
              </w:rPr>
              <w:t>202</w:t>
            </w:r>
            <w:r>
              <w:t>2</w:t>
            </w:r>
          </w:p>
        </w:tc>
        <w:tc>
          <w:tcPr>
            <w:tcW w:w="600" w:type="pct"/>
          </w:tcPr>
          <w:p w:rsidR="00137863" w:rsidP="00017B34" w14:paraId="174DD383" w14:textId="77777777">
            <w:pPr>
              <w:pStyle w:val="-02"/>
            </w:pPr>
            <w:r>
              <w:rPr>
                <w:rFonts w:hint="eastAsia"/>
              </w:rPr>
              <w:t>202</w:t>
            </w:r>
            <w:r>
              <w:t>3</w:t>
            </w:r>
          </w:p>
        </w:tc>
        <w:tc>
          <w:tcPr>
            <w:tcW w:w="599" w:type="pct"/>
          </w:tcPr>
          <w:p w:rsidR="00137863" w:rsidP="00017B34" w14:paraId="1FB80DFA" w14:textId="77777777">
            <w:pPr>
              <w:pStyle w:val="-02"/>
            </w:pPr>
            <w:r>
              <w:rPr>
                <w:rFonts w:hint="eastAsia"/>
              </w:rPr>
              <w:t>202</w:t>
            </w:r>
            <w:r>
              <w:t>4</w:t>
            </w:r>
          </w:p>
        </w:tc>
      </w:tr>
      <w:tr w14:paraId="55B3A981" w14:textId="77777777" w:rsidTr="00017B34">
        <w:tblPrEx>
          <w:tblW w:w="4999" w:type="pct"/>
          <w:tblLook w:val="04A0"/>
        </w:tblPrEx>
        <w:trPr>
          <w:trHeight w:val="270"/>
        </w:trPr>
        <w:tc>
          <w:tcPr>
            <w:tcW w:w="1383" w:type="pct"/>
            <w:noWrap/>
            <w:hideMark/>
          </w:tcPr>
          <w:p w:rsidR="00137863" w:rsidRPr="009D02FC" w:rsidP="00017B34" w14:paraId="6BCDDF16" w14:textId="77777777">
            <w:pPr>
              <w:pStyle w:val="-02"/>
            </w:pPr>
            <w:r w:rsidRPr="009D02FC">
              <w:t>Zenner</w:t>
            </w:r>
          </w:p>
        </w:tc>
        <w:tc>
          <w:tcPr>
            <w:tcW w:w="606" w:type="pct"/>
          </w:tcPr>
          <w:p w:rsidR="00137863" w:rsidRPr="008E6510" w:rsidP="00017B34" w14:paraId="53F45064" w14:textId="77777777">
            <w:pPr>
              <w:pStyle w:val="-02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5" w:type="pct"/>
          </w:tcPr>
          <w:p w:rsidR="00137863" w:rsidRPr="008E6510" w:rsidP="00017B34" w14:paraId="5EBD00D7" w14:textId="77777777">
            <w:pPr>
              <w:pStyle w:val="-02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:rsidR="00137863" w:rsidP="00017B34" w14:paraId="13D62342" w14:textId="77777777">
            <w:pPr>
              <w:pStyle w:val="-02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:rsidR="00137863" w:rsidP="00017B34" w14:paraId="191344B7" w14:textId="77777777">
            <w:pPr>
              <w:pStyle w:val="-02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0" w:type="pct"/>
          </w:tcPr>
          <w:p w:rsidR="00137863" w:rsidP="00017B34" w14:paraId="133FDAA1" w14:textId="77777777">
            <w:pPr>
              <w:pStyle w:val="-02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599" w:type="pct"/>
          </w:tcPr>
          <w:p w:rsidR="00137863" w:rsidRPr="008E6510" w:rsidP="00017B34" w14:paraId="13B3042B" w14:textId="77777777">
            <w:pPr>
              <w:pStyle w:val="-02"/>
            </w:pPr>
            <w:r w:rsidRPr="00FB79D1">
              <w:rPr>
                <w:rFonts w:hint="eastAsia"/>
              </w:rPr>
              <w:t>XX</w:t>
            </w:r>
          </w:p>
        </w:tc>
      </w:tr>
      <w:tr w14:paraId="0E96233F" w14:textId="77777777" w:rsidTr="00017B34">
        <w:tblPrEx>
          <w:tblW w:w="4999" w:type="pct"/>
          <w:tblLook w:val="04A0"/>
        </w:tblPrEx>
        <w:trPr>
          <w:trHeight w:val="270"/>
        </w:trPr>
        <w:tc>
          <w:tcPr>
            <w:tcW w:w="1383" w:type="pct"/>
            <w:noWrap/>
            <w:hideMark/>
          </w:tcPr>
          <w:p w:rsidR="00137863" w:rsidRPr="009D02FC" w:rsidP="00017B34" w14:paraId="687AA96E" w14:textId="77777777">
            <w:pPr>
              <w:pStyle w:val="-02"/>
            </w:pPr>
            <w:r w:rsidRPr="009D02FC">
              <w:t>Ista</w:t>
            </w:r>
          </w:p>
        </w:tc>
        <w:tc>
          <w:tcPr>
            <w:tcW w:w="606" w:type="pct"/>
          </w:tcPr>
          <w:p w:rsidR="00137863" w:rsidRPr="008E6510" w:rsidP="00017B34" w14:paraId="44C2CC8F" w14:textId="77777777">
            <w:pPr>
              <w:pStyle w:val="-02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5" w:type="pct"/>
          </w:tcPr>
          <w:p w:rsidR="00137863" w:rsidRPr="008E6510" w:rsidP="00017B34" w14:paraId="002E5D80" w14:textId="77777777">
            <w:pPr>
              <w:pStyle w:val="-02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:rsidR="00137863" w:rsidP="00017B34" w14:paraId="0DC598EC" w14:textId="77777777">
            <w:pPr>
              <w:pStyle w:val="-02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:rsidR="00137863" w:rsidP="00017B34" w14:paraId="708849A9" w14:textId="77777777">
            <w:pPr>
              <w:pStyle w:val="-02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0" w:type="pct"/>
          </w:tcPr>
          <w:p w:rsidR="00137863" w:rsidP="00017B34" w14:paraId="377EBBE2" w14:textId="77777777">
            <w:pPr>
              <w:pStyle w:val="-02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599" w:type="pct"/>
          </w:tcPr>
          <w:p w:rsidR="00137863" w:rsidRPr="008E6510" w:rsidP="00017B34" w14:paraId="13FA90EA" w14:textId="77777777">
            <w:pPr>
              <w:pStyle w:val="-02"/>
            </w:pPr>
            <w:r w:rsidRPr="00FB79D1">
              <w:rPr>
                <w:rFonts w:hint="eastAsia"/>
              </w:rPr>
              <w:t>XX</w:t>
            </w:r>
          </w:p>
        </w:tc>
      </w:tr>
      <w:tr w14:paraId="0C95867A" w14:textId="77777777" w:rsidTr="00017B34">
        <w:tblPrEx>
          <w:tblW w:w="4999" w:type="pct"/>
          <w:tblLook w:val="04A0"/>
        </w:tblPrEx>
        <w:trPr>
          <w:trHeight w:val="270"/>
        </w:trPr>
        <w:tc>
          <w:tcPr>
            <w:tcW w:w="1383" w:type="pct"/>
            <w:noWrap/>
            <w:hideMark/>
          </w:tcPr>
          <w:p w:rsidR="00137863" w:rsidRPr="009D02FC" w:rsidP="00017B34" w14:paraId="30D2F13E" w14:textId="77777777">
            <w:pPr>
              <w:pStyle w:val="-02"/>
            </w:pPr>
            <w:r w:rsidRPr="009D02FC">
              <w:t>Techem</w:t>
            </w:r>
          </w:p>
        </w:tc>
        <w:tc>
          <w:tcPr>
            <w:tcW w:w="606" w:type="pct"/>
          </w:tcPr>
          <w:p w:rsidR="00137863" w:rsidRPr="008E6510" w:rsidP="00017B34" w14:paraId="277DAAB2" w14:textId="77777777">
            <w:pPr>
              <w:pStyle w:val="-02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5" w:type="pct"/>
          </w:tcPr>
          <w:p w:rsidR="00137863" w:rsidRPr="008E6510" w:rsidP="00017B34" w14:paraId="1B0A39F8" w14:textId="77777777">
            <w:pPr>
              <w:pStyle w:val="-02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:rsidR="00137863" w:rsidP="00017B34" w14:paraId="725EA79F" w14:textId="77777777">
            <w:pPr>
              <w:pStyle w:val="-02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:rsidR="00137863" w:rsidP="00017B34" w14:paraId="3451785F" w14:textId="77777777">
            <w:pPr>
              <w:pStyle w:val="-02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0" w:type="pct"/>
          </w:tcPr>
          <w:p w:rsidR="00137863" w:rsidP="00017B34" w14:paraId="3483A6DC" w14:textId="77777777">
            <w:pPr>
              <w:pStyle w:val="-02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599" w:type="pct"/>
          </w:tcPr>
          <w:p w:rsidR="00137863" w:rsidRPr="008E6510" w:rsidP="00017B34" w14:paraId="39A5114D" w14:textId="77777777">
            <w:pPr>
              <w:pStyle w:val="-02"/>
            </w:pPr>
            <w:r w:rsidRPr="00FB79D1">
              <w:rPr>
                <w:rFonts w:hint="eastAsia"/>
              </w:rPr>
              <w:t>XX</w:t>
            </w:r>
          </w:p>
        </w:tc>
      </w:tr>
      <w:tr w14:paraId="73F8EF6E" w14:textId="77777777" w:rsidTr="00017B34">
        <w:tblPrEx>
          <w:tblW w:w="4999" w:type="pct"/>
          <w:tblLook w:val="04A0"/>
        </w:tblPrEx>
        <w:trPr>
          <w:trHeight w:val="270"/>
        </w:trPr>
        <w:tc>
          <w:tcPr>
            <w:tcW w:w="1383" w:type="pct"/>
            <w:noWrap/>
            <w:hideMark/>
          </w:tcPr>
          <w:p w:rsidR="00137863" w:rsidRPr="009D02FC" w:rsidP="00017B34" w14:paraId="5F549F14" w14:textId="77777777">
            <w:pPr>
              <w:pStyle w:val="-02"/>
            </w:pPr>
            <w:r w:rsidRPr="009D02FC">
              <w:t>Siemens</w:t>
            </w:r>
          </w:p>
        </w:tc>
        <w:tc>
          <w:tcPr>
            <w:tcW w:w="606" w:type="pct"/>
          </w:tcPr>
          <w:p w:rsidR="00137863" w:rsidRPr="008E6510" w:rsidP="00017B34" w14:paraId="4C67BB46" w14:textId="77777777">
            <w:pPr>
              <w:pStyle w:val="-02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5" w:type="pct"/>
          </w:tcPr>
          <w:p w:rsidR="00137863" w:rsidRPr="008E6510" w:rsidP="00017B34" w14:paraId="428853AE" w14:textId="77777777">
            <w:pPr>
              <w:pStyle w:val="-02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:rsidR="00137863" w:rsidP="00017B34" w14:paraId="02FF1F98" w14:textId="77777777">
            <w:pPr>
              <w:pStyle w:val="-02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:rsidR="00137863" w:rsidP="00017B34" w14:paraId="106BB47B" w14:textId="77777777">
            <w:pPr>
              <w:pStyle w:val="-02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0" w:type="pct"/>
          </w:tcPr>
          <w:p w:rsidR="00137863" w:rsidP="00017B34" w14:paraId="0EF79740" w14:textId="77777777">
            <w:pPr>
              <w:pStyle w:val="-02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599" w:type="pct"/>
          </w:tcPr>
          <w:p w:rsidR="00137863" w:rsidRPr="008E6510" w:rsidP="00017B34" w14:paraId="4B721E15" w14:textId="77777777">
            <w:pPr>
              <w:pStyle w:val="-02"/>
            </w:pPr>
            <w:r w:rsidRPr="00FB79D1">
              <w:rPr>
                <w:rFonts w:hint="eastAsia"/>
              </w:rPr>
              <w:t>XX</w:t>
            </w:r>
          </w:p>
        </w:tc>
      </w:tr>
      <w:tr w14:paraId="3B0EFAAE" w14:textId="77777777" w:rsidTr="00017B34">
        <w:tblPrEx>
          <w:tblW w:w="4999" w:type="pct"/>
          <w:tblLook w:val="04A0"/>
        </w:tblPrEx>
        <w:trPr>
          <w:trHeight w:val="270"/>
        </w:trPr>
        <w:tc>
          <w:tcPr>
            <w:tcW w:w="1383" w:type="pct"/>
            <w:noWrap/>
          </w:tcPr>
          <w:p w:rsidR="00137863" w:rsidRPr="009D02FC" w:rsidP="00017B34" w14:paraId="30064D11" w14:textId="77777777">
            <w:pPr>
              <w:pStyle w:val="-02"/>
            </w:pPr>
            <w:r w:rsidRPr="009D02FC">
              <w:t>Engelmnn</w:t>
            </w:r>
          </w:p>
        </w:tc>
        <w:tc>
          <w:tcPr>
            <w:tcW w:w="606" w:type="pct"/>
          </w:tcPr>
          <w:p w:rsidR="00137863" w:rsidRPr="008E6510" w:rsidP="00017B34" w14:paraId="7CC7539F" w14:textId="77777777">
            <w:pPr>
              <w:pStyle w:val="-02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5" w:type="pct"/>
          </w:tcPr>
          <w:p w:rsidR="00137863" w:rsidRPr="008E6510" w:rsidP="00017B34" w14:paraId="05E001C9" w14:textId="77777777">
            <w:pPr>
              <w:pStyle w:val="-02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:rsidR="00137863" w:rsidP="00017B34" w14:paraId="7DB13BC8" w14:textId="77777777">
            <w:pPr>
              <w:pStyle w:val="-02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:rsidR="00137863" w:rsidP="00017B34" w14:paraId="134F579A" w14:textId="77777777">
            <w:pPr>
              <w:pStyle w:val="-02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0" w:type="pct"/>
          </w:tcPr>
          <w:p w:rsidR="00137863" w:rsidP="00017B34" w14:paraId="65E070CE" w14:textId="77777777">
            <w:pPr>
              <w:pStyle w:val="-02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599" w:type="pct"/>
          </w:tcPr>
          <w:p w:rsidR="00137863" w:rsidRPr="008E6510" w:rsidP="00017B34" w14:paraId="6E548213" w14:textId="77777777">
            <w:pPr>
              <w:pStyle w:val="-02"/>
            </w:pPr>
            <w:r w:rsidRPr="00FB79D1">
              <w:rPr>
                <w:rFonts w:hint="eastAsia"/>
              </w:rPr>
              <w:t>XX</w:t>
            </w:r>
          </w:p>
        </w:tc>
      </w:tr>
      <w:tr w14:paraId="373B97AC" w14:textId="77777777" w:rsidTr="00017B34">
        <w:tblPrEx>
          <w:tblW w:w="4999" w:type="pct"/>
          <w:tblLook w:val="04A0"/>
        </w:tblPrEx>
        <w:trPr>
          <w:trHeight w:val="270"/>
        </w:trPr>
        <w:tc>
          <w:tcPr>
            <w:tcW w:w="1383" w:type="pct"/>
            <w:noWrap/>
          </w:tcPr>
          <w:p w:rsidR="00137863" w:rsidRPr="009D02FC" w:rsidP="00017B34" w14:paraId="48B3AEB7" w14:textId="77777777">
            <w:pPr>
              <w:pStyle w:val="-02"/>
            </w:pPr>
            <w:r w:rsidRPr="009D02FC">
              <w:t>Te-sa s.r.l.</w:t>
            </w:r>
          </w:p>
        </w:tc>
        <w:tc>
          <w:tcPr>
            <w:tcW w:w="606" w:type="pct"/>
          </w:tcPr>
          <w:p w:rsidR="00137863" w:rsidRPr="008E6510" w:rsidP="00017B34" w14:paraId="30428397" w14:textId="77777777">
            <w:pPr>
              <w:pStyle w:val="-02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5" w:type="pct"/>
          </w:tcPr>
          <w:p w:rsidR="00137863" w:rsidRPr="008E6510" w:rsidP="00017B34" w14:paraId="02BEFAEC" w14:textId="77777777">
            <w:pPr>
              <w:pStyle w:val="-02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:rsidR="00137863" w:rsidP="00017B34" w14:paraId="73ACD2A6" w14:textId="77777777">
            <w:pPr>
              <w:pStyle w:val="-02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:rsidR="00137863" w:rsidP="00017B34" w14:paraId="481A1CDF" w14:textId="77777777">
            <w:pPr>
              <w:pStyle w:val="-02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0" w:type="pct"/>
          </w:tcPr>
          <w:p w:rsidR="00137863" w:rsidP="00017B34" w14:paraId="2CD27D71" w14:textId="77777777">
            <w:pPr>
              <w:pStyle w:val="-02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599" w:type="pct"/>
          </w:tcPr>
          <w:p w:rsidR="00137863" w:rsidRPr="008E6510" w:rsidP="00017B34" w14:paraId="22231724" w14:textId="77777777">
            <w:pPr>
              <w:pStyle w:val="-02"/>
            </w:pPr>
            <w:r w:rsidRPr="00FB79D1">
              <w:rPr>
                <w:rFonts w:hint="eastAsia"/>
              </w:rPr>
              <w:t>XX</w:t>
            </w:r>
          </w:p>
        </w:tc>
      </w:tr>
      <w:tr w14:paraId="14813B7D" w14:textId="77777777" w:rsidTr="00017B34">
        <w:tblPrEx>
          <w:tblW w:w="4999" w:type="pct"/>
          <w:tblLook w:val="04A0"/>
        </w:tblPrEx>
        <w:trPr>
          <w:trHeight w:val="270"/>
        </w:trPr>
        <w:tc>
          <w:tcPr>
            <w:tcW w:w="1383" w:type="pct"/>
            <w:noWrap/>
          </w:tcPr>
          <w:p w:rsidR="00137863" w:rsidRPr="009D02FC" w:rsidP="00017B34" w14:paraId="043661ED" w14:textId="77777777">
            <w:pPr>
              <w:pStyle w:val="-02"/>
            </w:pPr>
            <w:r w:rsidRPr="009D02FC">
              <w:t>Itron</w:t>
            </w:r>
          </w:p>
        </w:tc>
        <w:tc>
          <w:tcPr>
            <w:tcW w:w="606" w:type="pct"/>
          </w:tcPr>
          <w:p w:rsidR="00137863" w:rsidRPr="008E6510" w:rsidP="00017B34" w14:paraId="35577CAB" w14:textId="77777777">
            <w:pPr>
              <w:pStyle w:val="-02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5" w:type="pct"/>
          </w:tcPr>
          <w:p w:rsidR="00137863" w:rsidRPr="008E6510" w:rsidP="00017B34" w14:paraId="78566F1B" w14:textId="77777777">
            <w:pPr>
              <w:pStyle w:val="-02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:rsidR="00137863" w:rsidP="00017B34" w14:paraId="26F1477C" w14:textId="77777777">
            <w:pPr>
              <w:pStyle w:val="-02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:rsidR="00137863" w:rsidP="00017B34" w14:paraId="11503073" w14:textId="77777777">
            <w:pPr>
              <w:pStyle w:val="-02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0" w:type="pct"/>
          </w:tcPr>
          <w:p w:rsidR="00137863" w:rsidP="00017B34" w14:paraId="4C5F5B6E" w14:textId="77777777">
            <w:pPr>
              <w:pStyle w:val="-02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599" w:type="pct"/>
          </w:tcPr>
          <w:p w:rsidR="00137863" w:rsidRPr="008E6510" w:rsidP="00017B34" w14:paraId="014378E3" w14:textId="77777777">
            <w:pPr>
              <w:pStyle w:val="-02"/>
            </w:pPr>
            <w:r w:rsidRPr="00FB79D1">
              <w:rPr>
                <w:rFonts w:hint="eastAsia"/>
              </w:rPr>
              <w:t>XX</w:t>
            </w:r>
          </w:p>
        </w:tc>
      </w:tr>
      <w:tr w14:paraId="1B4CF6D5" w14:textId="77777777" w:rsidTr="00017B34">
        <w:tblPrEx>
          <w:tblW w:w="4999" w:type="pct"/>
          <w:tblLook w:val="04A0"/>
        </w:tblPrEx>
        <w:trPr>
          <w:trHeight w:val="270"/>
        </w:trPr>
        <w:tc>
          <w:tcPr>
            <w:tcW w:w="1383" w:type="pct"/>
            <w:noWrap/>
          </w:tcPr>
          <w:p w:rsidR="00137863" w:rsidRPr="009D02FC" w:rsidP="00017B34" w14:paraId="3CD3E588" w14:textId="77777777">
            <w:pPr>
              <w:pStyle w:val="-02"/>
            </w:pPr>
            <w:r w:rsidRPr="009D02FC">
              <w:t>Sontex</w:t>
            </w:r>
          </w:p>
        </w:tc>
        <w:tc>
          <w:tcPr>
            <w:tcW w:w="606" w:type="pct"/>
          </w:tcPr>
          <w:p w:rsidR="00137863" w:rsidRPr="008E6510" w:rsidP="00017B34" w14:paraId="28195D73" w14:textId="77777777">
            <w:pPr>
              <w:pStyle w:val="-02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5" w:type="pct"/>
          </w:tcPr>
          <w:p w:rsidR="00137863" w:rsidRPr="008E6510" w:rsidP="00017B34" w14:paraId="7022C80F" w14:textId="77777777">
            <w:pPr>
              <w:pStyle w:val="-02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:rsidR="00137863" w:rsidP="00017B34" w14:paraId="0161EC00" w14:textId="77777777">
            <w:pPr>
              <w:pStyle w:val="-02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:rsidR="00137863" w:rsidP="00017B34" w14:paraId="24A77BEA" w14:textId="77777777">
            <w:pPr>
              <w:pStyle w:val="-02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0" w:type="pct"/>
          </w:tcPr>
          <w:p w:rsidR="00137863" w:rsidP="00017B34" w14:paraId="48499786" w14:textId="77777777">
            <w:pPr>
              <w:pStyle w:val="-02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599" w:type="pct"/>
          </w:tcPr>
          <w:p w:rsidR="00137863" w:rsidRPr="008E6510" w:rsidP="00017B34" w14:paraId="4A46DB04" w14:textId="77777777">
            <w:pPr>
              <w:pStyle w:val="-02"/>
            </w:pPr>
            <w:r w:rsidRPr="00FB79D1">
              <w:rPr>
                <w:rFonts w:hint="eastAsia"/>
              </w:rPr>
              <w:t>XX</w:t>
            </w:r>
          </w:p>
        </w:tc>
      </w:tr>
      <w:tr w14:paraId="6B8EC6ED" w14:textId="77777777" w:rsidTr="00017B34">
        <w:tblPrEx>
          <w:tblW w:w="4999" w:type="pct"/>
          <w:tblLook w:val="04A0"/>
        </w:tblPrEx>
        <w:trPr>
          <w:trHeight w:val="270"/>
        </w:trPr>
        <w:tc>
          <w:tcPr>
            <w:tcW w:w="1383" w:type="pct"/>
            <w:noWrap/>
          </w:tcPr>
          <w:p w:rsidR="00137863" w:rsidRPr="009D02FC" w:rsidP="00017B34" w14:paraId="72A5FCB4" w14:textId="77777777">
            <w:pPr>
              <w:pStyle w:val="-02"/>
            </w:pPr>
            <w:r w:rsidRPr="009D02FC">
              <w:t>乐业节能</w:t>
            </w:r>
          </w:p>
        </w:tc>
        <w:tc>
          <w:tcPr>
            <w:tcW w:w="606" w:type="pct"/>
          </w:tcPr>
          <w:p w:rsidR="00137863" w:rsidRPr="008E6510" w:rsidP="00017B34" w14:paraId="64DC6F7D" w14:textId="77777777">
            <w:pPr>
              <w:pStyle w:val="-02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5" w:type="pct"/>
          </w:tcPr>
          <w:p w:rsidR="00137863" w:rsidRPr="008E6510" w:rsidP="00017B34" w14:paraId="77ADF00A" w14:textId="77777777">
            <w:pPr>
              <w:pStyle w:val="-02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:rsidR="00137863" w:rsidP="00017B34" w14:paraId="66DEA378" w14:textId="77777777">
            <w:pPr>
              <w:pStyle w:val="-02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:rsidR="00137863" w:rsidP="00017B34" w14:paraId="06322BE8" w14:textId="77777777">
            <w:pPr>
              <w:pStyle w:val="-02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0" w:type="pct"/>
          </w:tcPr>
          <w:p w:rsidR="00137863" w:rsidP="00017B34" w14:paraId="4DCB19AE" w14:textId="77777777">
            <w:pPr>
              <w:pStyle w:val="-02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599" w:type="pct"/>
          </w:tcPr>
          <w:p w:rsidR="00137863" w:rsidRPr="008E6510" w:rsidP="00017B34" w14:paraId="03A4FD1C" w14:textId="77777777">
            <w:pPr>
              <w:pStyle w:val="-02"/>
            </w:pPr>
            <w:r w:rsidRPr="00FB79D1">
              <w:rPr>
                <w:rFonts w:hint="eastAsia"/>
              </w:rPr>
              <w:t>XX</w:t>
            </w:r>
          </w:p>
        </w:tc>
      </w:tr>
      <w:tr w14:paraId="30A115CD" w14:textId="77777777" w:rsidTr="00017B34">
        <w:tblPrEx>
          <w:tblW w:w="4999" w:type="pct"/>
          <w:tblLook w:val="04A0"/>
        </w:tblPrEx>
        <w:trPr>
          <w:trHeight w:val="270"/>
        </w:trPr>
        <w:tc>
          <w:tcPr>
            <w:tcW w:w="1383" w:type="pct"/>
            <w:tcBorders>
              <w:bottom w:val="single" w:sz="0" w:space="0" w:color="4F81BD"/>
            </w:tcBorders>
            <w:noWrap/>
          </w:tcPr>
          <w:p w:rsidR="00137863" w:rsidRPr="009D02FC" w:rsidP="00017B34" w14:paraId="5F72754C" w14:textId="77777777">
            <w:pPr>
              <w:pStyle w:val="-02"/>
            </w:pPr>
            <w:r w:rsidRPr="009D02FC">
              <w:t>Brunata</w:t>
            </w:r>
          </w:p>
        </w:tc>
        <w:tc>
          <w:tcPr>
            <w:tcW w:w="606" w:type="pct"/>
          </w:tcPr>
          <w:p w:rsidR="00137863" w:rsidRPr="008E6510" w:rsidP="00017B34" w14:paraId="450AC08C" w14:textId="77777777">
            <w:pPr>
              <w:pStyle w:val="-02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5" w:type="pct"/>
          </w:tcPr>
          <w:p w:rsidR="00137863" w:rsidRPr="008E6510" w:rsidP="00017B34" w14:paraId="48898FD4" w14:textId="77777777">
            <w:pPr>
              <w:pStyle w:val="-02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:rsidR="00137863" w:rsidP="00017B34" w14:paraId="605F911B" w14:textId="77777777">
            <w:pPr>
              <w:pStyle w:val="-02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:rsidR="00137863" w:rsidP="00017B34" w14:paraId="4D4E9186" w14:textId="77777777">
            <w:pPr>
              <w:pStyle w:val="-02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0" w:type="pct"/>
          </w:tcPr>
          <w:p w:rsidR="00137863" w:rsidP="00017B34" w14:paraId="5A319DEA" w14:textId="77777777">
            <w:pPr>
              <w:pStyle w:val="-02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599" w:type="pct"/>
          </w:tcPr>
          <w:p w:rsidR="00137863" w:rsidRPr="008E6510" w:rsidP="00017B34" w14:paraId="3C840ADA" w14:textId="77777777">
            <w:pPr>
              <w:pStyle w:val="-02"/>
            </w:pPr>
            <w:r w:rsidRPr="00FB79D1">
              <w:rPr>
                <w:rFonts w:hint="eastAsia"/>
              </w:rPr>
              <w:t>XX</w:t>
            </w:r>
          </w:p>
        </w:tc>
      </w:tr>
      <w:tr w14:paraId="1291E759" w14:textId="77777777" w:rsidTr="00017B34">
        <w:tblPrEx>
          <w:tblW w:w="4999" w:type="pct"/>
          <w:tblLook w:val="04A0"/>
        </w:tblPrEx>
        <w:trPr>
          <w:trHeight w:val="270"/>
        </w:trPr>
        <w:tc>
          <w:tcPr>
            <w:tcW w:w="1383" w:type="pct"/>
            <w:noWrap/>
            <w:hideMark/>
          </w:tcPr>
          <w:p w:rsidR="00137863" w:rsidRPr="009D02FC" w:rsidP="00017B34" w14:paraId="6966F1BC" w14:textId="77777777">
            <w:pPr>
              <w:pStyle w:val="-02"/>
            </w:pPr>
            <w:r>
              <w:rPr>
                <w:rFonts w:hint="eastAsia"/>
              </w:rPr>
              <w:t>其他厂商</w:t>
            </w:r>
          </w:p>
        </w:tc>
        <w:tc>
          <w:tcPr>
            <w:tcW w:w="606" w:type="pct"/>
          </w:tcPr>
          <w:p w:rsidR="00137863" w:rsidRPr="008E6510" w:rsidP="00017B34" w14:paraId="2D549B3B" w14:textId="77777777">
            <w:pPr>
              <w:pStyle w:val="-02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5" w:type="pct"/>
          </w:tcPr>
          <w:p w:rsidR="00137863" w:rsidRPr="008E6510" w:rsidP="00017B34" w14:paraId="21D3E96C" w14:textId="77777777">
            <w:pPr>
              <w:pStyle w:val="-02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  <w:hideMark/>
          </w:tcPr>
          <w:p w:rsidR="00137863" w:rsidP="00017B34" w14:paraId="59AE968B" w14:textId="77777777">
            <w:pPr>
              <w:pStyle w:val="-02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  <w:hideMark/>
          </w:tcPr>
          <w:p w:rsidR="00137863" w:rsidP="00017B34" w14:paraId="19D2492F" w14:textId="77777777">
            <w:pPr>
              <w:pStyle w:val="-02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0" w:type="pct"/>
          </w:tcPr>
          <w:p w:rsidR="00137863" w:rsidP="00017B34" w14:paraId="334E5F20" w14:textId="77777777">
            <w:pPr>
              <w:pStyle w:val="-02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599" w:type="pct"/>
          </w:tcPr>
          <w:p w:rsidR="00137863" w:rsidRPr="008E6510" w:rsidP="00017B34" w14:paraId="60A41A4D" w14:textId="77777777">
            <w:pPr>
              <w:pStyle w:val="-02"/>
            </w:pPr>
            <w:r w:rsidRPr="00FB79D1">
              <w:rPr>
                <w:rFonts w:hint="eastAsia"/>
              </w:rPr>
              <w:t>XX</w:t>
            </w:r>
          </w:p>
        </w:tc>
      </w:tr>
      <w:tr w14:paraId="6BE9C686" w14:textId="77777777" w:rsidTr="00017B34">
        <w:tblPrEx>
          <w:tblW w:w="4999" w:type="pct"/>
          <w:tblLook w:val="04A0"/>
        </w:tblPrEx>
        <w:trPr>
          <w:trHeight w:val="270"/>
        </w:trPr>
        <w:tc>
          <w:tcPr>
            <w:tcW w:w="1383" w:type="pct"/>
            <w:noWrap/>
            <w:hideMark/>
          </w:tcPr>
          <w:p w:rsidR="00137863" w:rsidRPr="00F844AB" w:rsidP="00017B34" w14:paraId="0264FFFA" w14:textId="77777777">
            <w:pPr>
              <w:pStyle w:val="-02"/>
            </w:pPr>
            <w:r>
              <w:rPr>
                <w:rFonts w:hint="eastAsia"/>
              </w:rPr>
              <w:t>合计</w:t>
            </w:r>
          </w:p>
        </w:tc>
        <w:tc>
          <w:tcPr>
            <w:tcW w:w="606" w:type="pct"/>
          </w:tcPr>
          <w:p w:rsidR="00137863" w:rsidRPr="008E6510" w:rsidP="00017B34" w14:paraId="77BCC799" w14:textId="77777777">
            <w:pPr>
              <w:pStyle w:val="-02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5" w:type="pct"/>
          </w:tcPr>
          <w:p w:rsidR="00137863" w:rsidRPr="008E6510" w:rsidP="00017B34" w14:paraId="2042381D" w14:textId="77777777">
            <w:pPr>
              <w:pStyle w:val="-02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  <w:hideMark/>
          </w:tcPr>
          <w:p w:rsidR="00137863" w:rsidP="00017B34" w14:paraId="276F80EF" w14:textId="77777777">
            <w:pPr>
              <w:pStyle w:val="-02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  <w:hideMark/>
          </w:tcPr>
          <w:p w:rsidR="00137863" w:rsidP="00017B34" w14:paraId="7BB226D7" w14:textId="77777777">
            <w:pPr>
              <w:pStyle w:val="-02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0" w:type="pct"/>
          </w:tcPr>
          <w:p w:rsidR="00137863" w:rsidP="00017B34" w14:paraId="7C88F406" w14:textId="77777777">
            <w:pPr>
              <w:pStyle w:val="-02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599" w:type="pct"/>
          </w:tcPr>
          <w:p w:rsidR="00137863" w:rsidRPr="008E6510" w:rsidP="00017B34" w14:paraId="2D067601" w14:textId="77777777">
            <w:pPr>
              <w:pStyle w:val="-02"/>
            </w:pPr>
            <w:r w:rsidRPr="00FB79D1">
              <w:rPr>
                <w:rFonts w:hint="eastAsia"/>
              </w:rPr>
              <w:t>XX</w:t>
            </w:r>
          </w:p>
        </w:tc>
      </w:tr>
    </w:tbl>
    <w:p w:rsidR="00137863" w:rsidP="00137863" w14:paraId="0271EB6F" w14:textId="77777777">
      <w:pPr>
        <w:pStyle w:val="Source00"/>
      </w:pPr>
      <w:r>
        <w:rPr>
          <w:rFonts w:hint="eastAsia"/>
        </w:rPr>
        <w:t>资料来源：上述企业，第三方资料、新闻报道、业内专家采访及</w:t>
      </w:r>
      <w:r>
        <w:rPr>
          <w:rFonts w:hint="eastAsia"/>
        </w:rPr>
        <w:t>QYResearch</w:t>
      </w:r>
      <w:r>
        <w:rPr>
          <w:rFonts w:hint="eastAsia"/>
        </w:rPr>
        <w:t>整理研究，</w:t>
      </w:r>
      <w:r>
        <w:rPr>
          <w:rFonts w:hint="eastAsia"/>
        </w:rPr>
        <w:t>2024</w:t>
      </w:r>
      <w:r>
        <w:rPr>
          <w:rFonts w:hint="eastAsia"/>
        </w:rPr>
        <w:t>年</w:t>
      </w:r>
    </w:p>
    <w:p w:rsidR="00137863" w:rsidRPr="00962483" w:rsidP="00137863" w14:paraId="6761B266" w14:textId="5B398B94">
      <w:pPr>
        <w:pStyle w:val="Heading30"/>
      </w:pPr>
      <w:bookmarkStart w:id="81" w:name="_Toc166762023"/>
      <w:r>
        <w:rPr>
          <w:rFonts w:hint="eastAsia"/>
        </w:rPr>
        <w:t>东南亚市场</w:t>
      </w:r>
      <w:r w:rsidRPr="00F74FCA">
        <w:rPr>
          <w:rFonts w:hint="eastAsia"/>
        </w:rPr>
        <w:t>主要厂商</w:t>
      </w:r>
      <w:r w:rsidRPr="00B728C9">
        <w:t>电子式热分配表(HCA)</w:t>
      </w:r>
      <w:r>
        <w:rPr>
          <w:rFonts w:hint="eastAsia"/>
        </w:rPr>
        <w:t>销量市场份额（</w:t>
      </w:r>
      <w:r>
        <w:rPr>
          <w:rFonts w:hint="eastAsia"/>
        </w:rPr>
        <w:t>2019-2024</w:t>
      </w:r>
      <w:r>
        <w:rPr>
          <w:rFonts w:hint="eastAsia"/>
        </w:rPr>
        <w:t>）</w:t>
      </w:r>
      <w:bookmarkEnd w:id="81"/>
    </w:p>
    <w:p w:rsidR="00137863" w:rsidRPr="006C3BE6" w:rsidP="006C3BE6" w14:paraId="2A05F249" w14:textId="7EA5AC95">
      <w:pPr>
        <w:pStyle w:val="TableStyle0"/>
        <w:ind w:left="252" w:right="-105"/>
      </w:pPr>
      <w:bookmarkStart w:id="82" w:name="_Toc24028914"/>
      <w:bookmarkStart w:id="83" w:name="_Toc26780070"/>
      <w:bookmarkStart w:id="84" w:name="_Toc121583628"/>
      <w:bookmarkStart w:id="85" w:name="_Toc166761950"/>
      <w:r>
        <w:rPr>
          <w:rFonts w:hint="eastAsia"/>
        </w:rPr>
        <w:t>东南亚市场</w:t>
      </w:r>
      <w:r w:rsidRPr="006C3BE6">
        <w:rPr>
          <w:rFonts w:hint="eastAsia"/>
        </w:rPr>
        <w:t>主要厂商</w:t>
      </w:r>
      <w:r w:rsidRPr="006C3BE6">
        <w:t>电子式热分配表(HCA)</w:t>
      </w:r>
      <w:r w:rsidRPr="006C3BE6">
        <w:rPr>
          <w:rFonts w:hint="eastAsia"/>
        </w:rPr>
        <w:t>销量市场份额</w:t>
      </w:r>
      <w:bookmarkEnd w:id="82"/>
      <w:bookmarkEnd w:id="83"/>
      <w:r w:rsidRPr="006C3BE6">
        <w:rPr>
          <w:rFonts w:hint="eastAsia"/>
        </w:rPr>
        <w:t>（</w:t>
      </w:r>
      <w:r w:rsidRPr="006C3BE6">
        <w:rPr>
          <w:rFonts w:hint="eastAsia"/>
        </w:rPr>
        <w:t>2019-2024</w:t>
      </w:r>
      <w:r w:rsidRPr="006C3BE6">
        <w:rPr>
          <w:rFonts w:hint="eastAsia"/>
        </w:rPr>
        <w:t>）</w:t>
      </w:r>
      <w:bookmarkEnd w:id="84"/>
      <w:bookmarkEnd w:id="85"/>
    </w:p>
    <w:tbl>
      <w:tblPr>
        <w:tblStyle w:val="TableGrid80"/>
        <w:tblW w:w="5001" w:type="pct"/>
        <w:tblLook w:val="04A0"/>
      </w:tblPr>
      <w:tblGrid>
        <w:gridCol w:w="2755"/>
        <w:gridCol w:w="1201"/>
        <w:gridCol w:w="1201"/>
        <w:gridCol w:w="1205"/>
        <w:gridCol w:w="1204"/>
        <w:gridCol w:w="1204"/>
        <w:gridCol w:w="1200"/>
      </w:tblGrid>
      <w:tr w14:paraId="489D3AE3" w14:textId="77777777" w:rsidTr="00017B34">
        <w:tblPrEx>
          <w:tblW w:w="5001" w:type="pct"/>
          <w:tblLook w:val="04A0"/>
        </w:tblPrEx>
        <w:trPr>
          <w:trHeight w:val="270"/>
        </w:trPr>
        <w:tc>
          <w:tcPr>
            <w:tcW w:w="1381" w:type="pct"/>
            <w:noWrap/>
            <w:hideMark/>
          </w:tcPr>
          <w:p w:rsidR="00137863" w:rsidRPr="00F844AB" w:rsidP="00017B34" w14:paraId="412CB555" w14:textId="77777777">
            <w:pPr>
              <w:pStyle w:val="-02"/>
            </w:pPr>
            <w:r>
              <w:rPr>
                <w:rFonts w:hint="eastAsia"/>
              </w:rPr>
              <w:t>公司名称</w:t>
            </w:r>
          </w:p>
        </w:tc>
        <w:tc>
          <w:tcPr>
            <w:tcW w:w="602" w:type="pct"/>
          </w:tcPr>
          <w:p w:rsidR="00137863" w:rsidP="00017B34" w14:paraId="6B355D69" w14:textId="77777777">
            <w:pPr>
              <w:pStyle w:val="-02"/>
            </w:pPr>
            <w:r>
              <w:rPr>
                <w:rFonts w:hint="eastAsia"/>
              </w:rPr>
              <w:t>2019</w:t>
            </w:r>
          </w:p>
        </w:tc>
        <w:tc>
          <w:tcPr>
            <w:tcW w:w="602" w:type="pct"/>
          </w:tcPr>
          <w:p w:rsidR="00137863" w:rsidP="00017B34" w14:paraId="794D75AF" w14:textId="77777777">
            <w:pPr>
              <w:pStyle w:val="-02"/>
            </w:pPr>
            <w:r>
              <w:rPr>
                <w:rFonts w:hint="eastAsia"/>
              </w:rPr>
              <w:t>2020</w:t>
            </w:r>
          </w:p>
        </w:tc>
        <w:tc>
          <w:tcPr>
            <w:tcW w:w="604" w:type="pct"/>
          </w:tcPr>
          <w:p w:rsidR="00137863" w:rsidP="00017B34" w14:paraId="2BA8B42F" w14:textId="77777777">
            <w:pPr>
              <w:pStyle w:val="-02"/>
            </w:pPr>
            <w:r>
              <w:rPr>
                <w:rFonts w:hint="eastAsia"/>
              </w:rPr>
              <w:t>202</w:t>
            </w:r>
            <w:r>
              <w:t>1</w:t>
            </w:r>
          </w:p>
        </w:tc>
        <w:tc>
          <w:tcPr>
            <w:tcW w:w="604" w:type="pct"/>
            <w:noWrap/>
            <w:hideMark/>
          </w:tcPr>
          <w:p w:rsidR="00137863" w:rsidRPr="00F844AB" w:rsidP="00017B34" w14:paraId="0215416D" w14:textId="77777777">
            <w:pPr>
              <w:pStyle w:val="-02"/>
            </w:pPr>
            <w:r>
              <w:rPr>
                <w:rFonts w:hint="eastAsia"/>
              </w:rPr>
              <w:t>202</w:t>
            </w:r>
            <w:r>
              <w:t>2</w:t>
            </w:r>
          </w:p>
        </w:tc>
        <w:tc>
          <w:tcPr>
            <w:tcW w:w="604" w:type="pct"/>
            <w:noWrap/>
            <w:hideMark/>
          </w:tcPr>
          <w:p w:rsidR="00137863" w:rsidRPr="00F844AB" w:rsidP="00017B34" w14:paraId="047B979E" w14:textId="77777777">
            <w:pPr>
              <w:pStyle w:val="-02"/>
            </w:pPr>
            <w:r>
              <w:rPr>
                <w:rFonts w:hint="eastAsia"/>
              </w:rPr>
              <w:t>202</w:t>
            </w:r>
            <w:r>
              <w:t>3</w:t>
            </w:r>
          </w:p>
        </w:tc>
        <w:tc>
          <w:tcPr>
            <w:tcW w:w="602" w:type="pct"/>
          </w:tcPr>
          <w:p w:rsidR="00137863" w:rsidP="00017B34" w14:paraId="1474318A" w14:textId="77777777">
            <w:pPr>
              <w:pStyle w:val="-02"/>
            </w:pPr>
            <w:r>
              <w:rPr>
                <w:rFonts w:hint="eastAsia"/>
              </w:rPr>
              <w:t>202</w:t>
            </w:r>
            <w:r>
              <w:t>4</w:t>
            </w:r>
          </w:p>
        </w:tc>
      </w:tr>
      <w:tr w14:paraId="7FD8A458" w14:textId="77777777" w:rsidTr="00017B34">
        <w:tblPrEx>
          <w:tblW w:w="5001" w:type="pct"/>
          <w:tblLook w:val="04A0"/>
        </w:tblPrEx>
        <w:trPr>
          <w:trHeight w:val="270"/>
        </w:trPr>
        <w:tc>
          <w:tcPr>
            <w:tcW w:w="1381" w:type="pct"/>
            <w:noWrap/>
            <w:hideMark/>
          </w:tcPr>
          <w:p w:rsidR="00137863" w:rsidRPr="009D02FC" w:rsidP="00017B34" w14:paraId="52E8F729" w14:textId="77777777">
            <w:pPr>
              <w:pStyle w:val="-02"/>
            </w:pPr>
            <w:r w:rsidRPr="009D02FC">
              <w:t>Zenner</w:t>
            </w:r>
          </w:p>
        </w:tc>
        <w:tc>
          <w:tcPr>
            <w:tcW w:w="602" w:type="pct"/>
          </w:tcPr>
          <w:p w:rsidR="00137863" w:rsidRPr="00A0750E" w:rsidP="00017B34" w14:paraId="4E5EB636" w14:textId="77777777">
            <w:pPr>
              <w:pStyle w:val="-02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  <w:tc>
          <w:tcPr>
            <w:tcW w:w="602" w:type="pct"/>
          </w:tcPr>
          <w:p w:rsidR="00137863" w:rsidRPr="00A0750E" w:rsidP="00017B34" w14:paraId="2281190D" w14:textId="77777777">
            <w:pPr>
              <w:pStyle w:val="-02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  <w:tc>
          <w:tcPr>
            <w:tcW w:w="604" w:type="pct"/>
          </w:tcPr>
          <w:p w:rsidR="00137863" w:rsidRPr="00A0750E" w:rsidP="00017B34" w14:paraId="4DAABC9F" w14:textId="77777777">
            <w:pPr>
              <w:pStyle w:val="-02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  <w:tc>
          <w:tcPr>
            <w:tcW w:w="604" w:type="pct"/>
            <w:noWrap/>
          </w:tcPr>
          <w:p w:rsidR="00137863" w:rsidP="00017B34" w14:paraId="2A1302BE" w14:textId="77777777">
            <w:pPr>
              <w:pStyle w:val="-02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  <w:tc>
          <w:tcPr>
            <w:tcW w:w="604" w:type="pct"/>
            <w:noWrap/>
          </w:tcPr>
          <w:p w:rsidR="00137863" w:rsidP="00017B34" w14:paraId="365D0AD7" w14:textId="77777777">
            <w:pPr>
              <w:pStyle w:val="-02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  <w:tc>
          <w:tcPr>
            <w:tcW w:w="602" w:type="pct"/>
          </w:tcPr>
          <w:p w:rsidR="00137863" w:rsidP="00017B34" w14:paraId="2A75AF73" w14:textId="77777777">
            <w:pPr>
              <w:pStyle w:val="-02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</w:tr>
      <w:tr w14:paraId="6B87643B" w14:textId="77777777" w:rsidTr="00017B34">
        <w:tblPrEx>
          <w:tblW w:w="5001" w:type="pct"/>
          <w:tblLook w:val="04A0"/>
        </w:tblPrEx>
        <w:trPr>
          <w:trHeight w:val="270"/>
        </w:trPr>
        <w:tc>
          <w:tcPr>
            <w:tcW w:w="1381" w:type="pct"/>
            <w:noWrap/>
            <w:hideMark/>
          </w:tcPr>
          <w:p w:rsidR="00137863" w:rsidRPr="009D02FC" w:rsidP="00017B34" w14:paraId="3525AE71" w14:textId="77777777">
            <w:pPr>
              <w:pStyle w:val="-02"/>
            </w:pPr>
            <w:r w:rsidRPr="009D02FC">
              <w:t>Ista</w:t>
            </w:r>
          </w:p>
        </w:tc>
        <w:tc>
          <w:tcPr>
            <w:tcW w:w="602" w:type="pct"/>
          </w:tcPr>
          <w:p w:rsidR="00137863" w:rsidRPr="00A0750E" w:rsidP="00017B34" w14:paraId="01A2033D" w14:textId="77777777">
            <w:pPr>
              <w:pStyle w:val="-02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  <w:tc>
          <w:tcPr>
            <w:tcW w:w="602" w:type="pct"/>
          </w:tcPr>
          <w:p w:rsidR="00137863" w:rsidRPr="00A0750E" w:rsidP="00017B34" w14:paraId="3F62FB00" w14:textId="77777777">
            <w:pPr>
              <w:pStyle w:val="-02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  <w:tc>
          <w:tcPr>
            <w:tcW w:w="604" w:type="pct"/>
          </w:tcPr>
          <w:p w:rsidR="00137863" w:rsidRPr="00A0750E" w:rsidP="00017B34" w14:paraId="5343FF8C" w14:textId="77777777">
            <w:pPr>
              <w:pStyle w:val="-02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  <w:tc>
          <w:tcPr>
            <w:tcW w:w="604" w:type="pct"/>
            <w:noWrap/>
          </w:tcPr>
          <w:p w:rsidR="00137863" w:rsidP="00017B34" w14:paraId="72AF8D46" w14:textId="77777777">
            <w:pPr>
              <w:pStyle w:val="-02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  <w:tc>
          <w:tcPr>
            <w:tcW w:w="604" w:type="pct"/>
            <w:noWrap/>
          </w:tcPr>
          <w:p w:rsidR="00137863" w:rsidP="00017B34" w14:paraId="53CBBA74" w14:textId="77777777">
            <w:pPr>
              <w:pStyle w:val="-02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  <w:tc>
          <w:tcPr>
            <w:tcW w:w="602" w:type="pct"/>
          </w:tcPr>
          <w:p w:rsidR="00137863" w:rsidP="00017B34" w14:paraId="49BCD014" w14:textId="77777777">
            <w:pPr>
              <w:pStyle w:val="-02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</w:tr>
      <w:tr w14:paraId="69C40DB3" w14:textId="77777777" w:rsidTr="00017B34">
        <w:tblPrEx>
          <w:tblW w:w="5001" w:type="pct"/>
          <w:tblLook w:val="04A0"/>
        </w:tblPrEx>
        <w:trPr>
          <w:trHeight w:val="270"/>
        </w:trPr>
        <w:tc>
          <w:tcPr>
            <w:tcW w:w="1381" w:type="pct"/>
            <w:noWrap/>
            <w:hideMark/>
          </w:tcPr>
          <w:p w:rsidR="00137863" w:rsidRPr="009D02FC" w:rsidP="00017B34" w14:paraId="441D2AE3" w14:textId="77777777">
            <w:pPr>
              <w:pStyle w:val="-02"/>
            </w:pPr>
            <w:r w:rsidRPr="009D02FC">
              <w:t>Techem</w:t>
            </w:r>
          </w:p>
        </w:tc>
        <w:tc>
          <w:tcPr>
            <w:tcW w:w="602" w:type="pct"/>
          </w:tcPr>
          <w:p w:rsidR="00137863" w:rsidRPr="00A0750E" w:rsidP="00017B34" w14:paraId="2E031F42" w14:textId="77777777">
            <w:pPr>
              <w:pStyle w:val="-02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  <w:tc>
          <w:tcPr>
            <w:tcW w:w="602" w:type="pct"/>
          </w:tcPr>
          <w:p w:rsidR="00137863" w:rsidRPr="00A0750E" w:rsidP="00017B34" w14:paraId="48D2E3D1" w14:textId="77777777">
            <w:pPr>
              <w:pStyle w:val="-02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  <w:tc>
          <w:tcPr>
            <w:tcW w:w="604" w:type="pct"/>
          </w:tcPr>
          <w:p w:rsidR="00137863" w:rsidRPr="00A0750E" w:rsidP="00017B34" w14:paraId="5D7AB5A5" w14:textId="77777777">
            <w:pPr>
              <w:pStyle w:val="-02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  <w:tc>
          <w:tcPr>
            <w:tcW w:w="604" w:type="pct"/>
            <w:noWrap/>
          </w:tcPr>
          <w:p w:rsidR="00137863" w:rsidP="00017B34" w14:paraId="47976A49" w14:textId="77777777">
            <w:pPr>
              <w:pStyle w:val="-02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  <w:tc>
          <w:tcPr>
            <w:tcW w:w="604" w:type="pct"/>
            <w:noWrap/>
          </w:tcPr>
          <w:p w:rsidR="00137863" w:rsidP="00017B34" w14:paraId="16D54937" w14:textId="77777777">
            <w:pPr>
              <w:pStyle w:val="-02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  <w:tc>
          <w:tcPr>
            <w:tcW w:w="602" w:type="pct"/>
          </w:tcPr>
          <w:p w:rsidR="00137863" w:rsidP="00017B34" w14:paraId="0F667C87" w14:textId="77777777">
            <w:pPr>
              <w:pStyle w:val="-02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</w:tr>
      <w:tr w14:paraId="3A5B2A3F" w14:textId="77777777" w:rsidTr="00017B34">
        <w:tblPrEx>
          <w:tblW w:w="5001" w:type="pct"/>
          <w:tblLook w:val="04A0"/>
        </w:tblPrEx>
        <w:trPr>
          <w:trHeight w:val="270"/>
        </w:trPr>
        <w:tc>
          <w:tcPr>
            <w:tcW w:w="1381" w:type="pct"/>
            <w:noWrap/>
            <w:hideMark/>
          </w:tcPr>
          <w:p w:rsidR="00137863" w:rsidRPr="009D02FC" w:rsidP="00017B34" w14:paraId="214E70E2" w14:textId="77777777">
            <w:pPr>
              <w:pStyle w:val="-02"/>
            </w:pPr>
            <w:r w:rsidRPr="009D02FC">
              <w:t>Siemens</w:t>
            </w:r>
          </w:p>
        </w:tc>
        <w:tc>
          <w:tcPr>
            <w:tcW w:w="602" w:type="pct"/>
          </w:tcPr>
          <w:p w:rsidR="00137863" w:rsidRPr="00A0750E" w:rsidP="00017B34" w14:paraId="594D544F" w14:textId="77777777">
            <w:pPr>
              <w:pStyle w:val="-02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  <w:tc>
          <w:tcPr>
            <w:tcW w:w="602" w:type="pct"/>
          </w:tcPr>
          <w:p w:rsidR="00137863" w:rsidRPr="00A0750E" w:rsidP="00017B34" w14:paraId="06A83C1C" w14:textId="77777777">
            <w:pPr>
              <w:pStyle w:val="-02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  <w:tc>
          <w:tcPr>
            <w:tcW w:w="604" w:type="pct"/>
          </w:tcPr>
          <w:p w:rsidR="00137863" w:rsidRPr="00A0750E" w:rsidP="00017B34" w14:paraId="7F16B6BD" w14:textId="77777777">
            <w:pPr>
              <w:pStyle w:val="-02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  <w:tc>
          <w:tcPr>
            <w:tcW w:w="604" w:type="pct"/>
            <w:noWrap/>
          </w:tcPr>
          <w:p w:rsidR="00137863" w:rsidP="00017B34" w14:paraId="256D762F" w14:textId="77777777">
            <w:pPr>
              <w:pStyle w:val="-02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  <w:tc>
          <w:tcPr>
            <w:tcW w:w="604" w:type="pct"/>
            <w:noWrap/>
          </w:tcPr>
          <w:p w:rsidR="00137863" w:rsidP="00017B34" w14:paraId="735BB6EC" w14:textId="77777777">
            <w:pPr>
              <w:pStyle w:val="-02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  <w:tc>
          <w:tcPr>
            <w:tcW w:w="602" w:type="pct"/>
          </w:tcPr>
          <w:p w:rsidR="00137863" w:rsidP="00017B34" w14:paraId="20857160" w14:textId="77777777">
            <w:pPr>
              <w:pStyle w:val="-02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</w:tr>
      <w:tr w14:paraId="78DC856C" w14:textId="77777777" w:rsidTr="00017B34">
        <w:tblPrEx>
          <w:tblW w:w="5001" w:type="pct"/>
          <w:tblLook w:val="04A0"/>
        </w:tblPrEx>
        <w:trPr>
          <w:trHeight w:val="270"/>
        </w:trPr>
        <w:tc>
          <w:tcPr>
            <w:tcW w:w="1381" w:type="pct"/>
            <w:noWrap/>
            <w:hideMark/>
          </w:tcPr>
          <w:p w:rsidR="00137863" w:rsidRPr="009D02FC" w:rsidP="00017B34" w14:paraId="56707978" w14:textId="77777777">
            <w:pPr>
              <w:pStyle w:val="-02"/>
            </w:pPr>
            <w:r w:rsidRPr="009D02FC">
              <w:t>Engelmnn</w:t>
            </w:r>
          </w:p>
        </w:tc>
        <w:tc>
          <w:tcPr>
            <w:tcW w:w="602" w:type="pct"/>
          </w:tcPr>
          <w:p w:rsidR="00137863" w:rsidRPr="00A0750E" w:rsidP="00017B34" w14:paraId="33F0CE7B" w14:textId="77777777">
            <w:pPr>
              <w:pStyle w:val="-02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  <w:tc>
          <w:tcPr>
            <w:tcW w:w="602" w:type="pct"/>
          </w:tcPr>
          <w:p w:rsidR="00137863" w:rsidRPr="00A0750E" w:rsidP="00017B34" w14:paraId="382E0F03" w14:textId="77777777">
            <w:pPr>
              <w:pStyle w:val="-02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  <w:tc>
          <w:tcPr>
            <w:tcW w:w="604" w:type="pct"/>
          </w:tcPr>
          <w:p w:rsidR="00137863" w:rsidRPr="00A0750E" w:rsidP="00017B34" w14:paraId="5A02C71F" w14:textId="77777777">
            <w:pPr>
              <w:pStyle w:val="-02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  <w:tc>
          <w:tcPr>
            <w:tcW w:w="604" w:type="pct"/>
            <w:noWrap/>
            <w:hideMark/>
          </w:tcPr>
          <w:p w:rsidR="00137863" w:rsidP="00017B34" w14:paraId="379DD2B8" w14:textId="77777777">
            <w:pPr>
              <w:pStyle w:val="-02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  <w:tc>
          <w:tcPr>
            <w:tcW w:w="604" w:type="pct"/>
            <w:noWrap/>
            <w:hideMark/>
          </w:tcPr>
          <w:p w:rsidR="00137863" w:rsidP="00017B34" w14:paraId="3CA9AA3F" w14:textId="77777777">
            <w:pPr>
              <w:pStyle w:val="-02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  <w:tc>
          <w:tcPr>
            <w:tcW w:w="602" w:type="pct"/>
          </w:tcPr>
          <w:p w:rsidR="00137863" w:rsidP="00017B34" w14:paraId="53F4FEB7" w14:textId="77777777">
            <w:pPr>
              <w:pStyle w:val="-02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</w:tr>
      <w:tr w14:paraId="726FFEC5" w14:textId="77777777" w:rsidTr="00017B34">
        <w:tblPrEx>
          <w:tblW w:w="5001" w:type="pct"/>
          <w:tblLook w:val="04A0"/>
        </w:tblPrEx>
        <w:trPr>
          <w:trHeight w:val="270"/>
        </w:trPr>
        <w:tc>
          <w:tcPr>
            <w:tcW w:w="1381" w:type="pct"/>
            <w:noWrap/>
          </w:tcPr>
          <w:p w:rsidR="00137863" w:rsidRPr="009D02FC" w:rsidP="00017B34" w14:paraId="3EF7835C" w14:textId="77777777">
            <w:pPr>
              <w:pStyle w:val="-02"/>
            </w:pPr>
            <w:r w:rsidRPr="009D02FC">
              <w:t>Te-sa s.r.l.</w:t>
            </w:r>
          </w:p>
        </w:tc>
        <w:tc>
          <w:tcPr>
            <w:tcW w:w="602" w:type="pct"/>
          </w:tcPr>
          <w:p w:rsidR="00137863" w:rsidRPr="00A0750E" w:rsidP="00017B34" w14:paraId="38773577" w14:textId="77777777">
            <w:pPr>
              <w:pStyle w:val="-02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  <w:tc>
          <w:tcPr>
            <w:tcW w:w="602" w:type="pct"/>
          </w:tcPr>
          <w:p w:rsidR="00137863" w:rsidRPr="00A0750E" w:rsidP="00017B34" w14:paraId="504AF64A" w14:textId="77777777">
            <w:pPr>
              <w:pStyle w:val="-02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  <w:tc>
          <w:tcPr>
            <w:tcW w:w="604" w:type="pct"/>
          </w:tcPr>
          <w:p w:rsidR="00137863" w:rsidRPr="00A0750E" w:rsidP="00017B34" w14:paraId="66D7497A" w14:textId="77777777">
            <w:pPr>
              <w:pStyle w:val="-02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  <w:tc>
          <w:tcPr>
            <w:tcW w:w="604" w:type="pct"/>
            <w:noWrap/>
          </w:tcPr>
          <w:p w:rsidR="00137863" w:rsidP="00017B34" w14:paraId="6C2AA9EE" w14:textId="77777777">
            <w:pPr>
              <w:pStyle w:val="-02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  <w:tc>
          <w:tcPr>
            <w:tcW w:w="604" w:type="pct"/>
            <w:noWrap/>
          </w:tcPr>
          <w:p w:rsidR="00137863" w:rsidP="00017B34" w14:paraId="3BC5FCC8" w14:textId="77777777">
            <w:pPr>
              <w:pStyle w:val="-02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  <w:tc>
          <w:tcPr>
            <w:tcW w:w="602" w:type="pct"/>
          </w:tcPr>
          <w:p w:rsidR="00137863" w:rsidP="00017B34" w14:paraId="357F5F18" w14:textId="77777777">
            <w:pPr>
              <w:pStyle w:val="-02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</w:tr>
      <w:tr w14:paraId="3D1304A6" w14:textId="77777777" w:rsidTr="00017B34">
        <w:tblPrEx>
          <w:tblW w:w="5001" w:type="pct"/>
          <w:tblLook w:val="04A0"/>
        </w:tblPrEx>
        <w:trPr>
          <w:trHeight w:val="270"/>
        </w:trPr>
        <w:tc>
          <w:tcPr>
            <w:tcW w:w="1381" w:type="pct"/>
            <w:noWrap/>
          </w:tcPr>
          <w:p w:rsidR="00137863" w:rsidRPr="009D02FC" w:rsidP="00017B34" w14:paraId="4D8DD0B7" w14:textId="77777777">
            <w:pPr>
              <w:pStyle w:val="-02"/>
            </w:pPr>
            <w:r w:rsidRPr="009D02FC">
              <w:t>Itron</w:t>
            </w:r>
          </w:p>
        </w:tc>
        <w:tc>
          <w:tcPr>
            <w:tcW w:w="602" w:type="pct"/>
          </w:tcPr>
          <w:p w:rsidR="00137863" w:rsidRPr="00A0750E" w:rsidP="00017B34" w14:paraId="548CCDC7" w14:textId="77777777">
            <w:pPr>
              <w:pStyle w:val="-02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  <w:tc>
          <w:tcPr>
            <w:tcW w:w="602" w:type="pct"/>
          </w:tcPr>
          <w:p w:rsidR="00137863" w:rsidRPr="00A0750E" w:rsidP="00017B34" w14:paraId="38BF2834" w14:textId="77777777">
            <w:pPr>
              <w:pStyle w:val="-02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  <w:tc>
          <w:tcPr>
            <w:tcW w:w="604" w:type="pct"/>
          </w:tcPr>
          <w:p w:rsidR="00137863" w:rsidRPr="00A0750E" w:rsidP="00017B34" w14:paraId="187635B9" w14:textId="77777777">
            <w:pPr>
              <w:pStyle w:val="-02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  <w:tc>
          <w:tcPr>
            <w:tcW w:w="604" w:type="pct"/>
            <w:noWrap/>
          </w:tcPr>
          <w:p w:rsidR="00137863" w:rsidP="00017B34" w14:paraId="09F7C417" w14:textId="77777777">
            <w:pPr>
              <w:pStyle w:val="-02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  <w:tc>
          <w:tcPr>
            <w:tcW w:w="604" w:type="pct"/>
            <w:noWrap/>
          </w:tcPr>
          <w:p w:rsidR="00137863" w:rsidP="00017B34" w14:paraId="012A5D95" w14:textId="77777777">
            <w:pPr>
              <w:pStyle w:val="-02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  <w:tc>
          <w:tcPr>
            <w:tcW w:w="602" w:type="pct"/>
          </w:tcPr>
          <w:p w:rsidR="00137863" w:rsidP="00017B34" w14:paraId="5154CB95" w14:textId="77777777">
            <w:pPr>
              <w:pStyle w:val="-02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</w:tr>
      <w:tr w14:paraId="28250DD2" w14:textId="77777777" w:rsidTr="00017B34">
        <w:tblPrEx>
          <w:tblW w:w="5001" w:type="pct"/>
          <w:tblLook w:val="04A0"/>
        </w:tblPrEx>
        <w:trPr>
          <w:trHeight w:val="270"/>
        </w:trPr>
        <w:tc>
          <w:tcPr>
            <w:tcW w:w="1381" w:type="pct"/>
            <w:noWrap/>
          </w:tcPr>
          <w:p w:rsidR="00137863" w:rsidRPr="009D02FC" w:rsidP="00017B34" w14:paraId="1DA61A5D" w14:textId="77777777">
            <w:pPr>
              <w:pStyle w:val="-02"/>
            </w:pPr>
            <w:r w:rsidRPr="009D02FC">
              <w:t>Sontex</w:t>
            </w:r>
          </w:p>
        </w:tc>
        <w:tc>
          <w:tcPr>
            <w:tcW w:w="602" w:type="pct"/>
          </w:tcPr>
          <w:p w:rsidR="00137863" w:rsidRPr="00A0750E" w:rsidP="00017B34" w14:paraId="084E3542" w14:textId="77777777">
            <w:pPr>
              <w:pStyle w:val="-02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  <w:tc>
          <w:tcPr>
            <w:tcW w:w="602" w:type="pct"/>
          </w:tcPr>
          <w:p w:rsidR="00137863" w:rsidRPr="00A0750E" w:rsidP="00017B34" w14:paraId="3B5DE5CA" w14:textId="77777777">
            <w:pPr>
              <w:pStyle w:val="-02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  <w:tc>
          <w:tcPr>
            <w:tcW w:w="604" w:type="pct"/>
          </w:tcPr>
          <w:p w:rsidR="00137863" w:rsidRPr="00A0750E" w:rsidP="00017B34" w14:paraId="1C4554CC" w14:textId="77777777">
            <w:pPr>
              <w:pStyle w:val="-02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  <w:tc>
          <w:tcPr>
            <w:tcW w:w="604" w:type="pct"/>
            <w:noWrap/>
          </w:tcPr>
          <w:p w:rsidR="00137863" w:rsidP="00017B34" w14:paraId="2AD2C47E" w14:textId="77777777">
            <w:pPr>
              <w:pStyle w:val="-02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  <w:tc>
          <w:tcPr>
            <w:tcW w:w="604" w:type="pct"/>
            <w:noWrap/>
          </w:tcPr>
          <w:p w:rsidR="00137863" w:rsidP="00017B34" w14:paraId="72C8D9F5" w14:textId="77777777">
            <w:pPr>
              <w:pStyle w:val="-02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  <w:tc>
          <w:tcPr>
            <w:tcW w:w="602" w:type="pct"/>
          </w:tcPr>
          <w:p w:rsidR="00137863" w:rsidP="00017B34" w14:paraId="1E5E7116" w14:textId="77777777">
            <w:pPr>
              <w:pStyle w:val="-02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</w:tr>
      <w:tr w14:paraId="041D0468" w14:textId="77777777" w:rsidTr="00017B34">
        <w:tblPrEx>
          <w:tblW w:w="5001" w:type="pct"/>
          <w:tblLook w:val="04A0"/>
        </w:tblPrEx>
        <w:trPr>
          <w:trHeight w:val="270"/>
        </w:trPr>
        <w:tc>
          <w:tcPr>
            <w:tcW w:w="1381" w:type="pct"/>
            <w:noWrap/>
          </w:tcPr>
          <w:p w:rsidR="00137863" w:rsidRPr="009D02FC" w:rsidP="00017B34" w14:paraId="308FE6F0" w14:textId="77777777">
            <w:pPr>
              <w:pStyle w:val="-02"/>
            </w:pPr>
            <w:r w:rsidRPr="009D02FC">
              <w:t>乐业节能</w:t>
            </w:r>
          </w:p>
        </w:tc>
        <w:tc>
          <w:tcPr>
            <w:tcW w:w="602" w:type="pct"/>
          </w:tcPr>
          <w:p w:rsidR="00137863" w:rsidRPr="00A0750E" w:rsidP="00017B34" w14:paraId="1B9B6121" w14:textId="77777777">
            <w:pPr>
              <w:pStyle w:val="-02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  <w:tc>
          <w:tcPr>
            <w:tcW w:w="602" w:type="pct"/>
          </w:tcPr>
          <w:p w:rsidR="00137863" w:rsidRPr="00A0750E" w:rsidP="00017B34" w14:paraId="32E9DD98" w14:textId="77777777">
            <w:pPr>
              <w:pStyle w:val="-02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  <w:tc>
          <w:tcPr>
            <w:tcW w:w="604" w:type="pct"/>
          </w:tcPr>
          <w:p w:rsidR="00137863" w:rsidRPr="00A0750E" w:rsidP="00017B34" w14:paraId="50E6E94F" w14:textId="77777777">
            <w:pPr>
              <w:pStyle w:val="-02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  <w:tc>
          <w:tcPr>
            <w:tcW w:w="604" w:type="pct"/>
            <w:noWrap/>
          </w:tcPr>
          <w:p w:rsidR="00137863" w:rsidP="00017B34" w14:paraId="4591546A" w14:textId="77777777">
            <w:pPr>
              <w:pStyle w:val="-02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  <w:tc>
          <w:tcPr>
            <w:tcW w:w="604" w:type="pct"/>
            <w:noWrap/>
          </w:tcPr>
          <w:p w:rsidR="00137863" w:rsidP="00017B34" w14:paraId="736042BE" w14:textId="77777777">
            <w:pPr>
              <w:pStyle w:val="-02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  <w:tc>
          <w:tcPr>
            <w:tcW w:w="602" w:type="pct"/>
          </w:tcPr>
          <w:p w:rsidR="00137863" w:rsidP="00017B34" w14:paraId="4EED63DD" w14:textId="77777777">
            <w:pPr>
              <w:pStyle w:val="-02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</w:tr>
      <w:tr w14:paraId="53BBE9EA" w14:textId="77777777" w:rsidTr="00017B34">
        <w:tblPrEx>
          <w:tblW w:w="5001" w:type="pct"/>
          <w:tblLook w:val="04A0"/>
        </w:tblPrEx>
        <w:trPr>
          <w:trHeight w:val="270"/>
        </w:trPr>
        <w:tc>
          <w:tcPr>
            <w:tcW w:w="1381" w:type="pct"/>
            <w:tcBorders>
              <w:bottom w:val="single" w:sz="0" w:space="0" w:color="4F81BD"/>
            </w:tcBorders>
            <w:noWrap/>
          </w:tcPr>
          <w:p w:rsidR="00137863" w:rsidRPr="009D02FC" w:rsidP="00017B34" w14:paraId="683ECB91" w14:textId="77777777">
            <w:pPr>
              <w:pStyle w:val="-02"/>
            </w:pPr>
            <w:r w:rsidRPr="009D02FC">
              <w:t>Brunata</w:t>
            </w:r>
          </w:p>
        </w:tc>
        <w:tc>
          <w:tcPr>
            <w:tcW w:w="602" w:type="pct"/>
          </w:tcPr>
          <w:p w:rsidR="00137863" w:rsidRPr="00A0750E" w:rsidP="00017B34" w14:paraId="4C1465F2" w14:textId="77777777">
            <w:pPr>
              <w:pStyle w:val="-02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  <w:tc>
          <w:tcPr>
            <w:tcW w:w="602" w:type="pct"/>
          </w:tcPr>
          <w:p w:rsidR="00137863" w:rsidRPr="00A0750E" w:rsidP="00017B34" w14:paraId="4597E0D0" w14:textId="77777777">
            <w:pPr>
              <w:pStyle w:val="-02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  <w:tc>
          <w:tcPr>
            <w:tcW w:w="604" w:type="pct"/>
          </w:tcPr>
          <w:p w:rsidR="00137863" w:rsidRPr="00A0750E" w:rsidP="00017B34" w14:paraId="6E98549D" w14:textId="77777777">
            <w:pPr>
              <w:pStyle w:val="-02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  <w:tc>
          <w:tcPr>
            <w:tcW w:w="604" w:type="pct"/>
            <w:noWrap/>
          </w:tcPr>
          <w:p w:rsidR="00137863" w:rsidP="00017B34" w14:paraId="64F30F0F" w14:textId="77777777">
            <w:pPr>
              <w:pStyle w:val="-02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  <w:tc>
          <w:tcPr>
            <w:tcW w:w="604" w:type="pct"/>
            <w:noWrap/>
          </w:tcPr>
          <w:p w:rsidR="00137863" w:rsidP="00017B34" w14:paraId="5B958E63" w14:textId="77777777">
            <w:pPr>
              <w:pStyle w:val="-02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  <w:tc>
          <w:tcPr>
            <w:tcW w:w="602" w:type="pct"/>
          </w:tcPr>
          <w:p w:rsidR="00137863" w:rsidP="00017B34" w14:paraId="138440F0" w14:textId="77777777">
            <w:pPr>
              <w:pStyle w:val="-02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</w:tr>
      <w:tr w14:paraId="335A4769" w14:textId="77777777" w:rsidTr="00017B34">
        <w:tblPrEx>
          <w:tblW w:w="5001" w:type="pct"/>
          <w:tblLook w:val="04A0"/>
        </w:tblPrEx>
        <w:trPr>
          <w:trHeight w:val="270"/>
        </w:trPr>
        <w:tc>
          <w:tcPr>
            <w:tcW w:w="1381" w:type="pct"/>
            <w:noWrap/>
          </w:tcPr>
          <w:p w:rsidR="00137863" w:rsidRPr="009D02FC" w:rsidP="00017B34" w14:paraId="43878DA0" w14:textId="77777777">
            <w:pPr>
              <w:pStyle w:val="-02"/>
            </w:pPr>
            <w:r>
              <w:rPr>
                <w:rFonts w:hint="eastAsia"/>
              </w:rPr>
              <w:t>其他厂商</w:t>
            </w:r>
          </w:p>
        </w:tc>
        <w:tc>
          <w:tcPr>
            <w:tcW w:w="602" w:type="pct"/>
          </w:tcPr>
          <w:p w:rsidR="00137863" w:rsidRPr="00A0750E" w:rsidP="00017B34" w14:paraId="42511249" w14:textId="77777777">
            <w:pPr>
              <w:pStyle w:val="-02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  <w:tc>
          <w:tcPr>
            <w:tcW w:w="602" w:type="pct"/>
          </w:tcPr>
          <w:p w:rsidR="00137863" w:rsidRPr="00A0750E" w:rsidP="00017B34" w14:paraId="3B374839" w14:textId="77777777">
            <w:pPr>
              <w:pStyle w:val="-02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  <w:tc>
          <w:tcPr>
            <w:tcW w:w="604" w:type="pct"/>
          </w:tcPr>
          <w:p w:rsidR="00137863" w:rsidRPr="00A0750E" w:rsidP="00017B34" w14:paraId="52DA740B" w14:textId="77777777">
            <w:pPr>
              <w:pStyle w:val="-02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  <w:tc>
          <w:tcPr>
            <w:tcW w:w="604" w:type="pct"/>
            <w:noWrap/>
          </w:tcPr>
          <w:p w:rsidR="00137863" w:rsidP="00017B34" w14:paraId="21A2B2D3" w14:textId="77777777">
            <w:pPr>
              <w:pStyle w:val="-02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  <w:tc>
          <w:tcPr>
            <w:tcW w:w="604" w:type="pct"/>
            <w:noWrap/>
          </w:tcPr>
          <w:p w:rsidR="00137863" w:rsidP="00017B34" w14:paraId="79B3008C" w14:textId="77777777">
            <w:pPr>
              <w:pStyle w:val="-02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  <w:tc>
          <w:tcPr>
            <w:tcW w:w="602" w:type="pct"/>
          </w:tcPr>
          <w:p w:rsidR="00137863" w:rsidP="00017B34" w14:paraId="6328E807" w14:textId="77777777">
            <w:pPr>
              <w:pStyle w:val="-02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</w:tr>
    </w:tbl>
    <w:p w:rsidR="00137863" w:rsidP="00137863" w14:paraId="29724C15" w14:textId="77777777">
      <w:pPr>
        <w:pStyle w:val="Source00"/>
      </w:pPr>
      <w:r>
        <w:rPr>
          <w:rFonts w:hint="eastAsia"/>
        </w:rPr>
        <w:t>资料来源：上述企业，第三方资料、新闻报道、业内专家采访及</w:t>
      </w:r>
      <w:r>
        <w:rPr>
          <w:rFonts w:hint="eastAsia"/>
        </w:rPr>
        <w:t>QYResearch</w:t>
      </w:r>
      <w:r>
        <w:rPr>
          <w:rFonts w:hint="eastAsia"/>
        </w:rPr>
        <w:t>整理研究，</w:t>
      </w:r>
      <w:r>
        <w:rPr>
          <w:rFonts w:hint="eastAsia"/>
        </w:rPr>
        <w:t>2024</w:t>
      </w:r>
      <w:r>
        <w:rPr>
          <w:rFonts w:hint="eastAsia"/>
        </w:rPr>
        <w:t>年</w:t>
      </w:r>
    </w:p>
    <w:p w:rsidR="00137863" w:rsidRPr="005868B1" w:rsidP="00137863">
      <w:pPr>
        <w:pStyle w:val="FigureStyle00"/>
      </w:pPr>
      <w:bookmarkStart w:id="86" w:name="_Toc24028915"/>
      <w:bookmarkStart w:id="87" w:name="_Toc26780013"/>
      <w:bookmarkStart w:id="88" w:name="_Toc121583609"/>
      <w:bookmarkStart w:id="89" w:name="_Toc166761936"/>
      <w:r w:rsidRPr="005868B1">
        <w:rPr>
          <w:rFonts w:hint="eastAsia"/>
        </w:rPr>
        <w:t>2023</w:t>
      </w:r>
      <w:r w:rsidRPr="005868B1">
        <w:rPr>
          <w:rFonts w:hint="eastAsia"/>
        </w:rPr>
        <w:t>年</w:t>
      </w:r>
      <w:r w:rsidR="001C34EF">
        <w:rPr>
          <w:rFonts w:hint="eastAsia"/>
        </w:rPr>
        <w:t>东南亚市场</w:t>
      </w:r>
      <w:r w:rsidRPr="005868B1">
        <w:rPr>
          <w:rFonts w:hint="eastAsia"/>
        </w:rPr>
        <w:t>主要厂商</w:t>
      </w:r>
      <w:r w:rsidRPr="005868B1">
        <w:t>电子式热分配表(HCA)</w:t>
      </w:r>
      <w:r w:rsidRPr="005868B1">
        <w:rPr>
          <w:rFonts w:hint="eastAsia"/>
        </w:rPr>
        <w:t>销量市场份额</w:t>
      </w:r>
      <w:bookmarkEnd w:id="86"/>
      <w:bookmarkEnd w:id="87"/>
      <w:bookmarkEnd w:id="88"/>
      <w:bookmarkEnd w:id="89"/>
    </w:p>
    <w:p w:rsidR="00137863" w:rsidP="00137863" w14:paraId="28B697F4" w14:textId="77777777">
      <w:pPr>
        <w:pStyle w:val="Source00"/>
      </w:pPr>
      <w:r>
        <w:rPr>
          <w:rFonts w:hint="eastAsia"/>
        </w:rPr>
        <w:t>资料来源：上述企业，第三方资料、新闻报道、业内专家采访及</w:t>
      </w:r>
      <w:r>
        <w:rPr>
          <w:rFonts w:hint="eastAsia"/>
        </w:rPr>
        <w:t>QYResearch</w:t>
      </w:r>
      <w:r>
        <w:rPr>
          <w:rFonts w:hint="eastAsia"/>
        </w:rPr>
        <w:t>整理研究，</w:t>
      </w:r>
      <w:r>
        <w:rPr>
          <w:rFonts w:hint="eastAsia"/>
        </w:rPr>
        <w:t>2024</w:t>
      </w:r>
      <w:r>
        <w:rPr>
          <w:rFonts w:hint="eastAsia"/>
        </w:rPr>
        <w:t>年</w:t>
      </w:r>
    </w:p>
    <w:p w:rsidR="00137863" w:rsidP="00137863" w14:paraId="7FF0288E" w14:textId="3EAFBE74">
      <w:pPr>
        <w:pStyle w:val="Heading20"/>
      </w:pPr>
      <w:bookmarkStart w:id="90" w:name="_Toc24028307"/>
      <w:bookmarkStart w:id="91" w:name="_Toc24972497"/>
      <w:bookmarkStart w:id="92" w:name="_Toc121583898"/>
      <w:bookmarkStart w:id="93" w:name="_Toc166762024"/>
      <w:r>
        <w:rPr>
          <w:rFonts w:hint="eastAsia"/>
        </w:rPr>
        <w:t>东南亚市场</w:t>
      </w:r>
      <w:r w:rsidRPr="00F74FCA">
        <w:rPr>
          <w:rFonts w:hint="eastAsia"/>
        </w:rPr>
        <w:t>主要厂商</w:t>
      </w:r>
      <w:r>
        <w:t>电子式热分配表(HCA)</w:t>
      </w:r>
      <w:r>
        <w:t>收入</w:t>
      </w:r>
      <w:bookmarkEnd w:id="90"/>
      <w:bookmarkEnd w:id="91"/>
      <w:r>
        <w:rPr>
          <w:rFonts w:hint="eastAsia"/>
        </w:rPr>
        <w:t>及市场占有率</w:t>
      </w:r>
      <w:bookmarkEnd w:id="92"/>
      <w:bookmarkEnd w:id="93"/>
    </w:p>
    <w:p w:rsidR="00137863" w:rsidRPr="003B0073" w:rsidP="00137863" w14:paraId="3B50C347" w14:textId="05B7EFCC">
      <w:pPr>
        <w:pStyle w:val="Heading30"/>
      </w:pPr>
      <w:bookmarkStart w:id="94" w:name="_Toc166762025"/>
      <w:r>
        <w:rPr>
          <w:rFonts w:hint="eastAsia"/>
        </w:rPr>
        <w:t>东南亚市场</w:t>
      </w:r>
      <w:r w:rsidRPr="00F74FCA">
        <w:rPr>
          <w:rFonts w:hint="eastAsia"/>
        </w:rPr>
        <w:t>主要厂商</w:t>
      </w:r>
      <w:r>
        <w:t>电子式热分配表(HCA)</w:t>
      </w:r>
      <w:r>
        <w:t>收入</w:t>
      </w:r>
      <w:r>
        <w:rPr>
          <w:rFonts w:hint="eastAsia"/>
        </w:rPr>
        <w:t>（</w:t>
      </w:r>
      <w:r>
        <w:rPr>
          <w:rFonts w:hint="eastAsia"/>
        </w:rPr>
        <w:t>2019-2024</w:t>
      </w:r>
      <w:r>
        <w:rPr>
          <w:rFonts w:hint="eastAsia"/>
        </w:rPr>
        <w:t>）</w:t>
      </w:r>
      <w:bookmarkEnd w:id="94"/>
    </w:p>
    <w:p w:rsidR="00137863" w:rsidRPr="006C3BE6" w:rsidP="006C3BE6" w14:paraId="24603FA7" w14:textId="41E4FBFB">
      <w:pPr>
        <w:pStyle w:val="TableStyle0"/>
        <w:ind w:left="252" w:right="-105"/>
      </w:pPr>
      <w:bookmarkStart w:id="95" w:name="_Toc24028916"/>
      <w:bookmarkStart w:id="96" w:name="_Toc26780071"/>
      <w:bookmarkStart w:id="97" w:name="_Toc121583629"/>
      <w:bookmarkStart w:id="98" w:name="_Toc166761951"/>
      <w:r>
        <w:rPr>
          <w:rFonts w:hint="eastAsia"/>
        </w:rPr>
        <w:t>东南亚市场</w:t>
      </w:r>
      <w:r w:rsidRPr="006C3BE6">
        <w:rPr>
          <w:rFonts w:hint="eastAsia"/>
        </w:rPr>
        <w:t>主要厂商</w:t>
      </w:r>
      <w:r w:rsidRPr="006C3BE6">
        <w:t>电子式热分配表(HCA)</w:t>
      </w:r>
      <w:r w:rsidRPr="006C3BE6">
        <w:t>收入</w:t>
      </w:r>
      <w:bookmarkEnd w:id="95"/>
      <w:bookmarkEnd w:id="96"/>
      <w:r w:rsidRPr="006C3BE6">
        <w:rPr>
          <w:rFonts w:hint="eastAsia"/>
        </w:rPr>
        <w:t>（</w:t>
      </w:r>
      <w:r w:rsidRPr="006C3BE6">
        <w:rPr>
          <w:rFonts w:hint="eastAsia"/>
        </w:rPr>
        <w:t>2019-2024</w:t>
      </w:r>
      <w:r w:rsidRPr="006C3BE6">
        <w:rPr>
          <w:rFonts w:hint="eastAsia"/>
        </w:rPr>
        <w:t>）</w:t>
      </w:r>
      <w:r w:rsidRPr="006C3BE6">
        <w:rPr>
          <w:rFonts w:hint="eastAsia"/>
        </w:rPr>
        <w:t>&amp;</w:t>
      </w:r>
      <w:r w:rsidRPr="006C3BE6">
        <w:rPr>
          <w:rFonts w:hint="eastAsia"/>
        </w:rPr>
        <w:t>（万元）</w:t>
      </w:r>
      <w:bookmarkEnd w:id="97"/>
      <w:bookmarkEnd w:id="98"/>
    </w:p>
    <w:tbl>
      <w:tblPr>
        <w:tblStyle w:val="TableGrid80"/>
        <w:tblW w:w="4999" w:type="pct"/>
        <w:tblLook w:val="04A0"/>
      </w:tblPr>
      <w:tblGrid>
        <w:gridCol w:w="2756"/>
        <w:gridCol w:w="1208"/>
        <w:gridCol w:w="1206"/>
        <w:gridCol w:w="1204"/>
        <w:gridCol w:w="1204"/>
        <w:gridCol w:w="1196"/>
        <w:gridCol w:w="1192"/>
      </w:tblGrid>
      <w:tr w14:paraId="7ABF56E9" w14:textId="77777777" w:rsidTr="00017B34">
        <w:tblPrEx>
          <w:tblW w:w="4999" w:type="pct"/>
          <w:tblLook w:val="04A0"/>
        </w:tblPrEx>
        <w:trPr>
          <w:trHeight w:val="270"/>
        </w:trPr>
        <w:tc>
          <w:tcPr>
            <w:tcW w:w="1383" w:type="pct"/>
            <w:noWrap/>
            <w:hideMark/>
          </w:tcPr>
          <w:p w:rsidR="00137863" w:rsidRPr="00F844AB" w:rsidP="00017B34" w14:paraId="1B76C0BD" w14:textId="77777777">
            <w:pPr>
              <w:pStyle w:val="-02"/>
            </w:pPr>
            <w:r>
              <w:rPr>
                <w:rFonts w:hint="eastAsia"/>
              </w:rPr>
              <w:t>公司名称</w:t>
            </w:r>
          </w:p>
        </w:tc>
        <w:tc>
          <w:tcPr>
            <w:tcW w:w="606" w:type="pct"/>
          </w:tcPr>
          <w:p w:rsidR="00137863" w:rsidP="00017B34" w14:paraId="35CCC8AF" w14:textId="77777777">
            <w:pPr>
              <w:pStyle w:val="-02"/>
            </w:pPr>
            <w:r>
              <w:rPr>
                <w:rFonts w:hint="eastAsia"/>
              </w:rPr>
              <w:t>2019</w:t>
            </w:r>
          </w:p>
        </w:tc>
        <w:tc>
          <w:tcPr>
            <w:tcW w:w="605" w:type="pct"/>
          </w:tcPr>
          <w:p w:rsidR="00137863" w:rsidP="00017B34" w14:paraId="0C3BB9FE" w14:textId="77777777">
            <w:pPr>
              <w:pStyle w:val="-02"/>
            </w:pPr>
            <w:r>
              <w:rPr>
                <w:rFonts w:hint="eastAsia"/>
              </w:rPr>
              <w:t>2020</w:t>
            </w:r>
          </w:p>
        </w:tc>
        <w:tc>
          <w:tcPr>
            <w:tcW w:w="604" w:type="pct"/>
            <w:noWrap/>
            <w:hideMark/>
          </w:tcPr>
          <w:p w:rsidR="00137863" w:rsidRPr="00F844AB" w:rsidP="00017B34" w14:paraId="6A5B05A2" w14:textId="77777777">
            <w:pPr>
              <w:pStyle w:val="-02"/>
            </w:pPr>
            <w:r>
              <w:rPr>
                <w:rFonts w:hint="eastAsia"/>
              </w:rPr>
              <w:t>202</w:t>
            </w:r>
            <w:r>
              <w:t>1</w:t>
            </w:r>
          </w:p>
        </w:tc>
        <w:tc>
          <w:tcPr>
            <w:tcW w:w="604" w:type="pct"/>
            <w:noWrap/>
            <w:hideMark/>
          </w:tcPr>
          <w:p w:rsidR="00137863" w:rsidRPr="00F844AB" w:rsidP="00017B34" w14:paraId="40F4192E" w14:textId="77777777">
            <w:pPr>
              <w:pStyle w:val="-02"/>
            </w:pPr>
            <w:r>
              <w:rPr>
                <w:rFonts w:hint="eastAsia"/>
              </w:rPr>
              <w:t>202</w:t>
            </w:r>
            <w:r>
              <w:t>2</w:t>
            </w:r>
          </w:p>
        </w:tc>
        <w:tc>
          <w:tcPr>
            <w:tcW w:w="600" w:type="pct"/>
          </w:tcPr>
          <w:p w:rsidR="00137863" w:rsidP="00017B34" w14:paraId="6F76C0D1" w14:textId="77777777">
            <w:pPr>
              <w:pStyle w:val="-02"/>
            </w:pPr>
            <w:r>
              <w:rPr>
                <w:rFonts w:hint="eastAsia"/>
              </w:rPr>
              <w:t>202</w:t>
            </w:r>
            <w:r>
              <w:t>3</w:t>
            </w:r>
          </w:p>
        </w:tc>
        <w:tc>
          <w:tcPr>
            <w:tcW w:w="599" w:type="pct"/>
          </w:tcPr>
          <w:p w:rsidR="00137863" w:rsidP="00017B34" w14:paraId="39CFFA3A" w14:textId="77777777">
            <w:pPr>
              <w:pStyle w:val="-02"/>
            </w:pPr>
            <w:r>
              <w:rPr>
                <w:rFonts w:hint="eastAsia"/>
              </w:rPr>
              <w:t>202</w:t>
            </w:r>
            <w:r>
              <w:t>4</w:t>
            </w:r>
          </w:p>
        </w:tc>
      </w:tr>
      <w:tr w14:paraId="73EB7B70" w14:textId="77777777" w:rsidTr="00017B34">
        <w:tblPrEx>
          <w:tblW w:w="4999" w:type="pct"/>
          <w:tblLook w:val="04A0"/>
        </w:tblPrEx>
        <w:trPr>
          <w:trHeight w:val="270"/>
        </w:trPr>
        <w:tc>
          <w:tcPr>
            <w:tcW w:w="1383" w:type="pct"/>
            <w:noWrap/>
            <w:hideMark/>
          </w:tcPr>
          <w:p w:rsidR="00137863" w:rsidRPr="009D02FC" w:rsidP="00017B34" w14:paraId="197632AA" w14:textId="77777777">
            <w:pPr>
              <w:pStyle w:val="-02"/>
            </w:pPr>
            <w:r w:rsidRPr="009D02FC">
              <w:t>Zenner</w:t>
            </w:r>
          </w:p>
        </w:tc>
        <w:tc>
          <w:tcPr>
            <w:tcW w:w="606" w:type="pct"/>
          </w:tcPr>
          <w:p w:rsidR="00137863" w:rsidRPr="008E6510" w:rsidP="00017B34" w14:paraId="66826DB6" w14:textId="77777777">
            <w:pPr>
              <w:pStyle w:val="-02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5" w:type="pct"/>
          </w:tcPr>
          <w:p w:rsidR="00137863" w:rsidRPr="008E6510" w:rsidP="00017B34" w14:paraId="34B7C3AC" w14:textId="77777777">
            <w:pPr>
              <w:pStyle w:val="-02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:rsidR="00137863" w:rsidP="00017B34" w14:paraId="08DA6E30" w14:textId="77777777">
            <w:pPr>
              <w:pStyle w:val="-02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:rsidR="00137863" w:rsidP="00017B34" w14:paraId="3EC1CC9A" w14:textId="77777777">
            <w:pPr>
              <w:pStyle w:val="-02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0" w:type="pct"/>
          </w:tcPr>
          <w:p w:rsidR="00137863" w:rsidP="00017B34" w14:paraId="2BD30D62" w14:textId="77777777">
            <w:pPr>
              <w:pStyle w:val="-02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599" w:type="pct"/>
          </w:tcPr>
          <w:p w:rsidR="00137863" w:rsidRPr="008E6510" w:rsidP="00017B34" w14:paraId="5AB52F7C" w14:textId="77777777">
            <w:pPr>
              <w:pStyle w:val="-02"/>
            </w:pPr>
            <w:r w:rsidRPr="00FB79D1">
              <w:rPr>
                <w:rFonts w:hint="eastAsia"/>
              </w:rPr>
              <w:t>XX</w:t>
            </w:r>
          </w:p>
        </w:tc>
      </w:tr>
      <w:tr w14:paraId="0074C994" w14:textId="77777777" w:rsidTr="00017B34">
        <w:tblPrEx>
          <w:tblW w:w="4999" w:type="pct"/>
          <w:tblLook w:val="04A0"/>
        </w:tblPrEx>
        <w:trPr>
          <w:trHeight w:val="270"/>
        </w:trPr>
        <w:tc>
          <w:tcPr>
            <w:tcW w:w="1383" w:type="pct"/>
            <w:noWrap/>
            <w:hideMark/>
          </w:tcPr>
          <w:p w:rsidR="00137863" w:rsidRPr="009D02FC" w:rsidP="00017B34" w14:paraId="2BEB7E43" w14:textId="77777777">
            <w:pPr>
              <w:pStyle w:val="-02"/>
            </w:pPr>
            <w:r w:rsidRPr="009D02FC">
              <w:t>Ista</w:t>
            </w:r>
          </w:p>
        </w:tc>
        <w:tc>
          <w:tcPr>
            <w:tcW w:w="606" w:type="pct"/>
          </w:tcPr>
          <w:p w:rsidR="00137863" w:rsidRPr="008E6510" w:rsidP="00017B34" w14:paraId="04578C83" w14:textId="77777777">
            <w:pPr>
              <w:pStyle w:val="-02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5" w:type="pct"/>
          </w:tcPr>
          <w:p w:rsidR="00137863" w:rsidRPr="008E6510" w:rsidP="00017B34" w14:paraId="2DB62B99" w14:textId="77777777">
            <w:pPr>
              <w:pStyle w:val="-02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:rsidR="00137863" w:rsidP="00017B34" w14:paraId="40B3544A" w14:textId="77777777">
            <w:pPr>
              <w:pStyle w:val="-02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:rsidR="00137863" w:rsidP="00017B34" w14:paraId="3AB56E34" w14:textId="77777777">
            <w:pPr>
              <w:pStyle w:val="-02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0" w:type="pct"/>
          </w:tcPr>
          <w:p w:rsidR="00137863" w:rsidP="00017B34" w14:paraId="5D519A21" w14:textId="77777777">
            <w:pPr>
              <w:pStyle w:val="-02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599" w:type="pct"/>
          </w:tcPr>
          <w:p w:rsidR="00137863" w:rsidRPr="008E6510" w:rsidP="00017B34" w14:paraId="1E92CAA4" w14:textId="77777777">
            <w:pPr>
              <w:pStyle w:val="-02"/>
            </w:pPr>
            <w:r w:rsidRPr="00FB79D1">
              <w:rPr>
                <w:rFonts w:hint="eastAsia"/>
              </w:rPr>
              <w:t>XX</w:t>
            </w:r>
          </w:p>
        </w:tc>
      </w:tr>
      <w:tr w14:paraId="54BB088F" w14:textId="77777777" w:rsidTr="00017B34">
        <w:tblPrEx>
          <w:tblW w:w="4999" w:type="pct"/>
          <w:tblLook w:val="04A0"/>
        </w:tblPrEx>
        <w:trPr>
          <w:trHeight w:val="270"/>
        </w:trPr>
        <w:tc>
          <w:tcPr>
            <w:tcW w:w="1383" w:type="pct"/>
            <w:noWrap/>
            <w:hideMark/>
          </w:tcPr>
          <w:p w:rsidR="00137863" w:rsidRPr="009D02FC" w:rsidP="00017B34" w14:paraId="1B65D7A2" w14:textId="77777777">
            <w:pPr>
              <w:pStyle w:val="-02"/>
            </w:pPr>
            <w:r w:rsidRPr="009D02FC">
              <w:t>Techem</w:t>
            </w:r>
          </w:p>
        </w:tc>
        <w:tc>
          <w:tcPr>
            <w:tcW w:w="606" w:type="pct"/>
          </w:tcPr>
          <w:p w:rsidR="00137863" w:rsidRPr="008E6510" w:rsidP="00017B34" w14:paraId="2D0E236B" w14:textId="77777777">
            <w:pPr>
              <w:pStyle w:val="-02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5" w:type="pct"/>
          </w:tcPr>
          <w:p w:rsidR="00137863" w:rsidRPr="008E6510" w:rsidP="00017B34" w14:paraId="12717C61" w14:textId="77777777">
            <w:pPr>
              <w:pStyle w:val="-02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:rsidR="00137863" w:rsidP="00017B34" w14:paraId="26BD4F6C" w14:textId="77777777">
            <w:pPr>
              <w:pStyle w:val="-02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:rsidR="00137863" w:rsidP="00017B34" w14:paraId="479CAA94" w14:textId="77777777">
            <w:pPr>
              <w:pStyle w:val="-02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0" w:type="pct"/>
          </w:tcPr>
          <w:p w:rsidR="00137863" w:rsidP="00017B34" w14:paraId="6048C4C5" w14:textId="77777777">
            <w:pPr>
              <w:pStyle w:val="-02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599" w:type="pct"/>
          </w:tcPr>
          <w:p w:rsidR="00137863" w:rsidRPr="008E6510" w:rsidP="00017B34" w14:paraId="62B1A95C" w14:textId="77777777">
            <w:pPr>
              <w:pStyle w:val="-02"/>
            </w:pPr>
            <w:r w:rsidRPr="00FB79D1">
              <w:rPr>
                <w:rFonts w:hint="eastAsia"/>
              </w:rPr>
              <w:t>XX</w:t>
            </w:r>
          </w:p>
        </w:tc>
      </w:tr>
      <w:tr w14:paraId="646215C0" w14:textId="77777777" w:rsidTr="00017B34">
        <w:tblPrEx>
          <w:tblW w:w="4999" w:type="pct"/>
          <w:tblLook w:val="04A0"/>
        </w:tblPrEx>
        <w:trPr>
          <w:trHeight w:val="270"/>
        </w:trPr>
        <w:tc>
          <w:tcPr>
            <w:tcW w:w="1383" w:type="pct"/>
            <w:noWrap/>
            <w:hideMark/>
          </w:tcPr>
          <w:p w:rsidR="00137863" w:rsidRPr="009D02FC" w:rsidP="00017B34" w14:paraId="2644437F" w14:textId="77777777">
            <w:pPr>
              <w:pStyle w:val="-02"/>
            </w:pPr>
            <w:r w:rsidRPr="009D02FC">
              <w:t>Siemens</w:t>
            </w:r>
          </w:p>
        </w:tc>
        <w:tc>
          <w:tcPr>
            <w:tcW w:w="606" w:type="pct"/>
          </w:tcPr>
          <w:p w:rsidR="00137863" w:rsidRPr="008E6510" w:rsidP="00017B34" w14:paraId="23DE280B" w14:textId="77777777">
            <w:pPr>
              <w:pStyle w:val="-02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5" w:type="pct"/>
          </w:tcPr>
          <w:p w:rsidR="00137863" w:rsidRPr="008E6510" w:rsidP="00017B34" w14:paraId="1CB2FDB9" w14:textId="77777777">
            <w:pPr>
              <w:pStyle w:val="-02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:rsidR="00137863" w:rsidP="00017B34" w14:paraId="19BC5FE0" w14:textId="77777777">
            <w:pPr>
              <w:pStyle w:val="-02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:rsidR="00137863" w:rsidP="00017B34" w14:paraId="6AB6DAA8" w14:textId="77777777">
            <w:pPr>
              <w:pStyle w:val="-02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0" w:type="pct"/>
          </w:tcPr>
          <w:p w:rsidR="00137863" w:rsidP="00017B34" w14:paraId="03EF4769" w14:textId="77777777">
            <w:pPr>
              <w:pStyle w:val="-02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599" w:type="pct"/>
          </w:tcPr>
          <w:p w:rsidR="00137863" w:rsidRPr="008E6510" w:rsidP="00017B34" w14:paraId="0D933B99" w14:textId="77777777">
            <w:pPr>
              <w:pStyle w:val="-02"/>
            </w:pPr>
            <w:r w:rsidRPr="00FB79D1">
              <w:rPr>
                <w:rFonts w:hint="eastAsia"/>
              </w:rPr>
              <w:t>XX</w:t>
            </w:r>
          </w:p>
        </w:tc>
      </w:tr>
      <w:tr w14:paraId="4B9B926C" w14:textId="77777777" w:rsidTr="00017B34">
        <w:tblPrEx>
          <w:tblW w:w="4999" w:type="pct"/>
          <w:tblLook w:val="04A0"/>
        </w:tblPrEx>
        <w:trPr>
          <w:trHeight w:val="270"/>
        </w:trPr>
        <w:tc>
          <w:tcPr>
            <w:tcW w:w="1383" w:type="pct"/>
            <w:noWrap/>
          </w:tcPr>
          <w:p w:rsidR="00137863" w:rsidRPr="009D02FC" w:rsidP="00017B34" w14:paraId="21E9574B" w14:textId="77777777">
            <w:pPr>
              <w:pStyle w:val="-02"/>
            </w:pPr>
            <w:r w:rsidRPr="009D02FC">
              <w:t>Engelmnn</w:t>
            </w:r>
          </w:p>
        </w:tc>
        <w:tc>
          <w:tcPr>
            <w:tcW w:w="606" w:type="pct"/>
          </w:tcPr>
          <w:p w:rsidR="00137863" w:rsidRPr="008E6510" w:rsidP="00017B34" w14:paraId="0FC6AB58" w14:textId="77777777">
            <w:pPr>
              <w:pStyle w:val="-02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5" w:type="pct"/>
          </w:tcPr>
          <w:p w:rsidR="00137863" w:rsidRPr="008E6510" w:rsidP="00017B34" w14:paraId="53A8134D" w14:textId="77777777">
            <w:pPr>
              <w:pStyle w:val="-02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:rsidR="00137863" w:rsidP="00017B34" w14:paraId="71F963FC" w14:textId="77777777">
            <w:pPr>
              <w:pStyle w:val="-02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:rsidR="00137863" w:rsidP="00017B34" w14:paraId="077DB3C9" w14:textId="77777777">
            <w:pPr>
              <w:pStyle w:val="-02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0" w:type="pct"/>
          </w:tcPr>
          <w:p w:rsidR="00137863" w:rsidP="00017B34" w14:paraId="7C66D598" w14:textId="77777777">
            <w:pPr>
              <w:pStyle w:val="-02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599" w:type="pct"/>
          </w:tcPr>
          <w:p w:rsidR="00137863" w:rsidRPr="008E6510" w:rsidP="00017B34" w14:paraId="101D3589" w14:textId="77777777">
            <w:pPr>
              <w:pStyle w:val="-02"/>
            </w:pPr>
            <w:r w:rsidRPr="00FB79D1">
              <w:rPr>
                <w:rFonts w:hint="eastAsia"/>
              </w:rPr>
              <w:t>XX</w:t>
            </w:r>
          </w:p>
        </w:tc>
      </w:tr>
      <w:tr w14:paraId="2D46147B" w14:textId="77777777" w:rsidTr="00017B34">
        <w:tblPrEx>
          <w:tblW w:w="4999" w:type="pct"/>
          <w:tblLook w:val="04A0"/>
        </w:tblPrEx>
        <w:trPr>
          <w:trHeight w:val="270"/>
        </w:trPr>
        <w:tc>
          <w:tcPr>
            <w:tcW w:w="1383" w:type="pct"/>
            <w:noWrap/>
          </w:tcPr>
          <w:p w:rsidR="00137863" w:rsidRPr="009D02FC" w:rsidP="00017B34" w14:paraId="2A4D2848" w14:textId="77777777">
            <w:pPr>
              <w:pStyle w:val="-02"/>
            </w:pPr>
            <w:r w:rsidRPr="009D02FC">
              <w:t>Te-sa s.r.l.</w:t>
            </w:r>
          </w:p>
        </w:tc>
        <w:tc>
          <w:tcPr>
            <w:tcW w:w="606" w:type="pct"/>
          </w:tcPr>
          <w:p w:rsidR="00137863" w:rsidRPr="008E6510" w:rsidP="00017B34" w14:paraId="6D0F0CF9" w14:textId="77777777">
            <w:pPr>
              <w:pStyle w:val="-02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5" w:type="pct"/>
          </w:tcPr>
          <w:p w:rsidR="00137863" w:rsidRPr="008E6510" w:rsidP="00017B34" w14:paraId="75719CD9" w14:textId="77777777">
            <w:pPr>
              <w:pStyle w:val="-02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:rsidR="00137863" w:rsidP="00017B34" w14:paraId="229B1C5B" w14:textId="77777777">
            <w:pPr>
              <w:pStyle w:val="-02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:rsidR="00137863" w:rsidP="00017B34" w14:paraId="339B9BB6" w14:textId="77777777">
            <w:pPr>
              <w:pStyle w:val="-02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0" w:type="pct"/>
          </w:tcPr>
          <w:p w:rsidR="00137863" w:rsidP="00017B34" w14:paraId="73B167FC" w14:textId="77777777">
            <w:pPr>
              <w:pStyle w:val="-02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599" w:type="pct"/>
          </w:tcPr>
          <w:p w:rsidR="00137863" w:rsidRPr="008E6510" w:rsidP="00017B34" w14:paraId="77EF2AB3" w14:textId="77777777">
            <w:pPr>
              <w:pStyle w:val="-02"/>
            </w:pPr>
            <w:r w:rsidRPr="00FB79D1">
              <w:rPr>
                <w:rFonts w:hint="eastAsia"/>
              </w:rPr>
              <w:t>XX</w:t>
            </w:r>
          </w:p>
        </w:tc>
      </w:tr>
      <w:tr w14:paraId="66F99979" w14:textId="77777777" w:rsidTr="00017B34">
        <w:tblPrEx>
          <w:tblW w:w="4999" w:type="pct"/>
          <w:tblLook w:val="04A0"/>
        </w:tblPrEx>
        <w:trPr>
          <w:trHeight w:val="270"/>
        </w:trPr>
        <w:tc>
          <w:tcPr>
            <w:tcW w:w="1383" w:type="pct"/>
            <w:noWrap/>
          </w:tcPr>
          <w:p w:rsidR="00137863" w:rsidRPr="009D02FC" w:rsidP="00017B34" w14:paraId="748C8B79" w14:textId="77777777">
            <w:pPr>
              <w:pStyle w:val="-02"/>
            </w:pPr>
            <w:r w:rsidRPr="009D02FC">
              <w:t>Itron</w:t>
            </w:r>
          </w:p>
        </w:tc>
        <w:tc>
          <w:tcPr>
            <w:tcW w:w="606" w:type="pct"/>
          </w:tcPr>
          <w:p w:rsidR="00137863" w:rsidRPr="008E6510" w:rsidP="00017B34" w14:paraId="4ECF8429" w14:textId="77777777">
            <w:pPr>
              <w:pStyle w:val="-02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5" w:type="pct"/>
          </w:tcPr>
          <w:p w:rsidR="00137863" w:rsidRPr="008E6510" w:rsidP="00017B34" w14:paraId="0A0E059E" w14:textId="77777777">
            <w:pPr>
              <w:pStyle w:val="-02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:rsidR="00137863" w:rsidP="00017B34" w14:paraId="56FA4761" w14:textId="77777777">
            <w:pPr>
              <w:pStyle w:val="-02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:rsidR="00137863" w:rsidP="00017B34" w14:paraId="5A912AEE" w14:textId="77777777">
            <w:pPr>
              <w:pStyle w:val="-02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0" w:type="pct"/>
          </w:tcPr>
          <w:p w:rsidR="00137863" w:rsidP="00017B34" w14:paraId="0E28CC5F" w14:textId="77777777">
            <w:pPr>
              <w:pStyle w:val="-02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599" w:type="pct"/>
          </w:tcPr>
          <w:p w:rsidR="00137863" w:rsidRPr="008E6510" w:rsidP="00017B34" w14:paraId="4E351F2B" w14:textId="77777777">
            <w:pPr>
              <w:pStyle w:val="-02"/>
            </w:pPr>
            <w:r w:rsidRPr="00FB79D1">
              <w:rPr>
                <w:rFonts w:hint="eastAsia"/>
              </w:rPr>
              <w:t>XX</w:t>
            </w:r>
          </w:p>
        </w:tc>
      </w:tr>
      <w:tr w14:paraId="13015937" w14:textId="77777777" w:rsidTr="00017B34">
        <w:tblPrEx>
          <w:tblW w:w="4999" w:type="pct"/>
          <w:tblLook w:val="04A0"/>
        </w:tblPrEx>
        <w:trPr>
          <w:trHeight w:val="270"/>
        </w:trPr>
        <w:tc>
          <w:tcPr>
            <w:tcW w:w="1383" w:type="pct"/>
            <w:noWrap/>
          </w:tcPr>
          <w:p w:rsidR="00137863" w:rsidRPr="009D02FC" w:rsidP="00017B34" w14:paraId="1081A388" w14:textId="77777777">
            <w:pPr>
              <w:pStyle w:val="-02"/>
            </w:pPr>
            <w:r w:rsidRPr="009D02FC">
              <w:t>Sontex</w:t>
            </w:r>
          </w:p>
        </w:tc>
        <w:tc>
          <w:tcPr>
            <w:tcW w:w="606" w:type="pct"/>
          </w:tcPr>
          <w:p w:rsidR="00137863" w:rsidRPr="008E6510" w:rsidP="00017B34" w14:paraId="586B5373" w14:textId="77777777">
            <w:pPr>
              <w:pStyle w:val="-02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5" w:type="pct"/>
          </w:tcPr>
          <w:p w:rsidR="00137863" w:rsidRPr="008E6510" w:rsidP="00017B34" w14:paraId="286D41B7" w14:textId="77777777">
            <w:pPr>
              <w:pStyle w:val="-02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:rsidR="00137863" w:rsidP="00017B34" w14:paraId="027EC248" w14:textId="77777777">
            <w:pPr>
              <w:pStyle w:val="-02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:rsidR="00137863" w:rsidP="00017B34" w14:paraId="53EFEB7E" w14:textId="77777777">
            <w:pPr>
              <w:pStyle w:val="-02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0" w:type="pct"/>
          </w:tcPr>
          <w:p w:rsidR="00137863" w:rsidP="00017B34" w14:paraId="362A287A" w14:textId="77777777">
            <w:pPr>
              <w:pStyle w:val="-02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599" w:type="pct"/>
          </w:tcPr>
          <w:p w:rsidR="00137863" w:rsidRPr="008E6510" w:rsidP="00017B34" w14:paraId="0A5FA9CA" w14:textId="77777777">
            <w:pPr>
              <w:pStyle w:val="-02"/>
            </w:pPr>
            <w:r w:rsidRPr="00FB79D1">
              <w:rPr>
                <w:rFonts w:hint="eastAsia"/>
              </w:rPr>
              <w:t>XX</w:t>
            </w:r>
          </w:p>
        </w:tc>
      </w:tr>
      <w:tr w14:paraId="6814C451" w14:textId="77777777" w:rsidTr="00017B34">
        <w:tblPrEx>
          <w:tblW w:w="4999" w:type="pct"/>
          <w:tblLook w:val="04A0"/>
        </w:tblPrEx>
        <w:trPr>
          <w:trHeight w:val="270"/>
        </w:trPr>
        <w:tc>
          <w:tcPr>
            <w:tcW w:w="1383" w:type="pct"/>
            <w:noWrap/>
          </w:tcPr>
          <w:p w:rsidR="00137863" w:rsidRPr="009D02FC" w:rsidP="00017B34" w14:paraId="35C85A9D" w14:textId="77777777">
            <w:pPr>
              <w:pStyle w:val="-02"/>
            </w:pPr>
            <w:r w:rsidRPr="009D02FC">
              <w:t>乐业节能</w:t>
            </w:r>
          </w:p>
        </w:tc>
        <w:tc>
          <w:tcPr>
            <w:tcW w:w="606" w:type="pct"/>
          </w:tcPr>
          <w:p w:rsidR="00137863" w:rsidRPr="008E6510" w:rsidP="00017B34" w14:paraId="62490563" w14:textId="77777777">
            <w:pPr>
              <w:pStyle w:val="-02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5" w:type="pct"/>
          </w:tcPr>
          <w:p w:rsidR="00137863" w:rsidRPr="008E6510" w:rsidP="00017B34" w14:paraId="26608454" w14:textId="77777777">
            <w:pPr>
              <w:pStyle w:val="-02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:rsidR="00137863" w:rsidP="00017B34" w14:paraId="5FC14A6E" w14:textId="77777777">
            <w:pPr>
              <w:pStyle w:val="-02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:rsidR="00137863" w:rsidP="00017B34" w14:paraId="1551357B" w14:textId="77777777">
            <w:pPr>
              <w:pStyle w:val="-02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0" w:type="pct"/>
          </w:tcPr>
          <w:p w:rsidR="00137863" w:rsidP="00017B34" w14:paraId="677D6927" w14:textId="77777777">
            <w:pPr>
              <w:pStyle w:val="-02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599" w:type="pct"/>
          </w:tcPr>
          <w:p w:rsidR="00137863" w:rsidRPr="008E6510" w:rsidP="00017B34" w14:paraId="5137E338" w14:textId="77777777">
            <w:pPr>
              <w:pStyle w:val="-02"/>
            </w:pPr>
            <w:r w:rsidRPr="00FB79D1">
              <w:rPr>
                <w:rFonts w:hint="eastAsia"/>
              </w:rPr>
              <w:t>XX</w:t>
            </w:r>
          </w:p>
        </w:tc>
      </w:tr>
      <w:tr w14:paraId="129BCC6C" w14:textId="77777777" w:rsidTr="00017B34">
        <w:tblPrEx>
          <w:tblW w:w="4999" w:type="pct"/>
          <w:tblLook w:val="04A0"/>
        </w:tblPrEx>
        <w:trPr>
          <w:trHeight w:val="270"/>
        </w:trPr>
        <w:tc>
          <w:tcPr>
            <w:tcW w:w="1383" w:type="pct"/>
            <w:tcBorders>
              <w:bottom w:val="single" w:sz="0" w:space="0" w:color="4F81BD"/>
            </w:tcBorders>
            <w:noWrap/>
          </w:tcPr>
          <w:p w:rsidR="00137863" w:rsidRPr="009D02FC" w:rsidP="00017B34" w14:paraId="7FBC439E" w14:textId="77777777">
            <w:pPr>
              <w:pStyle w:val="-02"/>
            </w:pPr>
            <w:r w:rsidRPr="009D02FC">
              <w:t>Brunata</w:t>
            </w:r>
          </w:p>
        </w:tc>
        <w:tc>
          <w:tcPr>
            <w:tcW w:w="606" w:type="pct"/>
          </w:tcPr>
          <w:p w:rsidR="00137863" w:rsidRPr="008E6510" w:rsidP="00017B34" w14:paraId="747B0FB0" w14:textId="77777777">
            <w:pPr>
              <w:pStyle w:val="-02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5" w:type="pct"/>
          </w:tcPr>
          <w:p w:rsidR="00137863" w:rsidRPr="008E6510" w:rsidP="00017B34" w14:paraId="3015C68E" w14:textId="77777777">
            <w:pPr>
              <w:pStyle w:val="-02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:rsidR="00137863" w:rsidP="00017B34" w14:paraId="4E6EF38D" w14:textId="77777777">
            <w:pPr>
              <w:pStyle w:val="-02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:rsidR="00137863" w:rsidP="00017B34" w14:paraId="11824A62" w14:textId="77777777">
            <w:pPr>
              <w:pStyle w:val="-02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0" w:type="pct"/>
          </w:tcPr>
          <w:p w:rsidR="00137863" w:rsidP="00017B34" w14:paraId="4E6C4321" w14:textId="77777777">
            <w:pPr>
              <w:pStyle w:val="-02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599" w:type="pct"/>
          </w:tcPr>
          <w:p w:rsidR="00137863" w:rsidRPr="008E6510" w:rsidP="00017B34" w14:paraId="2A58254D" w14:textId="77777777">
            <w:pPr>
              <w:pStyle w:val="-02"/>
            </w:pPr>
            <w:r w:rsidRPr="00FB79D1">
              <w:rPr>
                <w:rFonts w:hint="eastAsia"/>
              </w:rPr>
              <w:t>XX</w:t>
            </w:r>
          </w:p>
        </w:tc>
      </w:tr>
      <w:tr w14:paraId="1B0A3EF9" w14:textId="77777777" w:rsidTr="00017B34">
        <w:tblPrEx>
          <w:tblW w:w="4999" w:type="pct"/>
          <w:tblLook w:val="04A0"/>
        </w:tblPrEx>
        <w:trPr>
          <w:trHeight w:val="270"/>
        </w:trPr>
        <w:tc>
          <w:tcPr>
            <w:tcW w:w="1383" w:type="pct"/>
            <w:noWrap/>
            <w:hideMark/>
          </w:tcPr>
          <w:p w:rsidR="00137863" w:rsidRPr="009D02FC" w:rsidP="00017B34" w14:paraId="22A203CD" w14:textId="77777777">
            <w:pPr>
              <w:pStyle w:val="-02"/>
            </w:pPr>
            <w:r>
              <w:rPr>
                <w:rFonts w:hint="eastAsia"/>
              </w:rPr>
              <w:t>其他厂商</w:t>
            </w:r>
          </w:p>
        </w:tc>
        <w:tc>
          <w:tcPr>
            <w:tcW w:w="606" w:type="pct"/>
          </w:tcPr>
          <w:p w:rsidR="00137863" w:rsidRPr="008E6510" w:rsidP="00017B34" w14:paraId="3C7898AE" w14:textId="77777777">
            <w:pPr>
              <w:pStyle w:val="-02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5" w:type="pct"/>
          </w:tcPr>
          <w:p w:rsidR="00137863" w:rsidRPr="008E6510" w:rsidP="00017B34" w14:paraId="79861071" w14:textId="77777777">
            <w:pPr>
              <w:pStyle w:val="-02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  <w:hideMark/>
          </w:tcPr>
          <w:p w:rsidR="00137863" w:rsidP="00017B34" w14:paraId="2731B8F6" w14:textId="77777777">
            <w:pPr>
              <w:pStyle w:val="-02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  <w:hideMark/>
          </w:tcPr>
          <w:p w:rsidR="00137863" w:rsidP="00017B34" w14:paraId="39917D39" w14:textId="77777777">
            <w:pPr>
              <w:pStyle w:val="-02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0" w:type="pct"/>
          </w:tcPr>
          <w:p w:rsidR="00137863" w:rsidP="00017B34" w14:paraId="1D7DD4F7" w14:textId="77777777">
            <w:pPr>
              <w:pStyle w:val="-02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599" w:type="pct"/>
          </w:tcPr>
          <w:p w:rsidR="00137863" w:rsidRPr="008E6510" w:rsidP="00017B34" w14:paraId="7F5FD8B9" w14:textId="77777777">
            <w:pPr>
              <w:pStyle w:val="-02"/>
            </w:pPr>
            <w:r w:rsidRPr="00FB79D1">
              <w:rPr>
                <w:rFonts w:hint="eastAsia"/>
              </w:rPr>
              <w:t>XX</w:t>
            </w:r>
          </w:p>
        </w:tc>
      </w:tr>
      <w:tr w14:paraId="3EC1460C" w14:textId="77777777" w:rsidTr="00017B34">
        <w:tblPrEx>
          <w:tblW w:w="4999" w:type="pct"/>
          <w:tblLook w:val="04A0"/>
        </w:tblPrEx>
        <w:trPr>
          <w:trHeight w:val="270"/>
        </w:trPr>
        <w:tc>
          <w:tcPr>
            <w:tcW w:w="1383" w:type="pct"/>
            <w:noWrap/>
            <w:hideMark/>
          </w:tcPr>
          <w:p w:rsidR="00137863" w:rsidRPr="00F844AB" w:rsidP="00017B34" w14:paraId="731EA368" w14:textId="77777777">
            <w:pPr>
              <w:pStyle w:val="-02"/>
            </w:pPr>
            <w:r>
              <w:rPr>
                <w:rFonts w:hint="eastAsia"/>
              </w:rPr>
              <w:t>合计</w:t>
            </w:r>
          </w:p>
        </w:tc>
        <w:tc>
          <w:tcPr>
            <w:tcW w:w="606" w:type="pct"/>
          </w:tcPr>
          <w:p w:rsidR="00137863" w:rsidRPr="008E6510" w:rsidP="00017B34" w14:paraId="796FBB86" w14:textId="77777777">
            <w:pPr>
              <w:pStyle w:val="-02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5" w:type="pct"/>
          </w:tcPr>
          <w:p w:rsidR="00137863" w:rsidRPr="008E6510" w:rsidP="00017B34" w14:paraId="4E79EF80" w14:textId="77777777">
            <w:pPr>
              <w:pStyle w:val="-02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  <w:hideMark/>
          </w:tcPr>
          <w:p w:rsidR="00137863" w:rsidP="00017B34" w14:paraId="36E5EA07" w14:textId="77777777">
            <w:pPr>
              <w:pStyle w:val="-02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  <w:hideMark/>
          </w:tcPr>
          <w:p w:rsidR="00137863" w:rsidP="00017B34" w14:paraId="2D4FD0EE" w14:textId="77777777">
            <w:pPr>
              <w:pStyle w:val="-02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0" w:type="pct"/>
          </w:tcPr>
          <w:p w:rsidR="00137863" w:rsidP="00017B34" w14:paraId="6A0F11C0" w14:textId="77777777">
            <w:pPr>
              <w:pStyle w:val="-02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599" w:type="pct"/>
          </w:tcPr>
          <w:p w:rsidR="00137863" w:rsidRPr="008E6510" w:rsidP="00017B34" w14:paraId="5F28E40A" w14:textId="77777777">
            <w:pPr>
              <w:pStyle w:val="-02"/>
            </w:pPr>
            <w:r w:rsidRPr="00FB79D1">
              <w:rPr>
                <w:rFonts w:hint="eastAsia"/>
              </w:rPr>
              <w:t>XX</w:t>
            </w:r>
          </w:p>
        </w:tc>
      </w:tr>
    </w:tbl>
    <w:p w:rsidR="00137863" w:rsidP="00137863" w14:paraId="17A92236" w14:textId="77777777">
      <w:pPr>
        <w:pStyle w:val="Source00"/>
      </w:pPr>
      <w:r>
        <w:rPr>
          <w:rFonts w:hint="eastAsia"/>
        </w:rPr>
        <w:t>资料来源：上述企业，第三方资料、新闻报道、业内专家采访及</w:t>
      </w:r>
      <w:r>
        <w:rPr>
          <w:rFonts w:hint="eastAsia"/>
        </w:rPr>
        <w:t>QYResearch</w:t>
      </w:r>
      <w:r>
        <w:rPr>
          <w:rFonts w:hint="eastAsia"/>
        </w:rPr>
        <w:t>整理研究，</w:t>
      </w:r>
      <w:r>
        <w:rPr>
          <w:rFonts w:hint="eastAsia"/>
        </w:rPr>
        <w:t>2024</w:t>
      </w:r>
      <w:r>
        <w:rPr>
          <w:rFonts w:hint="eastAsia"/>
        </w:rPr>
        <w:t>年</w:t>
      </w:r>
    </w:p>
    <w:p w:rsidR="00137863" w:rsidRPr="003B0073" w:rsidP="00137863" w14:paraId="4E924204" w14:textId="6F6DCDB1">
      <w:pPr>
        <w:pStyle w:val="Heading30"/>
      </w:pPr>
      <w:bookmarkStart w:id="99" w:name="_Toc166762026"/>
      <w:r>
        <w:rPr>
          <w:rFonts w:hint="eastAsia"/>
        </w:rPr>
        <w:t>东南亚市场</w:t>
      </w:r>
      <w:r w:rsidRPr="00F74FCA">
        <w:rPr>
          <w:rFonts w:hint="eastAsia"/>
        </w:rPr>
        <w:t>主要厂商</w:t>
      </w:r>
      <w:r>
        <w:t>电子式热分配表(HCA)</w:t>
      </w:r>
      <w:r>
        <w:t>收入</w:t>
      </w:r>
      <w:r>
        <w:rPr>
          <w:rFonts w:hint="eastAsia"/>
        </w:rPr>
        <w:t>市场份额（</w:t>
      </w:r>
      <w:r>
        <w:rPr>
          <w:rFonts w:hint="eastAsia"/>
        </w:rPr>
        <w:t>2019-2024</w:t>
      </w:r>
      <w:r>
        <w:rPr>
          <w:rFonts w:hint="eastAsia"/>
        </w:rPr>
        <w:t>）</w:t>
      </w:r>
      <w:bookmarkEnd w:id="99"/>
    </w:p>
    <w:p w:rsidR="00137863" w:rsidRPr="006C3BE6" w:rsidP="006C3BE6" w14:paraId="5BFB6978" w14:textId="5637CE67">
      <w:pPr>
        <w:pStyle w:val="TableStyle0"/>
        <w:ind w:left="252" w:right="-105"/>
      </w:pPr>
      <w:bookmarkStart w:id="100" w:name="_Toc24028917"/>
      <w:bookmarkStart w:id="101" w:name="_Toc26780072"/>
      <w:bookmarkStart w:id="102" w:name="_Toc121583630"/>
      <w:bookmarkStart w:id="103" w:name="_Toc166761952"/>
      <w:r>
        <w:rPr>
          <w:rFonts w:hint="eastAsia"/>
        </w:rPr>
        <w:t>东南亚市场</w:t>
      </w:r>
      <w:r w:rsidRPr="006C3BE6">
        <w:rPr>
          <w:rFonts w:hint="eastAsia"/>
        </w:rPr>
        <w:t>主要厂商</w:t>
      </w:r>
      <w:r w:rsidRPr="006C3BE6">
        <w:t>电子式热分配表(HCA)</w:t>
      </w:r>
      <w:r w:rsidRPr="006C3BE6">
        <w:rPr>
          <w:rFonts w:hint="eastAsia"/>
        </w:rPr>
        <w:t>收入份额</w:t>
      </w:r>
      <w:bookmarkEnd w:id="100"/>
      <w:bookmarkEnd w:id="101"/>
      <w:r w:rsidRPr="006C3BE6">
        <w:rPr>
          <w:rFonts w:hint="eastAsia"/>
        </w:rPr>
        <w:t>（</w:t>
      </w:r>
      <w:r w:rsidRPr="006C3BE6">
        <w:rPr>
          <w:rFonts w:hint="eastAsia"/>
        </w:rPr>
        <w:t>2019-2024</w:t>
      </w:r>
      <w:r w:rsidRPr="006C3BE6">
        <w:rPr>
          <w:rFonts w:hint="eastAsia"/>
        </w:rPr>
        <w:t>）</w:t>
      </w:r>
      <w:bookmarkEnd w:id="102"/>
      <w:bookmarkEnd w:id="103"/>
    </w:p>
    <w:tbl>
      <w:tblPr>
        <w:tblStyle w:val="TableGrid80"/>
        <w:tblW w:w="4999" w:type="pct"/>
        <w:tblLook w:val="04A0"/>
      </w:tblPr>
      <w:tblGrid>
        <w:gridCol w:w="2756"/>
        <w:gridCol w:w="1208"/>
        <w:gridCol w:w="1206"/>
        <w:gridCol w:w="1204"/>
        <w:gridCol w:w="1204"/>
        <w:gridCol w:w="1196"/>
        <w:gridCol w:w="1192"/>
      </w:tblGrid>
      <w:tr w14:paraId="0B024915" w14:textId="77777777" w:rsidTr="00017B34">
        <w:tblPrEx>
          <w:tblW w:w="4999" w:type="pct"/>
          <w:tblLook w:val="04A0"/>
        </w:tblPrEx>
        <w:trPr>
          <w:trHeight w:val="270"/>
        </w:trPr>
        <w:tc>
          <w:tcPr>
            <w:tcW w:w="1383" w:type="pct"/>
            <w:noWrap/>
            <w:hideMark/>
          </w:tcPr>
          <w:p w:rsidR="00137863" w:rsidRPr="00F844AB" w:rsidP="00017B34" w14:paraId="570A0E83" w14:textId="77777777">
            <w:pPr>
              <w:pStyle w:val="-02"/>
            </w:pPr>
            <w:r>
              <w:rPr>
                <w:rFonts w:hint="eastAsia"/>
              </w:rPr>
              <w:t>公司名称</w:t>
            </w:r>
          </w:p>
        </w:tc>
        <w:tc>
          <w:tcPr>
            <w:tcW w:w="606" w:type="pct"/>
          </w:tcPr>
          <w:p w:rsidR="00137863" w:rsidP="00017B34" w14:paraId="37DBA356" w14:textId="77777777">
            <w:pPr>
              <w:pStyle w:val="-02"/>
            </w:pPr>
            <w:r>
              <w:rPr>
                <w:rFonts w:hint="eastAsia"/>
              </w:rPr>
              <w:t>2019</w:t>
            </w:r>
          </w:p>
        </w:tc>
        <w:tc>
          <w:tcPr>
            <w:tcW w:w="605" w:type="pct"/>
          </w:tcPr>
          <w:p w:rsidR="00137863" w:rsidP="00017B34" w14:paraId="0015FBBA" w14:textId="77777777">
            <w:pPr>
              <w:pStyle w:val="-02"/>
            </w:pPr>
            <w:r>
              <w:rPr>
                <w:rFonts w:hint="eastAsia"/>
              </w:rPr>
              <w:t>2020</w:t>
            </w:r>
          </w:p>
        </w:tc>
        <w:tc>
          <w:tcPr>
            <w:tcW w:w="604" w:type="pct"/>
            <w:noWrap/>
            <w:hideMark/>
          </w:tcPr>
          <w:p w:rsidR="00137863" w:rsidRPr="00F844AB" w:rsidP="00017B34" w14:paraId="6666CE1C" w14:textId="77777777">
            <w:pPr>
              <w:pStyle w:val="-02"/>
            </w:pPr>
            <w:r>
              <w:rPr>
                <w:rFonts w:hint="eastAsia"/>
              </w:rPr>
              <w:t>202</w:t>
            </w:r>
            <w:r>
              <w:t>1</w:t>
            </w:r>
          </w:p>
        </w:tc>
        <w:tc>
          <w:tcPr>
            <w:tcW w:w="604" w:type="pct"/>
            <w:noWrap/>
            <w:hideMark/>
          </w:tcPr>
          <w:p w:rsidR="00137863" w:rsidRPr="00F844AB" w:rsidP="00017B34" w14:paraId="10FDE337" w14:textId="77777777">
            <w:pPr>
              <w:pStyle w:val="-02"/>
            </w:pPr>
            <w:r>
              <w:rPr>
                <w:rFonts w:hint="eastAsia"/>
              </w:rPr>
              <w:t>202</w:t>
            </w:r>
            <w:r>
              <w:t>2</w:t>
            </w:r>
          </w:p>
        </w:tc>
        <w:tc>
          <w:tcPr>
            <w:tcW w:w="600" w:type="pct"/>
          </w:tcPr>
          <w:p w:rsidR="00137863" w:rsidP="00017B34" w14:paraId="77026A54" w14:textId="77777777">
            <w:pPr>
              <w:pStyle w:val="-02"/>
            </w:pPr>
            <w:r>
              <w:rPr>
                <w:rFonts w:hint="eastAsia"/>
              </w:rPr>
              <w:t>202</w:t>
            </w:r>
            <w:r>
              <w:t>3</w:t>
            </w:r>
          </w:p>
        </w:tc>
        <w:tc>
          <w:tcPr>
            <w:tcW w:w="599" w:type="pct"/>
          </w:tcPr>
          <w:p w:rsidR="00137863" w:rsidP="00017B34" w14:paraId="32B5FEF2" w14:textId="77777777">
            <w:pPr>
              <w:pStyle w:val="-02"/>
            </w:pPr>
            <w:r>
              <w:rPr>
                <w:rFonts w:hint="eastAsia"/>
              </w:rPr>
              <w:t>202</w:t>
            </w:r>
            <w:r>
              <w:t>4</w:t>
            </w:r>
          </w:p>
        </w:tc>
      </w:tr>
      <w:tr w14:paraId="53060BAF" w14:textId="77777777" w:rsidTr="00017B34">
        <w:tblPrEx>
          <w:tblW w:w="4999" w:type="pct"/>
          <w:tblLook w:val="04A0"/>
        </w:tblPrEx>
        <w:trPr>
          <w:trHeight w:val="270"/>
        </w:trPr>
        <w:tc>
          <w:tcPr>
            <w:tcW w:w="1383" w:type="pct"/>
            <w:noWrap/>
            <w:hideMark/>
          </w:tcPr>
          <w:p w:rsidR="00137863" w:rsidRPr="009D02FC" w:rsidP="00017B34" w14:paraId="71BA62D3" w14:textId="77777777">
            <w:pPr>
              <w:pStyle w:val="-02"/>
            </w:pPr>
            <w:r w:rsidRPr="009D02FC">
              <w:t>Zenner</w:t>
            </w:r>
          </w:p>
        </w:tc>
        <w:tc>
          <w:tcPr>
            <w:tcW w:w="606" w:type="pct"/>
          </w:tcPr>
          <w:p w:rsidR="00137863" w:rsidRPr="008E6510" w:rsidP="00017B34" w14:paraId="166E1B56" w14:textId="77777777">
            <w:pPr>
              <w:pStyle w:val="-02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5" w:type="pct"/>
          </w:tcPr>
          <w:p w:rsidR="00137863" w:rsidRPr="008E6510" w:rsidP="00017B34" w14:paraId="191B6E43" w14:textId="77777777">
            <w:pPr>
              <w:pStyle w:val="-02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:rsidR="00137863" w:rsidP="00017B34" w14:paraId="4C61C6C6" w14:textId="77777777">
            <w:pPr>
              <w:pStyle w:val="-02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:rsidR="00137863" w:rsidP="00017B34" w14:paraId="5E1369E0" w14:textId="77777777">
            <w:pPr>
              <w:pStyle w:val="-02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0" w:type="pct"/>
          </w:tcPr>
          <w:p w:rsidR="00137863" w:rsidP="00017B34" w14:paraId="29D1AF50" w14:textId="77777777">
            <w:pPr>
              <w:pStyle w:val="-02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599" w:type="pct"/>
          </w:tcPr>
          <w:p w:rsidR="00137863" w:rsidRPr="008E6510" w:rsidP="00017B34" w14:paraId="6C3F49FB" w14:textId="77777777">
            <w:pPr>
              <w:pStyle w:val="-02"/>
            </w:pPr>
            <w:r w:rsidRPr="00FB79D1">
              <w:rPr>
                <w:rFonts w:hint="eastAsia"/>
              </w:rPr>
              <w:t>XX</w:t>
            </w:r>
          </w:p>
        </w:tc>
      </w:tr>
      <w:tr w14:paraId="6D60EFF1" w14:textId="77777777" w:rsidTr="00017B34">
        <w:tblPrEx>
          <w:tblW w:w="4999" w:type="pct"/>
          <w:tblLook w:val="04A0"/>
        </w:tblPrEx>
        <w:trPr>
          <w:trHeight w:val="270"/>
        </w:trPr>
        <w:tc>
          <w:tcPr>
            <w:tcW w:w="1383" w:type="pct"/>
            <w:noWrap/>
            <w:hideMark/>
          </w:tcPr>
          <w:p w:rsidR="00137863" w:rsidRPr="009D02FC" w:rsidP="00017B34" w14:paraId="29FB08D3" w14:textId="77777777">
            <w:pPr>
              <w:pStyle w:val="-02"/>
            </w:pPr>
            <w:r w:rsidRPr="009D02FC">
              <w:t>Ista</w:t>
            </w:r>
          </w:p>
        </w:tc>
        <w:tc>
          <w:tcPr>
            <w:tcW w:w="606" w:type="pct"/>
          </w:tcPr>
          <w:p w:rsidR="00137863" w:rsidRPr="008E6510" w:rsidP="00017B34" w14:paraId="1E8E4EBC" w14:textId="77777777">
            <w:pPr>
              <w:pStyle w:val="-02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5" w:type="pct"/>
          </w:tcPr>
          <w:p w:rsidR="00137863" w:rsidRPr="008E6510" w:rsidP="00017B34" w14:paraId="546F5218" w14:textId="77777777">
            <w:pPr>
              <w:pStyle w:val="-02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:rsidR="00137863" w:rsidP="00017B34" w14:paraId="4DAD4DB7" w14:textId="77777777">
            <w:pPr>
              <w:pStyle w:val="-02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:rsidR="00137863" w:rsidP="00017B34" w14:paraId="0C8B4E02" w14:textId="77777777">
            <w:pPr>
              <w:pStyle w:val="-02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0" w:type="pct"/>
          </w:tcPr>
          <w:p w:rsidR="00137863" w:rsidP="00017B34" w14:paraId="573C651D" w14:textId="77777777">
            <w:pPr>
              <w:pStyle w:val="-02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599" w:type="pct"/>
          </w:tcPr>
          <w:p w:rsidR="00137863" w:rsidRPr="008E6510" w:rsidP="00017B34" w14:paraId="42FFE0D4" w14:textId="77777777">
            <w:pPr>
              <w:pStyle w:val="-02"/>
            </w:pPr>
            <w:r w:rsidRPr="00FB79D1">
              <w:rPr>
                <w:rFonts w:hint="eastAsia"/>
              </w:rPr>
              <w:t>XX</w:t>
            </w:r>
          </w:p>
        </w:tc>
      </w:tr>
      <w:tr w14:paraId="69C1CD9A" w14:textId="77777777" w:rsidTr="00017B34">
        <w:tblPrEx>
          <w:tblW w:w="4999" w:type="pct"/>
          <w:tblLook w:val="04A0"/>
        </w:tblPrEx>
        <w:trPr>
          <w:trHeight w:val="270"/>
        </w:trPr>
        <w:tc>
          <w:tcPr>
            <w:tcW w:w="1383" w:type="pct"/>
            <w:noWrap/>
            <w:hideMark/>
          </w:tcPr>
          <w:p w:rsidR="00137863" w:rsidRPr="009D02FC" w:rsidP="00017B34" w14:paraId="3AE1E2F8" w14:textId="77777777">
            <w:pPr>
              <w:pStyle w:val="-02"/>
            </w:pPr>
            <w:r w:rsidRPr="009D02FC">
              <w:t>Techem</w:t>
            </w:r>
          </w:p>
        </w:tc>
        <w:tc>
          <w:tcPr>
            <w:tcW w:w="606" w:type="pct"/>
          </w:tcPr>
          <w:p w:rsidR="00137863" w:rsidRPr="008E6510" w:rsidP="00017B34" w14:paraId="06CD05A9" w14:textId="77777777">
            <w:pPr>
              <w:pStyle w:val="-02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5" w:type="pct"/>
          </w:tcPr>
          <w:p w:rsidR="00137863" w:rsidRPr="008E6510" w:rsidP="00017B34" w14:paraId="025ED567" w14:textId="77777777">
            <w:pPr>
              <w:pStyle w:val="-02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:rsidR="00137863" w:rsidP="00017B34" w14:paraId="0B2D7BF4" w14:textId="77777777">
            <w:pPr>
              <w:pStyle w:val="-02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:rsidR="00137863" w:rsidP="00017B34" w14:paraId="6AF90792" w14:textId="77777777">
            <w:pPr>
              <w:pStyle w:val="-02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0" w:type="pct"/>
          </w:tcPr>
          <w:p w:rsidR="00137863" w:rsidP="00017B34" w14:paraId="6EA46B41" w14:textId="77777777">
            <w:pPr>
              <w:pStyle w:val="-02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599" w:type="pct"/>
          </w:tcPr>
          <w:p w:rsidR="00137863" w:rsidRPr="008E6510" w:rsidP="00017B34" w14:paraId="34B39E04" w14:textId="77777777">
            <w:pPr>
              <w:pStyle w:val="-02"/>
            </w:pPr>
            <w:r w:rsidRPr="00FB79D1">
              <w:rPr>
                <w:rFonts w:hint="eastAsia"/>
              </w:rPr>
              <w:t>XX</w:t>
            </w:r>
          </w:p>
        </w:tc>
      </w:tr>
      <w:tr w14:paraId="4B0EFC55" w14:textId="77777777" w:rsidTr="00017B34">
        <w:tblPrEx>
          <w:tblW w:w="4999" w:type="pct"/>
          <w:tblLook w:val="04A0"/>
        </w:tblPrEx>
        <w:trPr>
          <w:trHeight w:val="270"/>
        </w:trPr>
        <w:tc>
          <w:tcPr>
            <w:tcW w:w="1383" w:type="pct"/>
            <w:noWrap/>
            <w:hideMark/>
          </w:tcPr>
          <w:p w:rsidR="00137863" w:rsidRPr="009D02FC" w:rsidP="00017B34" w14:paraId="4AF97818" w14:textId="77777777">
            <w:pPr>
              <w:pStyle w:val="-02"/>
            </w:pPr>
            <w:r w:rsidRPr="009D02FC">
              <w:t>Siemens</w:t>
            </w:r>
          </w:p>
        </w:tc>
        <w:tc>
          <w:tcPr>
            <w:tcW w:w="606" w:type="pct"/>
          </w:tcPr>
          <w:p w:rsidR="00137863" w:rsidRPr="008E6510" w:rsidP="00017B34" w14:paraId="5F8100D1" w14:textId="77777777">
            <w:pPr>
              <w:pStyle w:val="-02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5" w:type="pct"/>
          </w:tcPr>
          <w:p w:rsidR="00137863" w:rsidRPr="008E6510" w:rsidP="00017B34" w14:paraId="7309326E" w14:textId="77777777">
            <w:pPr>
              <w:pStyle w:val="-02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:rsidR="00137863" w:rsidP="00017B34" w14:paraId="42E0A45D" w14:textId="77777777">
            <w:pPr>
              <w:pStyle w:val="-02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:rsidR="00137863" w:rsidP="00017B34" w14:paraId="3F0E6E1C" w14:textId="77777777">
            <w:pPr>
              <w:pStyle w:val="-02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0" w:type="pct"/>
          </w:tcPr>
          <w:p w:rsidR="00137863" w:rsidP="00017B34" w14:paraId="27A2F859" w14:textId="77777777">
            <w:pPr>
              <w:pStyle w:val="-02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599" w:type="pct"/>
          </w:tcPr>
          <w:p w:rsidR="00137863" w:rsidRPr="008E6510" w:rsidP="00017B34" w14:paraId="321E2F72" w14:textId="77777777">
            <w:pPr>
              <w:pStyle w:val="-02"/>
            </w:pPr>
            <w:r w:rsidRPr="00FB79D1">
              <w:rPr>
                <w:rFonts w:hint="eastAsia"/>
              </w:rPr>
              <w:t>XX</w:t>
            </w:r>
          </w:p>
        </w:tc>
      </w:tr>
      <w:tr w14:paraId="6F501D46" w14:textId="77777777" w:rsidTr="00017B34">
        <w:tblPrEx>
          <w:tblW w:w="4999" w:type="pct"/>
          <w:tblLook w:val="04A0"/>
        </w:tblPrEx>
        <w:trPr>
          <w:trHeight w:val="270"/>
        </w:trPr>
        <w:tc>
          <w:tcPr>
            <w:tcW w:w="1383" w:type="pct"/>
            <w:noWrap/>
          </w:tcPr>
          <w:p w:rsidR="00137863" w:rsidRPr="009D02FC" w:rsidP="00017B34" w14:paraId="18F33381" w14:textId="77777777">
            <w:pPr>
              <w:pStyle w:val="-02"/>
            </w:pPr>
            <w:r w:rsidRPr="009D02FC">
              <w:t>Engelmnn</w:t>
            </w:r>
          </w:p>
        </w:tc>
        <w:tc>
          <w:tcPr>
            <w:tcW w:w="606" w:type="pct"/>
          </w:tcPr>
          <w:p w:rsidR="00137863" w:rsidRPr="008E6510" w:rsidP="00017B34" w14:paraId="450BA18C" w14:textId="77777777">
            <w:pPr>
              <w:pStyle w:val="-02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5" w:type="pct"/>
          </w:tcPr>
          <w:p w:rsidR="00137863" w:rsidRPr="008E6510" w:rsidP="00017B34" w14:paraId="6A414ED9" w14:textId="77777777">
            <w:pPr>
              <w:pStyle w:val="-02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:rsidR="00137863" w:rsidP="00017B34" w14:paraId="667AD69D" w14:textId="77777777">
            <w:pPr>
              <w:pStyle w:val="-02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:rsidR="00137863" w:rsidP="00017B34" w14:paraId="11882193" w14:textId="77777777">
            <w:pPr>
              <w:pStyle w:val="-02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0" w:type="pct"/>
          </w:tcPr>
          <w:p w:rsidR="00137863" w:rsidP="00017B34" w14:paraId="2E7CC464" w14:textId="77777777">
            <w:pPr>
              <w:pStyle w:val="-02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599" w:type="pct"/>
          </w:tcPr>
          <w:p w:rsidR="00137863" w:rsidRPr="008E6510" w:rsidP="00017B34" w14:paraId="03870ED1" w14:textId="77777777">
            <w:pPr>
              <w:pStyle w:val="-02"/>
            </w:pPr>
            <w:r w:rsidRPr="00FB79D1">
              <w:rPr>
                <w:rFonts w:hint="eastAsia"/>
              </w:rPr>
              <w:t>XX</w:t>
            </w:r>
          </w:p>
        </w:tc>
      </w:tr>
      <w:tr w14:paraId="2AE75C36" w14:textId="77777777" w:rsidTr="00017B34">
        <w:tblPrEx>
          <w:tblW w:w="4999" w:type="pct"/>
          <w:tblLook w:val="04A0"/>
        </w:tblPrEx>
        <w:trPr>
          <w:trHeight w:val="270"/>
        </w:trPr>
        <w:tc>
          <w:tcPr>
            <w:tcW w:w="1383" w:type="pct"/>
            <w:noWrap/>
          </w:tcPr>
          <w:p w:rsidR="00137863" w:rsidRPr="009D02FC" w:rsidP="00017B34" w14:paraId="6F7FECDB" w14:textId="77777777">
            <w:pPr>
              <w:pStyle w:val="-02"/>
            </w:pPr>
            <w:r w:rsidRPr="009D02FC">
              <w:t>Te-sa s.r.l.</w:t>
            </w:r>
          </w:p>
        </w:tc>
        <w:tc>
          <w:tcPr>
            <w:tcW w:w="606" w:type="pct"/>
          </w:tcPr>
          <w:p w:rsidR="00137863" w:rsidRPr="008E6510" w:rsidP="00017B34" w14:paraId="19AE7317" w14:textId="77777777">
            <w:pPr>
              <w:pStyle w:val="-02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5" w:type="pct"/>
          </w:tcPr>
          <w:p w:rsidR="00137863" w:rsidRPr="008E6510" w:rsidP="00017B34" w14:paraId="5481F1A0" w14:textId="77777777">
            <w:pPr>
              <w:pStyle w:val="-02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:rsidR="00137863" w:rsidP="00017B34" w14:paraId="181F70C7" w14:textId="77777777">
            <w:pPr>
              <w:pStyle w:val="-02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:rsidR="00137863" w:rsidP="00017B34" w14:paraId="09363A1E" w14:textId="77777777">
            <w:pPr>
              <w:pStyle w:val="-02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0" w:type="pct"/>
          </w:tcPr>
          <w:p w:rsidR="00137863" w:rsidP="00017B34" w14:paraId="006050BE" w14:textId="77777777">
            <w:pPr>
              <w:pStyle w:val="-02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599" w:type="pct"/>
          </w:tcPr>
          <w:p w:rsidR="00137863" w:rsidRPr="008E6510" w:rsidP="00017B34" w14:paraId="0A063336" w14:textId="77777777">
            <w:pPr>
              <w:pStyle w:val="-02"/>
            </w:pPr>
            <w:r w:rsidRPr="00FB79D1">
              <w:rPr>
                <w:rFonts w:hint="eastAsia"/>
              </w:rPr>
              <w:t>XX</w:t>
            </w:r>
          </w:p>
        </w:tc>
      </w:tr>
      <w:tr w14:paraId="3B073CAF" w14:textId="77777777" w:rsidTr="00017B34">
        <w:tblPrEx>
          <w:tblW w:w="4999" w:type="pct"/>
          <w:tblLook w:val="04A0"/>
        </w:tblPrEx>
        <w:trPr>
          <w:trHeight w:val="270"/>
        </w:trPr>
        <w:tc>
          <w:tcPr>
            <w:tcW w:w="1383" w:type="pct"/>
            <w:noWrap/>
          </w:tcPr>
          <w:p w:rsidR="00137863" w:rsidRPr="009D02FC" w:rsidP="00017B34" w14:paraId="08C95150" w14:textId="77777777">
            <w:pPr>
              <w:pStyle w:val="-02"/>
            </w:pPr>
            <w:r w:rsidRPr="009D02FC">
              <w:t>Itron</w:t>
            </w:r>
          </w:p>
        </w:tc>
        <w:tc>
          <w:tcPr>
            <w:tcW w:w="606" w:type="pct"/>
          </w:tcPr>
          <w:p w:rsidR="00137863" w:rsidRPr="008E6510" w:rsidP="00017B34" w14:paraId="2E411C27" w14:textId="77777777">
            <w:pPr>
              <w:pStyle w:val="-02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5" w:type="pct"/>
          </w:tcPr>
          <w:p w:rsidR="00137863" w:rsidRPr="008E6510" w:rsidP="00017B34" w14:paraId="12E1DB33" w14:textId="77777777">
            <w:pPr>
              <w:pStyle w:val="-02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:rsidR="00137863" w:rsidP="00017B34" w14:paraId="7DA2F93F" w14:textId="77777777">
            <w:pPr>
              <w:pStyle w:val="-02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:rsidR="00137863" w:rsidP="00017B34" w14:paraId="7040D38B" w14:textId="77777777">
            <w:pPr>
              <w:pStyle w:val="-02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0" w:type="pct"/>
          </w:tcPr>
          <w:p w:rsidR="00137863" w:rsidP="00017B34" w14:paraId="02006214" w14:textId="77777777">
            <w:pPr>
              <w:pStyle w:val="-02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599" w:type="pct"/>
          </w:tcPr>
          <w:p w:rsidR="00137863" w:rsidRPr="008E6510" w:rsidP="00017B34" w14:paraId="63BF4000" w14:textId="77777777">
            <w:pPr>
              <w:pStyle w:val="-02"/>
            </w:pPr>
            <w:r w:rsidRPr="00FB79D1">
              <w:rPr>
                <w:rFonts w:hint="eastAsia"/>
              </w:rPr>
              <w:t>XX</w:t>
            </w:r>
          </w:p>
        </w:tc>
      </w:tr>
      <w:tr w14:paraId="312507CE" w14:textId="77777777" w:rsidTr="00017B34">
        <w:tblPrEx>
          <w:tblW w:w="4999" w:type="pct"/>
          <w:tblLook w:val="04A0"/>
        </w:tblPrEx>
        <w:trPr>
          <w:trHeight w:val="270"/>
        </w:trPr>
        <w:tc>
          <w:tcPr>
            <w:tcW w:w="1383" w:type="pct"/>
            <w:noWrap/>
          </w:tcPr>
          <w:p w:rsidR="00137863" w:rsidRPr="009D02FC" w:rsidP="00017B34" w14:paraId="1FAFD9A5" w14:textId="77777777">
            <w:pPr>
              <w:pStyle w:val="-02"/>
            </w:pPr>
            <w:r w:rsidRPr="009D02FC">
              <w:t>Sontex</w:t>
            </w:r>
          </w:p>
        </w:tc>
        <w:tc>
          <w:tcPr>
            <w:tcW w:w="606" w:type="pct"/>
          </w:tcPr>
          <w:p w:rsidR="00137863" w:rsidRPr="008E6510" w:rsidP="00017B34" w14:paraId="383D6123" w14:textId="77777777">
            <w:pPr>
              <w:pStyle w:val="-02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5" w:type="pct"/>
          </w:tcPr>
          <w:p w:rsidR="00137863" w:rsidRPr="008E6510" w:rsidP="00017B34" w14:paraId="25C45F85" w14:textId="77777777">
            <w:pPr>
              <w:pStyle w:val="-02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:rsidR="00137863" w:rsidP="00017B34" w14:paraId="7991490E" w14:textId="77777777">
            <w:pPr>
              <w:pStyle w:val="-02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:rsidR="00137863" w:rsidP="00017B34" w14:paraId="55AC92D3" w14:textId="77777777">
            <w:pPr>
              <w:pStyle w:val="-02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0" w:type="pct"/>
          </w:tcPr>
          <w:p w:rsidR="00137863" w:rsidP="00017B34" w14:paraId="5889827D" w14:textId="77777777">
            <w:pPr>
              <w:pStyle w:val="-02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599" w:type="pct"/>
          </w:tcPr>
          <w:p w:rsidR="00137863" w:rsidRPr="008E6510" w:rsidP="00017B34" w14:paraId="2E5FED72" w14:textId="77777777">
            <w:pPr>
              <w:pStyle w:val="-02"/>
            </w:pPr>
            <w:r w:rsidRPr="00FB79D1">
              <w:rPr>
                <w:rFonts w:hint="eastAsia"/>
              </w:rPr>
              <w:t>XX</w:t>
            </w:r>
          </w:p>
        </w:tc>
      </w:tr>
      <w:tr w14:paraId="3DED186E" w14:textId="77777777" w:rsidTr="00017B34">
        <w:tblPrEx>
          <w:tblW w:w="4999" w:type="pct"/>
          <w:tblLook w:val="04A0"/>
        </w:tblPrEx>
        <w:trPr>
          <w:trHeight w:val="270"/>
        </w:trPr>
        <w:tc>
          <w:tcPr>
            <w:tcW w:w="1383" w:type="pct"/>
            <w:noWrap/>
          </w:tcPr>
          <w:p w:rsidR="00137863" w:rsidRPr="009D02FC" w:rsidP="00017B34" w14:paraId="74A9380F" w14:textId="77777777">
            <w:pPr>
              <w:pStyle w:val="-02"/>
            </w:pPr>
            <w:r w:rsidRPr="009D02FC">
              <w:t>乐业节能</w:t>
            </w:r>
          </w:p>
        </w:tc>
        <w:tc>
          <w:tcPr>
            <w:tcW w:w="606" w:type="pct"/>
          </w:tcPr>
          <w:p w:rsidR="00137863" w:rsidRPr="008E6510" w:rsidP="00017B34" w14:paraId="1AD88991" w14:textId="77777777">
            <w:pPr>
              <w:pStyle w:val="-02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5" w:type="pct"/>
          </w:tcPr>
          <w:p w:rsidR="00137863" w:rsidRPr="008E6510" w:rsidP="00017B34" w14:paraId="00224BBB" w14:textId="77777777">
            <w:pPr>
              <w:pStyle w:val="-02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:rsidR="00137863" w:rsidP="00017B34" w14:paraId="3EC0066C" w14:textId="77777777">
            <w:pPr>
              <w:pStyle w:val="-02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:rsidR="00137863" w:rsidP="00017B34" w14:paraId="67C32DA2" w14:textId="77777777">
            <w:pPr>
              <w:pStyle w:val="-02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0" w:type="pct"/>
          </w:tcPr>
          <w:p w:rsidR="00137863" w:rsidP="00017B34" w14:paraId="45BA8441" w14:textId="77777777">
            <w:pPr>
              <w:pStyle w:val="-02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599" w:type="pct"/>
          </w:tcPr>
          <w:p w:rsidR="00137863" w:rsidRPr="008E6510" w:rsidP="00017B34" w14:paraId="1F709ABD" w14:textId="77777777">
            <w:pPr>
              <w:pStyle w:val="-02"/>
            </w:pPr>
            <w:r w:rsidRPr="00FB79D1">
              <w:rPr>
                <w:rFonts w:hint="eastAsia"/>
              </w:rPr>
              <w:t>XX</w:t>
            </w:r>
          </w:p>
        </w:tc>
      </w:tr>
      <w:tr w14:paraId="57023D4D" w14:textId="77777777" w:rsidTr="00017B34">
        <w:tblPrEx>
          <w:tblW w:w="4999" w:type="pct"/>
          <w:tblLook w:val="04A0"/>
        </w:tblPrEx>
        <w:trPr>
          <w:trHeight w:val="270"/>
        </w:trPr>
        <w:tc>
          <w:tcPr>
            <w:tcW w:w="1383" w:type="pct"/>
            <w:tcBorders>
              <w:bottom w:val="single" w:sz="0" w:space="0" w:color="4F81BD"/>
            </w:tcBorders>
            <w:noWrap/>
          </w:tcPr>
          <w:p w:rsidR="00137863" w:rsidRPr="009D02FC" w:rsidP="00017B34" w14:paraId="4BCF10A6" w14:textId="77777777">
            <w:pPr>
              <w:pStyle w:val="-02"/>
            </w:pPr>
            <w:r w:rsidRPr="009D02FC">
              <w:t>Brunata</w:t>
            </w:r>
          </w:p>
        </w:tc>
        <w:tc>
          <w:tcPr>
            <w:tcW w:w="606" w:type="pct"/>
          </w:tcPr>
          <w:p w:rsidR="00137863" w:rsidRPr="008E6510" w:rsidP="00017B34" w14:paraId="61BE7E3A" w14:textId="77777777">
            <w:pPr>
              <w:pStyle w:val="-02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5" w:type="pct"/>
          </w:tcPr>
          <w:p w:rsidR="00137863" w:rsidRPr="008E6510" w:rsidP="00017B34" w14:paraId="63FD73AD" w14:textId="77777777">
            <w:pPr>
              <w:pStyle w:val="-02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:rsidR="00137863" w:rsidP="00017B34" w14:paraId="0D4B9050" w14:textId="77777777">
            <w:pPr>
              <w:pStyle w:val="-02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:rsidR="00137863" w:rsidP="00017B34" w14:paraId="26EC0616" w14:textId="77777777">
            <w:pPr>
              <w:pStyle w:val="-02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0" w:type="pct"/>
          </w:tcPr>
          <w:p w:rsidR="00137863" w:rsidP="00017B34" w14:paraId="47B2363C" w14:textId="77777777">
            <w:pPr>
              <w:pStyle w:val="-02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599" w:type="pct"/>
          </w:tcPr>
          <w:p w:rsidR="00137863" w:rsidRPr="008E6510" w:rsidP="00017B34" w14:paraId="1AD77723" w14:textId="77777777">
            <w:pPr>
              <w:pStyle w:val="-02"/>
            </w:pPr>
            <w:r w:rsidRPr="00FB79D1">
              <w:rPr>
                <w:rFonts w:hint="eastAsia"/>
              </w:rPr>
              <w:t>XX</w:t>
            </w:r>
          </w:p>
        </w:tc>
      </w:tr>
      <w:tr w14:paraId="185B35F7" w14:textId="77777777" w:rsidTr="00017B34">
        <w:tblPrEx>
          <w:tblW w:w="4999" w:type="pct"/>
          <w:tblLook w:val="04A0"/>
        </w:tblPrEx>
        <w:trPr>
          <w:trHeight w:val="270"/>
        </w:trPr>
        <w:tc>
          <w:tcPr>
            <w:tcW w:w="1383" w:type="pct"/>
            <w:noWrap/>
            <w:hideMark/>
          </w:tcPr>
          <w:p w:rsidR="00137863" w:rsidRPr="009D02FC" w:rsidP="00017B34" w14:paraId="04544756" w14:textId="77777777">
            <w:pPr>
              <w:pStyle w:val="-02"/>
            </w:pPr>
            <w:r>
              <w:rPr>
                <w:rFonts w:hint="eastAsia"/>
              </w:rPr>
              <w:t>其他厂商</w:t>
            </w:r>
          </w:p>
        </w:tc>
        <w:tc>
          <w:tcPr>
            <w:tcW w:w="606" w:type="pct"/>
          </w:tcPr>
          <w:p w:rsidR="00137863" w:rsidRPr="008E6510" w:rsidP="00017B34" w14:paraId="30417281" w14:textId="77777777">
            <w:pPr>
              <w:pStyle w:val="-02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5" w:type="pct"/>
          </w:tcPr>
          <w:p w:rsidR="00137863" w:rsidRPr="008E6510" w:rsidP="00017B34" w14:paraId="59D2848C" w14:textId="77777777">
            <w:pPr>
              <w:pStyle w:val="-02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  <w:hideMark/>
          </w:tcPr>
          <w:p w:rsidR="00137863" w:rsidP="00017B34" w14:paraId="7C33C5D9" w14:textId="77777777">
            <w:pPr>
              <w:pStyle w:val="-02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  <w:hideMark/>
          </w:tcPr>
          <w:p w:rsidR="00137863" w:rsidP="00017B34" w14:paraId="693A119D" w14:textId="77777777">
            <w:pPr>
              <w:pStyle w:val="-02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0" w:type="pct"/>
          </w:tcPr>
          <w:p w:rsidR="00137863" w:rsidP="00017B34" w14:paraId="73C29092" w14:textId="77777777">
            <w:pPr>
              <w:pStyle w:val="-02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599" w:type="pct"/>
          </w:tcPr>
          <w:p w:rsidR="00137863" w:rsidRPr="008E6510" w:rsidP="00017B34" w14:paraId="0A311765" w14:textId="77777777">
            <w:pPr>
              <w:pStyle w:val="-02"/>
            </w:pPr>
            <w:r w:rsidRPr="00FB79D1">
              <w:rPr>
                <w:rFonts w:hint="eastAsia"/>
              </w:rPr>
              <w:t>XX</w:t>
            </w:r>
          </w:p>
        </w:tc>
      </w:tr>
      <w:tr w14:paraId="5D73AE6F" w14:textId="77777777" w:rsidTr="00017B34">
        <w:tblPrEx>
          <w:tblW w:w="4999" w:type="pct"/>
          <w:tblLook w:val="04A0"/>
        </w:tblPrEx>
        <w:trPr>
          <w:trHeight w:val="270"/>
        </w:trPr>
        <w:tc>
          <w:tcPr>
            <w:tcW w:w="1383" w:type="pct"/>
            <w:noWrap/>
            <w:hideMark/>
          </w:tcPr>
          <w:p w:rsidR="00137863" w:rsidRPr="00F844AB" w:rsidP="00017B34" w14:paraId="7E320803" w14:textId="77777777">
            <w:pPr>
              <w:pStyle w:val="-02"/>
            </w:pPr>
            <w:r>
              <w:rPr>
                <w:rFonts w:hint="eastAsia"/>
              </w:rPr>
              <w:t>合计</w:t>
            </w:r>
          </w:p>
        </w:tc>
        <w:tc>
          <w:tcPr>
            <w:tcW w:w="606" w:type="pct"/>
          </w:tcPr>
          <w:p w:rsidR="00137863" w:rsidRPr="008E6510" w:rsidP="00017B34" w14:paraId="606A5FA3" w14:textId="77777777">
            <w:pPr>
              <w:pStyle w:val="-02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5" w:type="pct"/>
          </w:tcPr>
          <w:p w:rsidR="00137863" w:rsidRPr="008E6510" w:rsidP="00017B34" w14:paraId="6BE3D67D" w14:textId="77777777">
            <w:pPr>
              <w:pStyle w:val="-02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  <w:hideMark/>
          </w:tcPr>
          <w:p w:rsidR="00137863" w:rsidP="00017B34" w14:paraId="1EA8774B" w14:textId="77777777">
            <w:pPr>
              <w:pStyle w:val="-02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  <w:hideMark/>
          </w:tcPr>
          <w:p w:rsidR="00137863" w:rsidP="00017B34" w14:paraId="3FF531B7" w14:textId="77777777">
            <w:pPr>
              <w:pStyle w:val="-02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0" w:type="pct"/>
          </w:tcPr>
          <w:p w:rsidR="00137863" w:rsidP="00017B34" w14:paraId="3C811F89" w14:textId="77777777">
            <w:pPr>
              <w:pStyle w:val="-02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599" w:type="pct"/>
          </w:tcPr>
          <w:p w:rsidR="00137863" w:rsidRPr="008E6510" w:rsidP="00017B34" w14:paraId="40A38D62" w14:textId="77777777">
            <w:pPr>
              <w:pStyle w:val="-02"/>
            </w:pPr>
            <w:r w:rsidRPr="00FB79D1">
              <w:rPr>
                <w:rFonts w:hint="eastAsia"/>
              </w:rPr>
              <w:t>XX</w:t>
            </w:r>
          </w:p>
        </w:tc>
      </w:tr>
    </w:tbl>
    <w:p w:rsidR="00137863" w:rsidP="00137863" w14:paraId="39F7BD41" w14:textId="77777777">
      <w:pPr>
        <w:pStyle w:val="Source00"/>
      </w:pPr>
      <w:r>
        <w:rPr>
          <w:rFonts w:hint="eastAsia"/>
        </w:rPr>
        <w:t>资料来源：上述企业，第三方资料、新闻报道、业内专家采访及</w:t>
      </w:r>
      <w:r>
        <w:rPr>
          <w:rFonts w:hint="eastAsia"/>
        </w:rPr>
        <w:t>QYResearch</w:t>
      </w:r>
      <w:r>
        <w:rPr>
          <w:rFonts w:hint="eastAsia"/>
        </w:rPr>
        <w:t>整理研究，</w:t>
      </w:r>
      <w:r>
        <w:rPr>
          <w:rFonts w:hint="eastAsia"/>
        </w:rPr>
        <w:t>2024</w:t>
      </w:r>
      <w:r>
        <w:rPr>
          <w:rFonts w:hint="eastAsia"/>
        </w:rPr>
        <w:t>年</w:t>
      </w:r>
    </w:p>
    <w:p w:rsidR="00137863" w:rsidRPr="005868B1" w:rsidP="00137863">
      <w:pPr>
        <w:pStyle w:val="FigureStyle00"/>
      </w:pPr>
      <w:bookmarkStart w:id="104" w:name="_Toc24028918"/>
      <w:bookmarkStart w:id="105" w:name="_Toc26780014"/>
      <w:bookmarkStart w:id="106" w:name="_Toc121583610"/>
      <w:bookmarkStart w:id="107" w:name="_Toc166761937"/>
      <w:r w:rsidRPr="005868B1">
        <w:rPr>
          <w:rFonts w:hint="eastAsia"/>
        </w:rPr>
        <w:t>2023</w:t>
      </w:r>
      <w:r w:rsidRPr="005868B1">
        <w:rPr>
          <w:rFonts w:hint="eastAsia"/>
        </w:rPr>
        <w:t>年</w:t>
      </w:r>
      <w:r w:rsidR="001C34EF">
        <w:rPr>
          <w:rFonts w:hint="eastAsia"/>
        </w:rPr>
        <w:t>东南亚市场</w:t>
      </w:r>
      <w:r w:rsidRPr="005868B1">
        <w:rPr>
          <w:rFonts w:hint="eastAsia"/>
        </w:rPr>
        <w:t>主要厂商</w:t>
      </w:r>
      <w:r w:rsidRPr="005868B1">
        <w:t>电子式热分配表(HCA)</w:t>
      </w:r>
      <w:r w:rsidRPr="005868B1">
        <w:rPr>
          <w:rFonts w:hint="eastAsia"/>
        </w:rPr>
        <w:t>收入市场份额</w:t>
      </w:r>
      <w:bookmarkEnd w:id="104"/>
      <w:bookmarkEnd w:id="105"/>
      <w:bookmarkEnd w:id="106"/>
      <w:bookmarkEnd w:id="107"/>
    </w:p>
    <w:p w:rsidR="00137863" w:rsidP="00137863" w14:paraId="33F0E482" w14:textId="77777777">
      <w:pPr>
        <w:pStyle w:val="Source00"/>
      </w:pPr>
      <w:r>
        <w:rPr>
          <w:rFonts w:hint="eastAsia"/>
        </w:rPr>
        <w:t>资料来源：上述企业，第三方资料、新闻报道、业内专家采访及</w:t>
      </w:r>
      <w:r>
        <w:rPr>
          <w:rFonts w:hint="eastAsia"/>
        </w:rPr>
        <w:t>QYResearch</w:t>
      </w:r>
      <w:r>
        <w:rPr>
          <w:rFonts w:hint="eastAsia"/>
        </w:rPr>
        <w:t>整理研究，</w:t>
      </w:r>
      <w:r>
        <w:rPr>
          <w:rFonts w:hint="eastAsia"/>
        </w:rPr>
        <w:t>2024</w:t>
      </w:r>
      <w:r>
        <w:rPr>
          <w:rFonts w:hint="eastAsia"/>
        </w:rPr>
        <w:t>年</w:t>
      </w:r>
    </w:p>
    <w:p w:rsidR="00137863" w:rsidRPr="003B0073" w:rsidP="00137863" w14:paraId="3B7B0B78" w14:textId="4E293B1D">
      <w:pPr>
        <w:pStyle w:val="Heading20"/>
      </w:pPr>
      <w:bookmarkStart w:id="108" w:name="_Toc24028308"/>
      <w:bookmarkStart w:id="109" w:name="_Toc24972498"/>
      <w:bookmarkStart w:id="110" w:name="_Toc121583900"/>
      <w:bookmarkStart w:id="111" w:name="_Toc166762027"/>
      <w:r>
        <w:rPr>
          <w:rFonts w:hint="eastAsia"/>
        </w:rPr>
        <w:t>东南亚市场</w:t>
      </w:r>
      <w:r w:rsidRPr="00F74FCA">
        <w:rPr>
          <w:rFonts w:hint="eastAsia"/>
        </w:rPr>
        <w:t>主要厂商</w:t>
      </w:r>
      <w:r w:rsidRPr="00B728C9">
        <w:t>电子式热分配表(HCA)</w:t>
      </w:r>
      <w:r w:rsidRPr="00F74FCA">
        <w:rPr>
          <w:rFonts w:hint="eastAsia"/>
        </w:rPr>
        <w:t>价格</w:t>
      </w:r>
      <w:bookmarkEnd w:id="108"/>
      <w:bookmarkEnd w:id="109"/>
      <w:r>
        <w:rPr>
          <w:rFonts w:hint="eastAsia"/>
        </w:rPr>
        <w:t>（</w:t>
      </w:r>
      <w:r>
        <w:rPr>
          <w:rFonts w:hint="eastAsia"/>
        </w:rPr>
        <w:t>2019-2024</w:t>
      </w:r>
      <w:r>
        <w:rPr>
          <w:rFonts w:hint="eastAsia"/>
        </w:rPr>
        <w:t>）</w:t>
      </w:r>
      <w:bookmarkEnd w:id="110"/>
      <w:bookmarkEnd w:id="111"/>
    </w:p>
    <w:p w:rsidR="00137863" w:rsidRPr="006C3BE6" w:rsidP="006C3BE6" w14:paraId="7A73D5EE" w14:textId="64E77A76">
      <w:pPr>
        <w:pStyle w:val="TableStyle0"/>
        <w:ind w:left="252" w:right="-105"/>
      </w:pPr>
      <w:bookmarkStart w:id="112" w:name="_Toc24028919"/>
      <w:bookmarkStart w:id="113" w:name="_Toc26780073"/>
      <w:bookmarkStart w:id="114" w:name="_Toc121583632"/>
      <w:bookmarkStart w:id="115" w:name="_Toc166761953"/>
      <w:r>
        <w:rPr>
          <w:rFonts w:hint="eastAsia"/>
        </w:rPr>
        <w:t>东南亚市场</w:t>
      </w:r>
      <w:r w:rsidRPr="006C3BE6">
        <w:rPr>
          <w:rFonts w:hint="eastAsia"/>
        </w:rPr>
        <w:t>主要厂商</w:t>
      </w:r>
      <w:r w:rsidRPr="006C3BE6">
        <w:t>电子式热分配表(HCA)</w:t>
      </w:r>
      <w:r w:rsidRPr="006C3BE6">
        <w:rPr>
          <w:rFonts w:hint="eastAsia"/>
        </w:rPr>
        <w:t>价格</w:t>
      </w:r>
      <w:bookmarkEnd w:id="112"/>
      <w:bookmarkEnd w:id="113"/>
      <w:r w:rsidRPr="006C3BE6">
        <w:rPr>
          <w:rFonts w:hint="eastAsia"/>
        </w:rPr>
        <w:t>（</w:t>
      </w:r>
      <w:r w:rsidRPr="006C3BE6">
        <w:rPr>
          <w:rFonts w:hint="eastAsia"/>
        </w:rPr>
        <w:t>2019-2024</w:t>
      </w:r>
      <w:r w:rsidRPr="006C3BE6">
        <w:rPr>
          <w:rFonts w:hint="eastAsia"/>
        </w:rPr>
        <w:t>）</w:t>
      </w:r>
      <w:r w:rsidRPr="006C3BE6">
        <w:rPr>
          <w:rFonts w:hint="eastAsia"/>
        </w:rPr>
        <w:t>&amp;</w:t>
      </w:r>
      <w:r w:rsidRPr="006C3BE6">
        <w:rPr>
          <w:rFonts w:hint="eastAsia"/>
        </w:rPr>
        <w:t>（</w:t>
      </w:r>
      <w:r w:rsidRPr="006C3BE6">
        <w:rPr>
          <w:rFonts w:hint="eastAsia"/>
        </w:rPr>
        <w:t>美元/个</w:t>
      </w:r>
      <w:r w:rsidRPr="006C3BE6">
        <w:rPr>
          <w:rFonts w:hint="eastAsia"/>
        </w:rPr>
        <w:t>）</w:t>
      </w:r>
      <w:bookmarkEnd w:id="114"/>
      <w:bookmarkEnd w:id="115"/>
    </w:p>
    <w:tbl>
      <w:tblPr>
        <w:tblStyle w:val="TableGrid80"/>
        <w:tblW w:w="4999" w:type="pct"/>
        <w:tblLook w:val="04A0"/>
      </w:tblPr>
      <w:tblGrid>
        <w:gridCol w:w="2756"/>
        <w:gridCol w:w="1208"/>
        <w:gridCol w:w="1206"/>
        <w:gridCol w:w="1204"/>
        <w:gridCol w:w="1204"/>
        <w:gridCol w:w="1196"/>
        <w:gridCol w:w="1192"/>
      </w:tblGrid>
      <w:tr w14:paraId="55237A7F" w14:textId="77777777" w:rsidTr="00017B34">
        <w:tblPrEx>
          <w:tblW w:w="4999" w:type="pct"/>
          <w:tblLook w:val="04A0"/>
        </w:tblPrEx>
        <w:trPr>
          <w:trHeight w:val="270"/>
        </w:trPr>
        <w:tc>
          <w:tcPr>
            <w:tcW w:w="1383" w:type="pct"/>
            <w:noWrap/>
            <w:hideMark/>
          </w:tcPr>
          <w:p w:rsidR="00137863" w:rsidRPr="00F844AB" w:rsidP="00017B34" w14:paraId="48E2F569" w14:textId="77777777">
            <w:pPr>
              <w:pStyle w:val="-02"/>
            </w:pPr>
            <w:r>
              <w:rPr>
                <w:rFonts w:hint="eastAsia"/>
              </w:rPr>
              <w:t>公司名称</w:t>
            </w:r>
          </w:p>
        </w:tc>
        <w:tc>
          <w:tcPr>
            <w:tcW w:w="606" w:type="pct"/>
          </w:tcPr>
          <w:p w:rsidR="00137863" w:rsidP="00017B34" w14:paraId="45ED90FD" w14:textId="77777777">
            <w:pPr>
              <w:pStyle w:val="-02"/>
            </w:pPr>
            <w:r>
              <w:rPr>
                <w:rFonts w:hint="eastAsia"/>
              </w:rPr>
              <w:t>2019</w:t>
            </w:r>
          </w:p>
        </w:tc>
        <w:tc>
          <w:tcPr>
            <w:tcW w:w="605" w:type="pct"/>
          </w:tcPr>
          <w:p w:rsidR="00137863" w:rsidP="00017B34" w14:paraId="45E01D91" w14:textId="77777777">
            <w:pPr>
              <w:pStyle w:val="-02"/>
            </w:pPr>
            <w:r>
              <w:rPr>
                <w:rFonts w:hint="eastAsia"/>
              </w:rPr>
              <w:t>2020</w:t>
            </w:r>
          </w:p>
        </w:tc>
        <w:tc>
          <w:tcPr>
            <w:tcW w:w="604" w:type="pct"/>
            <w:noWrap/>
            <w:hideMark/>
          </w:tcPr>
          <w:p w:rsidR="00137863" w:rsidRPr="00F844AB" w:rsidP="00017B34" w14:paraId="41DB0D7B" w14:textId="77777777">
            <w:pPr>
              <w:pStyle w:val="-02"/>
            </w:pPr>
            <w:r>
              <w:rPr>
                <w:rFonts w:hint="eastAsia"/>
              </w:rPr>
              <w:t>202</w:t>
            </w:r>
            <w:r>
              <w:t>1</w:t>
            </w:r>
          </w:p>
        </w:tc>
        <w:tc>
          <w:tcPr>
            <w:tcW w:w="604" w:type="pct"/>
            <w:noWrap/>
            <w:hideMark/>
          </w:tcPr>
          <w:p w:rsidR="00137863" w:rsidRPr="00F844AB" w:rsidP="00017B34" w14:paraId="0BA0FE4E" w14:textId="77777777">
            <w:pPr>
              <w:pStyle w:val="-02"/>
            </w:pPr>
            <w:r>
              <w:rPr>
                <w:rFonts w:hint="eastAsia"/>
              </w:rPr>
              <w:t>202</w:t>
            </w:r>
            <w:r>
              <w:t>2</w:t>
            </w:r>
          </w:p>
        </w:tc>
        <w:tc>
          <w:tcPr>
            <w:tcW w:w="600" w:type="pct"/>
          </w:tcPr>
          <w:p w:rsidR="00137863" w:rsidP="00017B34" w14:paraId="3A48A8EA" w14:textId="77777777">
            <w:pPr>
              <w:pStyle w:val="-02"/>
            </w:pPr>
            <w:r>
              <w:rPr>
                <w:rFonts w:hint="eastAsia"/>
              </w:rPr>
              <w:t>202</w:t>
            </w:r>
            <w:r>
              <w:t>3</w:t>
            </w:r>
          </w:p>
        </w:tc>
        <w:tc>
          <w:tcPr>
            <w:tcW w:w="599" w:type="pct"/>
          </w:tcPr>
          <w:p w:rsidR="00137863" w:rsidP="00017B34" w14:paraId="1084E3CA" w14:textId="77777777">
            <w:pPr>
              <w:pStyle w:val="-02"/>
            </w:pPr>
            <w:r>
              <w:rPr>
                <w:rFonts w:hint="eastAsia"/>
              </w:rPr>
              <w:t>202</w:t>
            </w:r>
            <w:r>
              <w:t>4</w:t>
            </w:r>
          </w:p>
        </w:tc>
      </w:tr>
      <w:tr w14:paraId="6AB93539" w14:textId="77777777" w:rsidTr="00017B34">
        <w:tblPrEx>
          <w:tblW w:w="4999" w:type="pct"/>
          <w:tblLook w:val="04A0"/>
        </w:tblPrEx>
        <w:trPr>
          <w:trHeight w:val="270"/>
        </w:trPr>
        <w:tc>
          <w:tcPr>
            <w:tcW w:w="1383" w:type="pct"/>
            <w:noWrap/>
            <w:hideMark/>
          </w:tcPr>
          <w:p w:rsidR="00137863" w:rsidRPr="009D02FC" w:rsidP="00017B34" w14:paraId="4D1F4A3B" w14:textId="77777777">
            <w:pPr>
              <w:pStyle w:val="-02"/>
            </w:pPr>
            <w:r w:rsidRPr="009D02FC">
              <w:t>Zenner</w:t>
            </w:r>
          </w:p>
        </w:tc>
        <w:tc>
          <w:tcPr>
            <w:tcW w:w="606" w:type="pct"/>
          </w:tcPr>
          <w:p w:rsidR="00137863" w:rsidRPr="008E6510" w:rsidP="00017B34" w14:paraId="446F8915" w14:textId="77777777">
            <w:pPr>
              <w:pStyle w:val="-02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5" w:type="pct"/>
          </w:tcPr>
          <w:p w:rsidR="00137863" w:rsidRPr="008E6510" w:rsidP="00017B34" w14:paraId="05EAC7B2" w14:textId="77777777">
            <w:pPr>
              <w:pStyle w:val="-02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:rsidR="00137863" w:rsidP="00017B34" w14:paraId="1AFB9BB5" w14:textId="77777777">
            <w:pPr>
              <w:pStyle w:val="-02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:rsidR="00137863" w:rsidP="00017B34" w14:paraId="41913064" w14:textId="77777777">
            <w:pPr>
              <w:pStyle w:val="-02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0" w:type="pct"/>
          </w:tcPr>
          <w:p w:rsidR="00137863" w:rsidP="00017B34" w14:paraId="79FA4AA9" w14:textId="77777777">
            <w:pPr>
              <w:pStyle w:val="-02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599" w:type="pct"/>
          </w:tcPr>
          <w:p w:rsidR="00137863" w:rsidRPr="008E6510" w:rsidP="00017B34" w14:paraId="120F2989" w14:textId="77777777">
            <w:pPr>
              <w:pStyle w:val="-02"/>
            </w:pPr>
            <w:r w:rsidRPr="00FB79D1">
              <w:rPr>
                <w:rFonts w:hint="eastAsia"/>
              </w:rPr>
              <w:t>XX</w:t>
            </w:r>
          </w:p>
        </w:tc>
      </w:tr>
      <w:tr w14:paraId="3C2F8B70" w14:textId="77777777" w:rsidTr="00017B34">
        <w:tblPrEx>
          <w:tblW w:w="4999" w:type="pct"/>
          <w:tblLook w:val="04A0"/>
        </w:tblPrEx>
        <w:trPr>
          <w:trHeight w:val="270"/>
        </w:trPr>
        <w:tc>
          <w:tcPr>
            <w:tcW w:w="1383" w:type="pct"/>
            <w:noWrap/>
            <w:hideMark/>
          </w:tcPr>
          <w:p w:rsidR="00137863" w:rsidRPr="009D02FC" w:rsidP="00017B34" w14:paraId="5E3BBE59" w14:textId="77777777">
            <w:pPr>
              <w:pStyle w:val="-02"/>
            </w:pPr>
            <w:r w:rsidRPr="009D02FC">
              <w:t>Ista</w:t>
            </w:r>
          </w:p>
        </w:tc>
        <w:tc>
          <w:tcPr>
            <w:tcW w:w="606" w:type="pct"/>
          </w:tcPr>
          <w:p w:rsidR="00137863" w:rsidRPr="008E6510" w:rsidP="00017B34" w14:paraId="350232BA" w14:textId="77777777">
            <w:pPr>
              <w:pStyle w:val="-02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5" w:type="pct"/>
          </w:tcPr>
          <w:p w:rsidR="00137863" w:rsidRPr="008E6510" w:rsidP="00017B34" w14:paraId="3060CD9B" w14:textId="77777777">
            <w:pPr>
              <w:pStyle w:val="-02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:rsidR="00137863" w:rsidP="00017B34" w14:paraId="0CBC8A74" w14:textId="77777777">
            <w:pPr>
              <w:pStyle w:val="-02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:rsidR="00137863" w:rsidP="00017B34" w14:paraId="38184122" w14:textId="77777777">
            <w:pPr>
              <w:pStyle w:val="-02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0" w:type="pct"/>
          </w:tcPr>
          <w:p w:rsidR="00137863" w:rsidP="00017B34" w14:paraId="158789A6" w14:textId="77777777">
            <w:pPr>
              <w:pStyle w:val="-02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599" w:type="pct"/>
          </w:tcPr>
          <w:p w:rsidR="00137863" w:rsidRPr="008E6510" w:rsidP="00017B34" w14:paraId="0BB8660C" w14:textId="77777777">
            <w:pPr>
              <w:pStyle w:val="-02"/>
            </w:pPr>
            <w:r w:rsidRPr="00FB79D1">
              <w:rPr>
                <w:rFonts w:hint="eastAsia"/>
              </w:rPr>
              <w:t>XX</w:t>
            </w:r>
          </w:p>
        </w:tc>
      </w:tr>
      <w:tr w14:paraId="1568CE7C" w14:textId="77777777" w:rsidTr="00017B34">
        <w:tblPrEx>
          <w:tblW w:w="4999" w:type="pct"/>
          <w:tblLook w:val="04A0"/>
        </w:tblPrEx>
        <w:trPr>
          <w:trHeight w:val="270"/>
        </w:trPr>
        <w:tc>
          <w:tcPr>
            <w:tcW w:w="1383" w:type="pct"/>
            <w:noWrap/>
            <w:hideMark/>
          </w:tcPr>
          <w:p w:rsidR="00137863" w:rsidRPr="009D02FC" w:rsidP="00017B34" w14:paraId="0705208E" w14:textId="77777777">
            <w:pPr>
              <w:pStyle w:val="-02"/>
            </w:pPr>
            <w:r w:rsidRPr="009D02FC">
              <w:t>Techem</w:t>
            </w:r>
          </w:p>
        </w:tc>
        <w:tc>
          <w:tcPr>
            <w:tcW w:w="606" w:type="pct"/>
          </w:tcPr>
          <w:p w:rsidR="00137863" w:rsidRPr="008E6510" w:rsidP="00017B34" w14:paraId="6ABEAB65" w14:textId="77777777">
            <w:pPr>
              <w:pStyle w:val="-02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5" w:type="pct"/>
          </w:tcPr>
          <w:p w:rsidR="00137863" w:rsidRPr="008E6510" w:rsidP="00017B34" w14:paraId="2FC22A4B" w14:textId="77777777">
            <w:pPr>
              <w:pStyle w:val="-02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:rsidR="00137863" w:rsidP="00017B34" w14:paraId="46DD489A" w14:textId="77777777">
            <w:pPr>
              <w:pStyle w:val="-02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:rsidR="00137863" w:rsidP="00017B34" w14:paraId="32370F1E" w14:textId="77777777">
            <w:pPr>
              <w:pStyle w:val="-02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0" w:type="pct"/>
          </w:tcPr>
          <w:p w:rsidR="00137863" w:rsidP="00017B34" w14:paraId="054BBD35" w14:textId="77777777">
            <w:pPr>
              <w:pStyle w:val="-02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599" w:type="pct"/>
          </w:tcPr>
          <w:p w:rsidR="00137863" w:rsidRPr="008E6510" w:rsidP="00017B34" w14:paraId="45A63C6C" w14:textId="77777777">
            <w:pPr>
              <w:pStyle w:val="-02"/>
            </w:pPr>
            <w:r w:rsidRPr="00FB79D1">
              <w:rPr>
                <w:rFonts w:hint="eastAsia"/>
              </w:rPr>
              <w:t>XX</w:t>
            </w:r>
          </w:p>
        </w:tc>
      </w:tr>
      <w:tr w14:paraId="2873E971" w14:textId="77777777" w:rsidTr="00017B34">
        <w:tblPrEx>
          <w:tblW w:w="4999" w:type="pct"/>
          <w:tblLook w:val="04A0"/>
        </w:tblPrEx>
        <w:trPr>
          <w:trHeight w:val="270"/>
        </w:trPr>
        <w:tc>
          <w:tcPr>
            <w:tcW w:w="1383" w:type="pct"/>
            <w:noWrap/>
            <w:hideMark/>
          </w:tcPr>
          <w:p w:rsidR="00137863" w:rsidRPr="009D02FC" w:rsidP="00017B34" w14:paraId="70C616F4" w14:textId="77777777">
            <w:pPr>
              <w:pStyle w:val="-02"/>
            </w:pPr>
            <w:r w:rsidRPr="009D02FC">
              <w:t>Siemens</w:t>
            </w:r>
          </w:p>
        </w:tc>
        <w:tc>
          <w:tcPr>
            <w:tcW w:w="606" w:type="pct"/>
          </w:tcPr>
          <w:p w:rsidR="00137863" w:rsidRPr="008E6510" w:rsidP="00017B34" w14:paraId="7A6B7969" w14:textId="77777777">
            <w:pPr>
              <w:pStyle w:val="-02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5" w:type="pct"/>
          </w:tcPr>
          <w:p w:rsidR="00137863" w:rsidRPr="008E6510" w:rsidP="00017B34" w14:paraId="081DAB35" w14:textId="77777777">
            <w:pPr>
              <w:pStyle w:val="-02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:rsidR="00137863" w:rsidP="00017B34" w14:paraId="753DBFAE" w14:textId="77777777">
            <w:pPr>
              <w:pStyle w:val="-02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:rsidR="00137863" w:rsidP="00017B34" w14:paraId="5CEF7596" w14:textId="77777777">
            <w:pPr>
              <w:pStyle w:val="-02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0" w:type="pct"/>
          </w:tcPr>
          <w:p w:rsidR="00137863" w:rsidP="00017B34" w14:paraId="697EF39A" w14:textId="77777777">
            <w:pPr>
              <w:pStyle w:val="-02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599" w:type="pct"/>
          </w:tcPr>
          <w:p w:rsidR="00137863" w:rsidRPr="008E6510" w:rsidP="00017B34" w14:paraId="46543B4E" w14:textId="77777777">
            <w:pPr>
              <w:pStyle w:val="-02"/>
            </w:pPr>
            <w:r w:rsidRPr="00FB79D1">
              <w:rPr>
                <w:rFonts w:hint="eastAsia"/>
              </w:rPr>
              <w:t>XX</w:t>
            </w:r>
          </w:p>
        </w:tc>
      </w:tr>
      <w:tr w14:paraId="2EF0E536" w14:textId="77777777" w:rsidTr="00017B34">
        <w:tblPrEx>
          <w:tblW w:w="4999" w:type="pct"/>
          <w:tblLook w:val="04A0"/>
        </w:tblPrEx>
        <w:trPr>
          <w:trHeight w:val="270"/>
        </w:trPr>
        <w:tc>
          <w:tcPr>
            <w:tcW w:w="1383" w:type="pct"/>
            <w:noWrap/>
          </w:tcPr>
          <w:p w:rsidR="00137863" w:rsidRPr="009D02FC" w:rsidP="00017B34" w14:paraId="01CF602F" w14:textId="77777777">
            <w:pPr>
              <w:pStyle w:val="-02"/>
            </w:pPr>
            <w:r w:rsidRPr="009D02FC">
              <w:t>Engelmnn</w:t>
            </w:r>
          </w:p>
        </w:tc>
        <w:tc>
          <w:tcPr>
            <w:tcW w:w="606" w:type="pct"/>
          </w:tcPr>
          <w:p w:rsidR="00137863" w:rsidRPr="008E6510" w:rsidP="00017B34" w14:paraId="0BA98D2C" w14:textId="77777777">
            <w:pPr>
              <w:pStyle w:val="-02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5" w:type="pct"/>
          </w:tcPr>
          <w:p w:rsidR="00137863" w:rsidRPr="008E6510" w:rsidP="00017B34" w14:paraId="029976E8" w14:textId="77777777">
            <w:pPr>
              <w:pStyle w:val="-02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:rsidR="00137863" w:rsidP="00017B34" w14:paraId="547342F1" w14:textId="77777777">
            <w:pPr>
              <w:pStyle w:val="-02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:rsidR="00137863" w:rsidP="00017B34" w14:paraId="64DBE9A0" w14:textId="77777777">
            <w:pPr>
              <w:pStyle w:val="-02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0" w:type="pct"/>
          </w:tcPr>
          <w:p w:rsidR="00137863" w:rsidP="00017B34" w14:paraId="639E9369" w14:textId="77777777">
            <w:pPr>
              <w:pStyle w:val="-02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599" w:type="pct"/>
          </w:tcPr>
          <w:p w:rsidR="00137863" w:rsidRPr="008E6510" w:rsidP="00017B34" w14:paraId="558A1FC0" w14:textId="77777777">
            <w:pPr>
              <w:pStyle w:val="-02"/>
            </w:pPr>
            <w:r w:rsidRPr="00FB79D1">
              <w:rPr>
                <w:rFonts w:hint="eastAsia"/>
              </w:rPr>
              <w:t>XX</w:t>
            </w:r>
          </w:p>
        </w:tc>
      </w:tr>
      <w:tr w14:paraId="16EB1851" w14:textId="77777777" w:rsidTr="00017B34">
        <w:tblPrEx>
          <w:tblW w:w="4999" w:type="pct"/>
          <w:tblLook w:val="04A0"/>
        </w:tblPrEx>
        <w:trPr>
          <w:trHeight w:val="270"/>
        </w:trPr>
        <w:tc>
          <w:tcPr>
            <w:tcW w:w="1383" w:type="pct"/>
            <w:noWrap/>
          </w:tcPr>
          <w:p w:rsidR="00137863" w:rsidRPr="009D02FC" w:rsidP="00017B34" w14:paraId="6A962800" w14:textId="77777777">
            <w:pPr>
              <w:pStyle w:val="-02"/>
            </w:pPr>
            <w:r w:rsidRPr="009D02FC">
              <w:t>Te-sa s.r.l.</w:t>
            </w:r>
          </w:p>
        </w:tc>
        <w:tc>
          <w:tcPr>
            <w:tcW w:w="606" w:type="pct"/>
          </w:tcPr>
          <w:p w:rsidR="00137863" w:rsidRPr="008E6510" w:rsidP="00017B34" w14:paraId="1D896A9C" w14:textId="77777777">
            <w:pPr>
              <w:pStyle w:val="-02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5" w:type="pct"/>
          </w:tcPr>
          <w:p w:rsidR="00137863" w:rsidRPr="008E6510" w:rsidP="00017B34" w14:paraId="3BCB97A6" w14:textId="77777777">
            <w:pPr>
              <w:pStyle w:val="-02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:rsidR="00137863" w:rsidP="00017B34" w14:paraId="0C857EE5" w14:textId="77777777">
            <w:pPr>
              <w:pStyle w:val="-02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:rsidR="00137863" w:rsidP="00017B34" w14:paraId="7861C485" w14:textId="77777777">
            <w:pPr>
              <w:pStyle w:val="-02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0" w:type="pct"/>
          </w:tcPr>
          <w:p w:rsidR="00137863" w:rsidP="00017B34" w14:paraId="59BD1E65" w14:textId="77777777">
            <w:pPr>
              <w:pStyle w:val="-02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599" w:type="pct"/>
          </w:tcPr>
          <w:p w:rsidR="00137863" w:rsidRPr="008E6510" w:rsidP="00017B34" w14:paraId="4744011A" w14:textId="77777777">
            <w:pPr>
              <w:pStyle w:val="-02"/>
            </w:pPr>
            <w:r w:rsidRPr="00FB79D1">
              <w:rPr>
                <w:rFonts w:hint="eastAsia"/>
              </w:rPr>
              <w:t>XX</w:t>
            </w:r>
          </w:p>
        </w:tc>
      </w:tr>
      <w:tr w14:paraId="58EAAA0D" w14:textId="77777777" w:rsidTr="00017B34">
        <w:tblPrEx>
          <w:tblW w:w="4999" w:type="pct"/>
          <w:tblLook w:val="04A0"/>
        </w:tblPrEx>
        <w:trPr>
          <w:trHeight w:val="270"/>
        </w:trPr>
        <w:tc>
          <w:tcPr>
            <w:tcW w:w="1383" w:type="pct"/>
            <w:noWrap/>
          </w:tcPr>
          <w:p w:rsidR="00137863" w:rsidRPr="009D02FC" w:rsidP="00017B34" w14:paraId="5410950B" w14:textId="77777777">
            <w:pPr>
              <w:pStyle w:val="-02"/>
            </w:pPr>
            <w:r w:rsidRPr="009D02FC">
              <w:t>Itron</w:t>
            </w:r>
          </w:p>
        </w:tc>
        <w:tc>
          <w:tcPr>
            <w:tcW w:w="606" w:type="pct"/>
          </w:tcPr>
          <w:p w:rsidR="00137863" w:rsidRPr="008E6510" w:rsidP="00017B34" w14:paraId="1B32BAFD" w14:textId="77777777">
            <w:pPr>
              <w:pStyle w:val="-02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5" w:type="pct"/>
          </w:tcPr>
          <w:p w:rsidR="00137863" w:rsidRPr="008E6510" w:rsidP="00017B34" w14:paraId="043C3649" w14:textId="77777777">
            <w:pPr>
              <w:pStyle w:val="-02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:rsidR="00137863" w:rsidP="00017B34" w14:paraId="14FB2EBE" w14:textId="77777777">
            <w:pPr>
              <w:pStyle w:val="-02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:rsidR="00137863" w:rsidP="00017B34" w14:paraId="033CE68D" w14:textId="77777777">
            <w:pPr>
              <w:pStyle w:val="-02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0" w:type="pct"/>
          </w:tcPr>
          <w:p w:rsidR="00137863" w:rsidP="00017B34" w14:paraId="52655330" w14:textId="77777777">
            <w:pPr>
              <w:pStyle w:val="-02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599" w:type="pct"/>
          </w:tcPr>
          <w:p w:rsidR="00137863" w:rsidRPr="008E6510" w:rsidP="00017B34" w14:paraId="1435397A" w14:textId="77777777">
            <w:pPr>
              <w:pStyle w:val="-02"/>
            </w:pPr>
            <w:r w:rsidRPr="00FB79D1">
              <w:rPr>
                <w:rFonts w:hint="eastAsia"/>
              </w:rPr>
              <w:t>XX</w:t>
            </w:r>
          </w:p>
        </w:tc>
      </w:tr>
      <w:tr w14:paraId="79134AEA" w14:textId="77777777" w:rsidTr="00017B34">
        <w:tblPrEx>
          <w:tblW w:w="4999" w:type="pct"/>
          <w:tblLook w:val="04A0"/>
        </w:tblPrEx>
        <w:trPr>
          <w:trHeight w:val="270"/>
        </w:trPr>
        <w:tc>
          <w:tcPr>
            <w:tcW w:w="1383" w:type="pct"/>
            <w:noWrap/>
          </w:tcPr>
          <w:p w:rsidR="00137863" w:rsidRPr="009D02FC" w:rsidP="00017B34" w14:paraId="3D8A9F6C" w14:textId="77777777">
            <w:pPr>
              <w:pStyle w:val="-02"/>
            </w:pPr>
            <w:r w:rsidRPr="009D02FC">
              <w:t>Sontex</w:t>
            </w:r>
          </w:p>
        </w:tc>
        <w:tc>
          <w:tcPr>
            <w:tcW w:w="606" w:type="pct"/>
          </w:tcPr>
          <w:p w:rsidR="00137863" w:rsidRPr="008E6510" w:rsidP="00017B34" w14:paraId="0A12BEE4" w14:textId="77777777">
            <w:pPr>
              <w:pStyle w:val="-02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5" w:type="pct"/>
          </w:tcPr>
          <w:p w:rsidR="00137863" w:rsidRPr="008E6510" w:rsidP="00017B34" w14:paraId="0C31DD57" w14:textId="77777777">
            <w:pPr>
              <w:pStyle w:val="-02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:rsidR="00137863" w:rsidP="00017B34" w14:paraId="70050208" w14:textId="77777777">
            <w:pPr>
              <w:pStyle w:val="-02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:rsidR="00137863" w:rsidP="00017B34" w14:paraId="0B2BEC4A" w14:textId="77777777">
            <w:pPr>
              <w:pStyle w:val="-02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0" w:type="pct"/>
          </w:tcPr>
          <w:p w:rsidR="00137863" w:rsidP="00017B34" w14:paraId="2F147E45" w14:textId="77777777">
            <w:pPr>
              <w:pStyle w:val="-02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599" w:type="pct"/>
          </w:tcPr>
          <w:p w:rsidR="00137863" w:rsidRPr="008E6510" w:rsidP="00017B34" w14:paraId="403CD710" w14:textId="77777777">
            <w:pPr>
              <w:pStyle w:val="-02"/>
            </w:pPr>
            <w:r w:rsidRPr="00FB79D1">
              <w:rPr>
                <w:rFonts w:hint="eastAsia"/>
              </w:rPr>
              <w:t>XX</w:t>
            </w:r>
          </w:p>
        </w:tc>
      </w:tr>
      <w:tr w14:paraId="70F470E3" w14:textId="77777777" w:rsidTr="00017B34">
        <w:tblPrEx>
          <w:tblW w:w="4999" w:type="pct"/>
          <w:tblLook w:val="04A0"/>
        </w:tblPrEx>
        <w:trPr>
          <w:trHeight w:val="270"/>
        </w:trPr>
        <w:tc>
          <w:tcPr>
            <w:tcW w:w="1383" w:type="pct"/>
            <w:noWrap/>
          </w:tcPr>
          <w:p w:rsidR="00137863" w:rsidRPr="009D02FC" w:rsidP="00017B34" w14:paraId="742DE57F" w14:textId="77777777">
            <w:pPr>
              <w:pStyle w:val="-02"/>
            </w:pPr>
            <w:r w:rsidRPr="009D02FC">
              <w:t>乐业节能</w:t>
            </w:r>
          </w:p>
        </w:tc>
        <w:tc>
          <w:tcPr>
            <w:tcW w:w="606" w:type="pct"/>
          </w:tcPr>
          <w:p w:rsidR="00137863" w:rsidRPr="008E6510" w:rsidP="00017B34" w14:paraId="1FCA27F5" w14:textId="77777777">
            <w:pPr>
              <w:pStyle w:val="-02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5" w:type="pct"/>
          </w:tcPr>
          <w:p w:rsidR="00137863" w:rsidRPr="008E6510" w:rsidP="00017B34" w14:paraId="296BAE5C" w14:textId="77777777">
            <w:pPr>
              <w:pStyle w:val="-02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:rsidR="00137863" w:rsidP="00017B34" w14:paraId="230CB66C" w14:textId="77777777">
            <w:pPr>
              <w:pStyle w:val="-02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:rsidR="00137863" w:rsidP="00017B34" w14:paraId="39BF0D26" w14:textId="77777777">
            <w:pPr>
              <w:pStyle w:val="-02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0" w:type="pct"/>
          </w:tcPr>
          <w:p w:rsidR="00137863" w:rsidP="00017B34" w14:paraId="71684251" w14:textId="77777777">
            <w:pPr>
              <w:pStyle w:val="-02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599" w:type="pct"/>
          </w:tcPr>
          <w:p w:rsidR="00137863" w:rsidRPr="008E6510" w:rsidP="00017B34" w14:paraId="47C5239F" w14:textId="77777777">
            <w:pPr>
              <w:pStyle w:val="-02"/>
            </w:pPr>
            <w:r w:rsidRPr="00FB79D1">
              <w:rPr>
                <w:rFonts w:hint="eastAsia"/>
              </w:rPr>
              <w:t>XX</w:t>
            </w:r>
          </w:p>
        </w:tc>
      </w:tr>
      <w:tr w14:paraId="263CF356" w14:textId="77777777" w:rsidTr="00017B34">
        <w:tblPrEx>
          <w:tblW w:w="4999" w:type="pct"/>
          <w:tblLook w:val="04A0"/>
        </w:tblPrEx>
        <w:trPr>
          <w:trHeight w:val="270"/>
        </w:trPr>
        <w:tc>
          <w:tcPr>
            <w:tcW w:w="1383" w:type="pct"/>
            <w:tcBorders>
              <w:bottom w:val="single" w:sz="0" w:space="0" w:color="4F81BD"/>
            </w:tcBorders>
            <w:noWrap/>
          </w:tcPr>
          <w:p w:rsidR="00137863" w:rsidRPr="009D02FC" w:rsidP="00017B34" w14:paraId="6C9BA468" w14:textId="77777777">
            <w:pPr>
              <w:pStyle w:val="-02"/>
            </w:pPr>
            <w:r w:rsidRPr="009D02FC">
              <w:t>Brunata</w:t>
            </w:r>
          </w:p>
        </w:tc>
        <w:tc>
          <w:tcPr>
            <w:tcW w:w="606" w:type="pct"/>
          </w:tcPr>
          <w:p w:rsidR="00137863" w:rsidRPr="008E6510" w:rsidP="00017B34" w14:paraId="29FF1202" w14:textId="77777777">
            <w:pPr>
              <w:pStyle w:val="-02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5" w:type="pct"/>
          </w:tcPr>
          <w:p w:rsidR="00137863" w:rsidRPr="008E6510" w:rsidP="00017B34" w14:paraId="3962A3AE" w14:textId="77777777">
            <w:pPr>
              <w:pStyle w:val="-02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:rsidR="00137863" w:rsidP="00017B34" w14:paraId="182E1298" w14:textId="77777777">
            <w:pPr>
              <w:pStyle w:val="-02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:rsidR="00137863" w:rsidP="00017B34" w14:paraId="3A8C1687" w14:textId="77777777">
            <w:pPr>
              <w:pStyle w:val="-02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0" w:type="pct"/>
          </w:tcPr>
          <w:p w:rsidR="00137863" w:rsidP="00017B34" w14:paraId="2B49138F" w14:textId="77777777">
            <w:pPr>
              <w:pStyle w:val="-02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599" w:type="pct"/>
          </w:tcPr>
          <w:p w:rsidR="00137863" w:rsidRPr="008E6510" w:rsidP="00017B34" w14:paraId="2D80189C" w14:textId="77777777">
            <w:pPr>
              <w:pStyle w:val="-02"/>
            </w:pPr>
            <w:r w:rsidRPr="00FB79D1">
              <w:rPr>
                <w:rFonts w:hint="eastAsia"/>
              </w:rPr>
              <w:t>XX</w:t>
            </w:r>
          </w:p>
        </w:tc>
      </w:tr>
    </w:tbl>
    <w:p w:rsidR="00137863" w:rsidP="00137863" w14:paraId="3DEC029A" w14:textId="77777777">
      <w:pPr>
        <w:pStyle w:val="Source00"/>
      </w:pPr>
      <w:r>
        <w:rPr>
          <w:rFonts w:hint="eastAsia"/>
        </w:rPr>
        <w:t>资料来源：上述企业，第三方资料、新闻报道、业内专家采访及</w:t>
      </w:r>
      <w:r>
        <w:rPr>
          <w:rFonts w:hint="eastAsia"/>
        </w:rPr>
        <w:t>QYResearch</w:t>
      </w:r>
      <w:r>
        <w:rPr>
          <w:rFonts w:hint="eastAsia"/>
        </w:rPr>
        <w:t>整理研究，</w:t>
      </w:r>
      <w:r>
        <w:rPr>
          <w:rFonts w:hint="eastAsia"/>
        </w:rPr>
        <w:t>2024</w:t>
      </w:r>
      <w:r>
        <w:rPr>
          <w:rFonts w:hint="eastAsia"/>
        </w:rPr>
        <w:t>年</w:t>
      </w:r>
    </w:p>
    <w:p w:rsidR="00137863" w:rsidP="00137863" w14:paraId="222CA311" w14:textId="77777777">
      <w:pPr>
        <w:pStyle w:val="Heading20"/>
      </w:pPr>
      <w:bookmarkStart w:id="116" w:name="_Toc24028313"/>
      <w:bookmarkStart w:id="117" w:name="_Toc24972503"/>
      <w:bookmarkStart w:id="118" w:name="_Toc121583904"/>
      <w:bookmarkStart w:id="119" w:name="_Toc166762028"/>
      <w:r w:rsidRPr="00B728C9">
        <w:t>电子式热分配表(HCA)</w:t>
      </w:r>
      <w:r>
        <w:rPr>
          <w:rFonts w:hint="eastAsia"/>
        </w:rPr>
        <w:t>行业集中度、竞争程度分析</w:t>
      </w:r>
      <w:bookmarkEnd w:id="116"/>
      <w:bookmarkEnd w:id="117"/>
      <w:bookmarkEnd w:id="118"/>
      <w:bookmarkEnd w:id="119"/>
    </w:p>
    <w:p w:rsidR="00137863" w:rsidRPr="005868B1" w:rsidP="00137863" w14:paraId="1B669F95" w14:textId="13A0BBEE">
      <w:pPr>
        <w:pStyle w:val="FigureStyle00"/>
      </w:pPr>
      <w:bookmarkStart w:id="120" w:name="_Toc121583611"/>
      <w:bookmarkStart w:id="121" w:name="_Toc166761938"/>
      <w:bookmarkStart w:id="122" w:name="_Hlk76049547"/>
      <w:r w:rsidRPr="005868B1">
        <w:rPr>
          <w:rFonts w:hint="eastAsia"/>
        </w:rPr>
        <w:t>2023</w:t>
      </w:r>
      <w:r w:rsidRPr="005868B1">
        <w:rPr>
          <w:rFonts w:hint="eastAsia"/>
        </w:rPr>
        <w:t>年</w:t>
      </w:r>
      <w:r w:rsidR="001C34EF">
        <w:rPr>
          <w:rFonts w:hint="eastAsia"/>
        </w:rPr>
        <w:t>东南亚市场</w:t>
      </w:r>
      <w:r w:rsidRPr="005868B1">
        <w:rPr>
          <w:rFonts w:hint="eastAsia"/>
        </w:rPr>
        <w:t>前五大厂商</w:t>
      </w:r>
      <w:r w:rsidRPr="005868B1">
        <w:t>电子式热分配表(HCA)</w:t>
      </w:r>
      <w:r w:rsidRPr="005868B1">
        <w:rPr>
          <w:rFonts w:hint="eastAsia"/>
        </w:rPr>
        <w:t>市场份额</w:t>
      </w:r>
      <w:bookmarkEnd w:id="120"/>
      <w:bookmarkEnd w:id="121"/>
    </w:p>
    <w:bookmarkEnd w:id="122"/>
    <w:p w:rsidR="00137863" w:rsidRPr="00A96C6A" w:rsidP="00137863" w14:paraId="4B04CDC0" w14:textId="77777777">
      <w:pPr>
        <w:pStyle w:val="Normal0"/>
      </w:pPr>
      <w:r>
        <w:rPr>
          <w:noProof/>
        </w:rPr>
        <w:drawing>
          <wp:inline distT="0" distB="0" distL="0" distR="0">
            <wp:extent cx="6071190" cy="2879725"/>
            <wp:effectExtent l="0" t="0" r="6350" b="0"/>
            <wp:docPr id="459" name="图表 459">
              <a:extLst xmlns:a="http://schemas.openxmlformats.org/drawingml/2006/main">
                <a:ext xmlns:a="http://schemas.openxmlformats.org/drawingml/2006/main" uri="{FF2B5EF4-FFF2-40B4-BE49-F238E27FC236}">
                  <a16:creationId xmlns:a16="http://schemas.microsoft.com/office/drawing/2014/main" id="{FB9F2103-595F-4CBC-B10A-9D5DBC55F7F9}"/>
                </a:ext>
              </a:extLst>
            </wp:docPr>
            <wp:cNvGraphicFramePr/>
            <a:graphic xmlns:a="http://schemas.openxmlformats.org/drawingml/2006/main">
              <a:graphicData uri="http://schemas.openxmlformats.org/drawingml/2006/chart">
                <c:chart xmlns:c="http://schemas.openxmlformats.org/drawingml/2006/chart" xmlns:r="http://schemas.openxmlformats.org/officeDocument/2006/relationships" r:id="rId30"/>
              </a:graphicData>
            </a:graphic>
          </wp:inline>
        </w:drawing>
      </w:r>
    </w:p>
    <w:p w:rsidR="00137863" w:rsidP="00137863" w14:paraId="1256288D" w14:textId="77777777">
      <w:pPr>
        <w:pStyle w:val="Source00"/>
      </w:pPr>
      <w:r>
        <w:t>资料来源：上述企业、第三方资料、新闻报道、业内专家采访及</w:t>
      </w:r>
      <w:r>
        <w:t>QYResearch</w:t>
      </w:r>
      <w:r>
        <w:t>整理研究，</w:t>
      </w:r>
      <w:r>
        <w:t>2024</w:t>
      </w:r>
      <w:r>
        <w:t>年</w:t>
      </w:r>
    </w:p>
    <w:p w:rsidR="00BA69A4" w:rsidP="00BA69A4">
      <w:pPr>
        <w:pStyle w:val="Heading20"/>
      </w:pPr>
      <w:bookmarkStart w:id="123" w:name="_Toc166762029"/>
      <w:r>
        <w:rPr>
          <w:rFonts w:hint="eastAsia"/>
        </w:rPr>
        <w:t>东南亚本土厂商</w:t>
      </w:r>
      <w:r>
        <w:rPr>
          <w:rFonts w:hint="eastAsia"/>
        </w:rPr>
        <w:t>情况分析</w:t>
      </w:r>
      <w:bookmarkEnd w:id="123"/>
    </w:p>
    <w:p w:rsidR="003A3474" w:rsidP="003A3474">
      <w:pPr>
        <w:pStyle w:val="Heading20"/>
      </w:pPr>
      <w:bookmarkStart w:id="124" w:name="_Toc166747454"/>
      <w:bookmarkStart w:id="125" w:name="_Toc166762030"/>
      <w:r>
        <w:rPr>
          <w:rFonts w:hint="eastAsia"/>
        </w:rPr>
        <w:t>东南亚市场</w:t>
      </w:r>
      <w:r>
        <w:rPr>
          <w:rFonts w:hint="eastAsia"/>
        </w:rPr>
        <w:t>电子式热分配表(HCA)</w:t>
      </w:r>
      <w:r>
        <w:rPr>
          <w:rFonts w:hint="eastAsia"/>
        </w:rPr>
        <w:t>市场机会分析</w:t>
      </w:r>
      <w:bookmarkEnd w:id="124"/>
      <w:bookmarkEnd w:id="125"/>
    </w:p>
    <w:p w:rsidR="00C65C7F" w:rsidP="005D27C4">
      <w:pPr>
        <w:pStyle w:val="Heading20"/>
      </w:pPr>
      <w:r>
        <w:rPr>
          <w:rFonts w:hint="eastAsia"/>
        </w:rPr>
        <w:t>新品牌进入</w:t>
      </w:r>
      <w:r w:rsidR="001C34EF">
        <w:rPr>
          <w:rFonts w:hint="eastAsia"/>
        </w:rPr>
        <w:t>东南亚市场</w:t>
      </w:r>
      <w:r>
        <w:rPr>
          <w:rFonts w:hint="eastAsia"/>
        </w:rPr>
        <w:t>运营及</w:t>
      </w:r>
      <w:r w:rsidRPr="005D27C4">
        <w:rPr>
          <w:rFonts w:hint="eastAsia"/>
        </w:rPr>
        <w:t>本地化</w:t>
      </w:r>
      <w:r>
        <w:rPr>
          <w:rFonts w:hint="eastAsia"/>
        </w:rPr>
        <w:t>建议</w:t>
      </w:r>
    </w:p>
    <w:p w:rsidR="00394DD9" w:rsidP="005B5619">
      <w:pPr>
        <w:pStyle w:val="Heading20"/>
      </w:pPr>
      <w:r>
        <w:rPr>
          <w:rFonts w:hint="eastAsia"/>
        </w:rPr>
        <w:t>东南亚主要国家</w:t>
      </w:r>
      <w:r>
        <w:rPr>
          <w:rFonts w:hint="eastAsia"/>
        </w:rPr>
        <w:t>电子式热分配表(HCA)</w:t>
      </w:r>
      <w:r>
        <w:rPr>
          <w:rFonts w:hint="eastAsia"/>
        </w:rPr>
        <w:t>厂商分析</w:t>
      </w:r>
    </w:p>
    <w:p w:rsidR="00137863" w:rsidP="00137863" w14:paraId="0CA2BF65" w14:textId="77777777">
      <w:pPr>
        <w:pStyle w:val="Heading10"/>
        <w:rPr>
          <w:lang w:eastAsia="zh-CN"/>
        </w:rPr>
      </w:pPr>
      <w:bookmarkStart w:id="126" w:name="_Toc24028339"/>
      <w:bookmarkStart w:id="127" w:name="_Toc24972529"/>
      <w:bookmarkStart w:id="128" w:name="_Toc121583907"/>
      <w:bookmarkStart w:id="129" w:name="_Toc166762031"/>
      <w:r w:rsidRPr="00F74FCA">
        <w:rPr>
          <w:rFonts w:hint="eastAsia"/>
          <w:lang w:eastAsia="zh-CN"/>
        </w:rPr>
        <w:t>主要</w:t>
      </w:r>
      <w:bookmarkEnd w:id="126"/>
      <w:bookmarkEnd w:id="127"/>
      <w:r>
        <w:rPr>
          <w:rFonts w:hint="eastAsia"/>
          <w:lang w:eastAsia="zh-CN"/>
        </w:rPr>
        <w:t>企业简介</w:t>
      </w:r>
      <w:bookmarkEnd w:id="128"/>
      <w:bookmarkEnd w:id="129"/>
    </w:p>
    <w:p w:rsidR="00137863" w:rsidP="00137863">
      <w:pPr>
        <w:pStyle w:val="Heading20"/>
      </w:pPr>
      <w:bookmarkStart w:id="130" w:name="_Toc24028340"/>
      <w:bookmarkStart w:id="131" w:name="_Toc24972530"/>
      <w:bookmarkStart w:id="132" w:name="_Toc121583908"/>
      <w:bookmarkStart w:id="133" w:name="_Toc166762032"/>
      <w:r w:rsidRPr="00F74FCA">
        <w:rPr>
          <w:rFonts w:hint="eastAsia"/>
        </w:rPr>
        <w:t>Zenner</w:t>
      </w:r>
      <w:bookmarkEnd w:id="130"/>
      <w:bookmarkEnd w:id="131"/>
      <w:bookmarkEnd w:id="132"/>
      <w:bookmarkEnd w:id="133"/>
    </w:p>
    <w:p w:rsidR="00137863" w:rsidP="00137863" w14:paraId="78AFE423" w14:textId="77777777">
      <w:pPr>
        <w:pStyle w:val="Heading30"/>
      </w:pPr>
      <w:bookmarkStart w:id="134" w:name="_Toc24028341"/>
      <w:bookmarkStart w:id="135" w:name="_Toc24972531"/>
      <w:bookmarkStart w:id="136" w:name="_Toc121583909"/>
      <w:bookmarkStart w:id="137" w:name="_Toc166762033"/>
      <w:r>
        <w:rPr>
          <w:rFonts w:hint="eastAsia"/>
        </w:rPr>
        <w:t>Zenner</w:t>
      </w:r>
      <w:r>
        <w:rPr>
          <w:rFonts w:hint="eastAsia"/>
        </w:rPr>
        <w:t>基本信息、</w:t>
      </w:r>
      <w:bookmarkStart w:id="138" w:name="_Hlk28095203"/>
      <w:r>
        <w:rPr>
          <w:rFonts w:hint="eastAsia"/>
        </w:rPr>
        <w:t>电子式热分配表(HCA)</w:t>
      </w:r>
      <w:bookmarkEnd w:id="138"/>
      <w:r>
        <w:rPr>
          <w:rFonts w:hint="eastAsia"/>
        </w:rPr>
        <w:t>生产基地、总部、</w:t>
      </w:r>
      <w:r w:rsidRPr="00F74FCA">
        <w:rPr>
          <w:rFonts w:hint="eastAsia"/>
        </w:rPr>
        <w:t>竞争对手</w:t>
      </w:r>
      <w:r>
        <w:rPr>
          <w:rFonts w:hint="eastAsia"/>
        </w:rPr>
        <w:t>及市场地位</w:t>
      </w:r>
      <w:bookmarkEnd w:id="134"/>
      <w:bookmarkEnd w:id="135"/>
      <w:bookmarkEnd w:id="136"/>
      <w:bookmarkEnd w:id="137"/>
    </w:p>
    <w:p w:rsidR="00137863" w:rsidRPr="006C3BE6" w:rsidP="006C3BE6" w14:paraId="0ED004E9" w14:textId="77777777">
      <w:pPr>
        <w:pStyle w:val="TableStyle0"/>
        <w:ind w:left="252" w:right="-105"/>
      </w:pPr>
      <w:bookmarkStart w:id="139" w:name="_Toc24028962"/>
      <w:bookmarkStart w:id="140" w:name="_Toc26780083"/>
      <w:bookmarkStart w:id="141" w:name="_Toc121583637"/>
      <w:bookmarkStart w:id="142" w:name="_Toc166761954"/>
      <w:r w:rsidRPr="006C3BE6">
        <w:rPr>
          <w:rFonts w:hint="eastAsia"/>
        </w:rPr>
        <w:t>Zenner</w:t>
      </w:r>
      <w:r w:rsidRPr="006C3BE6">
        <w:t xml:space="preserve"> </w:t>
      </w:r>
      <w:r w:rsidRPr="006C3BE6">
        <w:rPr>
          <w:rFonts w:hint="eastAsia"/>
        </w:rPr>
        <w:t>电子式热分配表(HCA)</w:t>
      </w:r>
      <w:r w:rsidRPr="006C3BE6">
        <w:rPr>
          <w:rFonts w:hint="eastAsia"/>
        </w:rPr>
        <w:t>生产基地、总部、竞争对手及市场地位</w:t>
      </w:r>
      <w:bookmarkEnd w:id="139"/>
      <w:bookmarkEnd w:id="140"/>
      <w:bookmarkEnd w:id="141"/>
      <w:bookmarkEnd w:id="142"/>
    </w:p>
    <w:tbl>
      <w:tblPr>
        <w:tblStyle w:val="TableGrid80"/>
        <w:tblW w:w="5000" w:type="pct"/>
        <w:tblLook w:val="00A0"/>
      </w:tblPr>
      <w:tblGrid>
        <w:gridCol w:w="435"/>
        <w:gridCol w:w="1882"/>
        <w:gridCol w:w="7651"/>
      </w:tblGrid>
      <w:tr w14:paraId="7332FB8C" w14:textId="77777777" w:rsidTr="00C15D23">
        <w:tblPrEx>
          <w:tblW w:w="5000" w:type="pct"/>
          <w:tblLook w:val="00A0"/>
        </w:tblPrEx>
        <w:tc>
          <w:tcPr>
            <w:tcW w:w="218" w:type="pct"/>
          </w:tcPr>
          <w:p w:rsidR="00137863" w:rsidRPr="00B13A6A" w:rsidP="00C15D23" w14:paraId="5D590B3A" w14:textId="77777777">
            <w:pPr>
              <w:pStyle w:val="Normal0"/>
            </w:pPr>
            <w:r w:rsidRPr="00B13A6A">
              <w:t>#</w:t>
            </w:r>
          </w:p>
        </w:tc>
        <w:tc>
          <w:tcPr>
            <w:tcW w:w="944" w:type="pct"/>
          </w:tcPr>
          <w:p w:rsidR="00137863" w:rsidRPr="00C459E0" w:rsidP="00C15D23" w14:paraId="3C108CD5" w14:textId="77777777">
            <w:pPr>
              <w:pStyle w:val="Normal0"/>
            </w:pPr>
            <w:r>
              <w:rPr>
                <w:rFonts w:hint="eastAsia"/>
              </w:rPr>
              <w:t>项目</w:t>
            </w:r>
          </w:p>
        </w:tc>
        <w:tc>
          <w:tcPr>
            <w:tcW w:w="3838" w:type="pct"/>
          </w:tcPr>
          <w:p w:rsidR="00137863" w:rsidRPr="00B13A6A" w:rsidP="00C15D23" w14:paraId="61F79C45" w14:textId="77777777">
            <w:pPr>
              <w:pStyle w:val="Normal0"/>
            </w:pPr>
            <w:r>
              <w:rPr>
                <w:rFonts w:hint="eastAsia"/>
              </w:rPr>
              <w:t>描述</w:t>
            </w:r>
          </w:p>
        </w:tc>
      </w:tr>
      <w:tr w14:paraId="79FA7FE9" w14:textId="77777777" w:rsidTr="00C15D23">
        <w:tblPrEx>
          <w:tblW w:w="5000" w:type="pct"/>
          <w:tblLook w:val="00A0"/>
        </w:tblPrEx>
        <w:tc>
          <w:tcPr>
            <w:tcW w:w="218" w:type="pct"/>
          </w:tcPr>
          <w:p w:rsidR="00137863" w:rsidRPr="00B13A6A" w:rsidP="00C15D23" w14:paraId="05E92D10" w14:textId="77777777">
            <w:pPr>
              <w:pStyle w:val="Normal0"/>
            </w:pPr>
            <w:r w:rsidRPr="00B13A6A">
              <w:t>1</w:t>
            </w:r>
          </w:p>
        </w:tc>
        <w:tc>
          <w:tcPr>
            <w:tcW w:w="944" w:type="pct"/>
          </w:tcPr>
          <w:p w:rsidR="00137863" w:rsidRPr="00995307" w:rsidP="00C15D23" w14:paraId="5D727462" w14:textId="77777777">
            <w:pPr>
              <w:pStyle w:val="Normal0"/>
            </w:pPr>
            <w:r>
              <w:rPr>
                <w:rFonts w:hint="eastAsia"/>
              </w:rPr>
              <w:t>企业名称</w:t>
            </w:r>
          </w:p>
        </w:tc>
        <w:tc>
          <w:tcPr>
            <w:tcW w:w="3838" w:type="pct"/>
          </w:tcPr>
          <w:p w:rsidR="00137863" w:rsidRPr="00B13A6A" w:rsidP="00C15D23" w14:paraId="0AE7CEF0" w14:textId="77777777">
            <w:pPr>
              <w:pStyle w:val="Normal0"/>
              <w:rPr>
                <w:bCs/>
              </w:rPr>
            </w:pPr>
            <w:r w:rsidRPr="006A7FC5">
              <w:rPr>
                <w:bCs/>
              </w:rPr>
              <w:t>Zenner</w:t>
            </w:r>
          </w:p>
        </w:tc>
      </w:tr>
      <w:tr w14:paraId="179355CD" w14:textId="77777777" w:rsidTr="00C15D23">
        <w:tblPrEx>
          <w:tblW w:w="5000" w:type="pct"/>
          <w:tblLook w:val="00A0"/>
        </w:tblPrEx>
        <w:tc>
          <w:tcPr>
            <w:tcW w:w="218" w:type="pct"/>
          </w:tcPr>
          <w:p w:rsidR="00137863" w:rsidRPr="00B13A6A" w:rsidP="00C15D23" w14:paraId="1A0A0CBA" w14:textId="77777777">
            <w:pPr>
              <w:pStyle w:val="Normal0"/>
            </w:pPr>
            <w:r w:rsidRPr="00B13A6A">
              <w:t>2</w:t>
            </w:r>
          </w:p>
        </w:tc>
        <w:tc>
          <w:tcPr>
            <w:tcW w:w="944" w:type="pct"/>
          </w:tcPr>
          <w:p w:rsidR="00137863" w:rsidRPr="00995307" w:rsidP="00C15D23" w14:paraId="0E96F172" w14:textId="77777777">
            <w:pPr>
              <w:pStyle w:val="Normal0"/>
            </w:pPr>
            <w:r>
              <w:rPr>
                <w:rFonts w:hint="eastAsia"/>
              </w:rPr>
              <w:t>企业官网</w:t>
            </w:r>
          </w:p>
        </w:tc>
        <w:tc>
          <w:tcPr>
            <w:tcW w:w="3838" w:type="pct"/>
          </w:tcPr>
          <w:p w:rsidR="00137863" w:rsidRPr="00B13A6A" w:rsidP="00C15D23" w14:paraId="4FB96CE4" w14:textId="77777777">
            <w:pPr>
              <w:pStyle w:val="Normal0"/>
              <w:rPr>
                <w:bCs/>
              </w:rPr>
            </w:pPr>
          </w:p>
        </w:tc>
      </w:tr>
      <w:tr w14:paraId="5E9E255C" w14:textId="77777777" w:rsidTr="00C15D23">
        <w:tblPrEx>
          <w:tblW w:w="5000" w:type="pct"/>
          <w:tblLook w:val="00A0"/>
        </w:tblPrEx>
        <w:trPr>
          <w:trHeight w:val="279"/>
        </w:trPr>
        <w:tc>
          <w:tcPr>
            <w:tcW w:w="218" w:type="pct"/>
          </w:tcPr>
          <w:p w:rsidR="00137863" w:rsidRPr="00B13A6A" w:rsidP="00C15D23" w14:paraId="0A4F4D54" w14:textId="77777777">
            <w:pPr>
              <w:pStyle w:val="Normal0"/>
            </w:pPr>
            <w:r w:rsidRPr="00B13A6A">
              <w:t>3</w:t>
            </w:r>
          </w:p>
        </w:tc>
        <w:tc>
          <w:tcPr>
            <w:tcW w:w="944" w:type="pct"/>
          </w:tcPr>
          <w:p w:rsidR="00137863" w:rsidRPr="002E1D04" w:rsidP="00C15D23" w14:paraId="1F56374E" w14:textId="77777777">
            <w:pPr>
              <w:pStyle w:val="Normal0"/>
            </w:pPr>
            <w:r>
              <w:rPr>
                <w:rFonts w:hint="eastAsia"/>
              </w:rPr>
              <w:t>商业化生产日期</w:t>
            </w:r>
          </w:p>
        </w:tc>
        <w:tc>
          <w:tcPr>
            <w:tcW w:w="3838" w:type="pct"/>
          </w:tcPr>
          <w:p w:rsidR="00137863" w:rsidRPr="00B13A6A" w:rsidP="00C15D23" w14:paraId="4994701F" w14:textId="77777777">
            <w:pPr>
              <w:pStyle w:val="Normal0"/>
              <w:rPr>
                <w:bCs/>
              </w:rPr>
            </w:pPr>
          </w:p>
        </w:tc>
      </w:tr>
      <w:tr w14:paraId="0701BAD4" w14:textId="77777777" w:rsidTr="00C15D23">
        <w:tblPrEx>
          <w:tblW w:w="5000" w:type="pct"/>
          <w:tblLook w:val="00A0"/>
        </w:tblPrEx>
        <w:tc>
          <w:tcPr>
            <w:tcW w:w="218" w:type="pct"/>
          </w:tcPr>
          <w:p w:rsidR="00137863" w:rsidRPr="00B13A6A" w:rsidP="00C15D23" w14:paraId="740C1AED" w14:textId="77777777">
            <w:pPr>
              <w:pStyle w:val="Normal0"/>
            </w:pPr>
            <w:r w:rsidRPr="00B13A6A">
              <w:t>4</w:t>
            </w:r>
          </w:p>
        </w:tc>
        <w:tc>
          <w:tcPr>
            <w:tcW w:w="944" w:type="pct"/>
          </w:tcPr>
          <w:p w:rsidR="00137863" w:rsidRPr="0077236D" w:rsidP="00C15D23" w14:paraId="0F71F481" w14:textId="77777777">
            <w:pPr>
              <w:pStyle w:val="Normal0"/>
            </w:pPr>
            <w:r>
              <w:rPr>
                <w:rFonts w:hint="eastAsia"/>
              </w:rPr>
              <w:t>生产基地</w:t>
            </w:r>
          </w:p>
        </w:tc>
        <w:tc>
          <w:tcPr>
            <w:tcW w:w="3838" w:type="pct"/>
          </w:tcPr>
          <w:p w:rsidR="00137863" w:rsidRPr="00B13A6A" w:rsidP="00C15D23" w14:paraId="21BDBCD3" w14:textId="77777777">
            <w:pPr>
              <w:pStyle w:val="Normal0"/>
              <w:rPr>
                <w:bCs/>
              </w:rPr>
            </w:pPr>
          </w:p>
        </w:tc>
      </w:tr>
      <w:tr w14:paraId="5687E4F7" w14:textId="77777777" w:rsidTr="00C15D23">
        <w:tblPrEx>
          <w:tblW w:w="5000" w:type="pct"/>
          <w:tblLook w:val="00A0"/>
        </w:tblPrEx>
        <w:tc>
          <w:tcPr>
            <w:tcW w:w="218" w:type="pct"/>
          </w:tcPr>
          <w:p w:rsidR="00137863" w:rsidRPr="00B13A6A" w:rsidP="00C15D23" w14:paraId="68691820" w14:textId="77777777">
            <w:pPr>
              <w:pStyle w:val="Normal0"/>
            </w:pPr>
            <w:r w:rsidRPr="00B13A6A">
              <w:t>5</w:t>
            </w:r>
          </w:p>
        </w:tc>
        <w:tc>
          <w:tcPr>
            <w:tcW w:w="944" w:type="pct"/>
          </w:tcPr>
          <w:p w:rsidR="00137863" w:rsidRPr="00DA229E" w:rsidP="00C15D23" w14:paraId="22CF7DE9" w14:textId="77777777">
            <w:pPr>
              <w:pStyle w:val="Normal0"/>
            </w:pPr>
            <w:r>
              <w:rPr>
                <w:rFonts w:hint="eastAsia"/>
              </w:rPr>
              <w:t>总部所在地</w:t>
            </w:r>
          </w:p>
        </w:tc>
        <w:tc>
          <w:tcPr>
            <w:tcW w:w="3838" w:type="pct"/>
          </w:tcPr>
          <w:p w:rsidR="00137863" w:rsidRPr="00B13A6A" w:rsidP="00C15D23" w14:paraId="0D1E17E8" w14:textId="77777777">
            <w:pPr>
              <w:pStyle w:val="Normal0"/>
              <w:rPr>
                <w:bCs/>
              </w:rPr>
            </w:pPr>
          </w:p>
        </w:tc>
      </w:tr>
      <w:tr w14:paraId="1EEFDBC0" w14:textId="77777777" w:rsidTr="00C15D23">
        <w:tblPrEx>
          <w:tblW w:w="5000" w:type="pct"/>
          <w:tblLook w:val="00A0"/>
        </w:tblPrEx>
        <w:tc>
          <w:tcPr>
            <w:tcW w:w="218" w:type="pct"/>
          </w:tcPr>
          <w:p w:rsidR="00137863" w:rsidRPr="00B13A6A" w:rsidP="00C15D23" w14:paraId="3667AEB9" w14:textId="77777777">
            <w:pPr>
              <w:pStyle w:val="Normal0"/>
            </w:pPr>
            <w:r w:rsidRPr="00B13A6A">
              <w:t>6</w:t>
            </w:r>
          </w:p>
        </w:tc>
        <w:tc>
          <w:tcPr>
            <w:tcW w:w="944" w:type="pct"/>
          </w:tcPr>
          <w:p w:rsidR="00137863" w:rsidRPr="00B13A6A" w:rsidP="00C15D23" w14:paraId="42A6C4A0" w14:textId="77777777">
            <w:pPr>
              <w:pStyle w:val="Normal0"/>
            </w:pPr>
            <w:r>
              <w:rPr>
                <w:rFonts w:hint="eastAsia"/>
              </w:rPr>
              <w:t>主要经济活动</w:t>
            </w:r>
          </w:p>
        </w:tc>
        <w:tc>
          <w:tcPr>
            <w:tcW w:w="3838" w:type="pct"/>
          </w:tcPr>
          <w:p w:rsidR="00137863" w:rsidRPr="00B13A6A" w:rsidP="00C15D23" w14:paraId="12D20AAA" w14:textId="77777777">
            <w:pPr>
              <w:pStyle w:val="Normal0"/>
              <w:rPr>
                <w:bCs/>
              </w:rPr>
            </w:pPr>
          </w:p>
        </w:tc>
      </w:tr>
      <w:tr w14:paraId="56EA214E" w14:textId="77777777" w:rsidTr="00C15D23">
        <w:tblPrEx>
          <w:tblW w:w="5000" w:type="pct"/>
          <w:tblLook w:val="00A0"/>
        </w:tblPrEx>
        <w:tc>
          <w:tcPr>
            <w:tcW w:w="218" w:type="pct"/>
          </w:tcPr>
          <w:p w:rsidR="00137863" w:rsidRPr="004D249F" w:rsidP="00C15D23" w14:paraId="72CE0CDE" w14:textId="77777777">
            <w:pPr>
              <w:pStyle w:val="Normal0"/>
            </w:pPr>
            <w:r>
              <w:rPr>
                <w:rFonts w:hint="eastAsia"/>
              </w:rPr>
              <w:t>7</w:t>
            </w:r>
          </w:p>
        </w:tc>
        <w:tc>
          <w:tcPr>
            <w:tcW w:w="944" w:type="pct"/>
          </w:tcPr>
          <w:p w:rsidR="00137863" w:rsidRPr="00FB62BD" w:rsidP="00C15D23" w14:paraId="65D0A2B9" w14:textId="77777777">
            <w:pPr>
              <w:pStyle w:val="Normal0"/>
              <w:rPr>
                <w:bCs/>
              </w:rPr>
            </w:pPr>
            <w:r>
              <w:rPr>
                <w:rFonts w:hint="eastAsia"/>
                <w:bCs/>
              </w:rPr>
              <w:t>市场地位</w:t>
            </w:r>
          </w:p>
        </w:tc>
        <w:tc>
          <w:tcPr>
            <w:tcW w:w="3838" w:type="pct"/>
          </w:tcPr>
          <w:p w:rsidR="00137863" w:rsidRPr="00B13A6A" w:rsidP="00C15D23" w14:paraId="0FFF79A3" w14:textId="77777777">
            <w:pPr>
              <w:pStyle w:val="Normal0"/>
              <w:rPr>
                <w:bCs/>
              </w:rPr>
            </w:pPr>
          </w:p>
        </w:tc>
      </w:tr>
      <w:tr w14:paraId="6E2CA165" w14:textId="77777777" w:rsidTr="00C15D23">
        <w:tblPrEx>
          <w:tblW w:w="5000" w:type="pct"/>
          <w:tblLook w:val="00A0"/>
        </w:tblPrEx>
        <w:tc>
          <w:tcPr>
            <w:tcW w:w="218" w:type="pct"/>
          </w:tcPr>
          <w:p w:rsidR="00137863" w:rsidP="00C15D23" w14:paraId="6F0C84ED" w14:textId="77777777">
            <w:pPr>
              <w:pStyle w:val="Normal0"/>
            </w:pPr>
            <w:r>
              <w:rPr>
                <w:rFonts w:hint="eastAsia"/>
              </w:rPr>
              <w:t>8</w:t>
            </w:r>
          </w:p>
        </w:tc>
        <w:tc>
          <w:tcPr>
            <w:tcW w:w="944" w:type="pct"/>
          </w:tcPr>
          <w:p w:rsidR="00137863" w:rsidP="00C15D23" w14:paraId="4E545EE6" w14:textId="77777777">
            <w:pPr>
              <w:pStyle w:val="Normal0"/>
              <w:rPr>
                <w:bCs/>
              </w:rPr>
            </w:pPr>
            <w:r>
              <w:rPr>
                <w:rFonts w:hint="eastAsia"/>
                <w:bCs/>
              </w:rPr>
              <w:t>主要竞争对手</w:t>
            </w:r>
          </w:p>
        </w:tc>
        <w:tc>
          <w:tcPr>
            <w:tcW w:w="3838" w:type="pct"/>
          </w:tcPr>
          <w:p w:rsidR="00137863" w:rsidRPr="00B13A6A" w:rsidP="00C15D23" w14:paraId="15C97F7D" w14:textId="77777777">
            <w:pPr>
              <w:pStyle w:val="Normal0"/>
              <w:rPr>
                <w:bCs/>
              </w:rPr>
            </w:pPr>
          </w:p>
        </w:tc>
      </w:tr>
      <w:tr w14:paraId="419E4D4C" w14:textId="77777777" w:rsidTr="00C15D23">
        <w:tblPrEx>
          <w:tblW w:w="5000" w:type="pct"/>
          <w:tblLook w:val="00A0"/>
        </w:tblPrEx>
        <w:tc>
          <w:tcPr>
            <w:tcW w:w="218" w:type="pct"/>
          </w:tcPr>
          <w:p w:rsidR="00137863" w:rsidP="00C15D23" w14:paraId="4138885E" w14:textId="77777777">
            <w:pPr>
              <w:pStyle w:val="Normal0"/>
            </w:pPr>
            <w:r>
              <w:rPr>
                <w:rFonts w:hint="eastAsia"/>
              </w:rPr>
              <w:t>9</w:t>
            </w:r>
          </w:p>
        </w:tc>
        <w:tc>
          <w:tcPr>
            <w:tcW w:w="944" w:type="pct"/>
          </w:tcPr>
          <w:p w:rsidR="00137863" w:rsidP="00C15D23" w14:paraId="30D44E8C" w14:textId="77777777">
            <w:pPr>
              <w:pStyle w:val="Normal0"/>
              <w:rPr>
                <w:bCs/>
              </w:rPr>
            </w:pPr>
            <w:r>
              <w:rPr>
                <w:rFonts w:hint="eastAsia"/>
                <w:bCs/>
              </w:rPr>
              <w:t>联系方式</w:t>
            </w:r>
          </w:p>
        </w:tc>
        <w:tc>
          <w:tcPr>
            <w:tcW w:w="3838" w:type="pct"/>
          </w:tcPr>
          <w:p w:rsidR="00137863" w:rsidRPr="00B13A6A" w:rsidP="00C15D23" w14:paraId="5BD626E0" w14:textId="77777777">
            <w:pPr>
              <w:pStyle w:val="Normal0"/>
              <w:rPr>
                <w:bCs/>
              </w:rPr>
            </w:pPr>
          </w:p>
        </w:tc>
      </w:tr>
    </w:tbl>
    <w:p w:rsidR="00137863" w:rsidP="00137863" w14:paraId="710821FE" w14:textId="77777777">
      <w:pPr>
        <w:pStyle w:val="Source00"/>
      </w:pPr>
      <w:r>
        <w:rPr>
          <w:rFonts w:hint="eastAsia"/>
        </w:rPr>
        <w:t>资料来源：</w:t>
      </w:r>
      <w:r>
        <w:rPr>
          <w:rFonts w:hint="eastAsia"/>
        </w:rPr>
        <w:t>Zenner</w:t>
      </w:r>
      <w:r>
        <w:rPr>
          <w:rFonts w:hint="eastAsia"/>
        </w:rPr>
        <w:t>；第三方资料、新闻报道、业内专家采访及</w:t>
      </w:r>
      <w:r>
        <w:rPr>
          <w:rFonts w:hint="eastAsia"/>
        </w:rPr>
        <w:t>QYResearch</w:t>
      </w:r>
      <w:r>
        <w:rPr>
          <w:rFonts w:hint="eastAsia"/>
        </w:rPr>
        <w:t>整理研究，</w:t>
      </w:r>
      <w:r>
        <w:rPr>
          <w:rFonts w:hint="eastAsia"/>
        </w:rPr>
        <w:t>2024</w:t>
      </w:r>
      <w:r>
        <w:rPr>
          <w:rFonts w:hint="eastAsia"/>
        </w:rPr>
        <w:t>年</w:t>
      </w:r>
    </w:p>
    <w:p w:rsidR="00137863" w:rsidP="00137863" w14:paraId="600CEEC1" w14:textId="77777777">
      <w:pPr>
        <w:pStyle w:val="Heading30"/>
      </w:pPr>
      <w:bookmarkStart w:id="143" w:name="_Toc24028342"/>
      <w:bookmarkStart w:id="144" w:name="_Toc24972532"/>
      <w:bookmarkStart w:id="145" w:name="_Toc121583910"/>
      <w:bookmarkStart w:id="146" w:name="_Toc166762034"/>
      <w:r>
        <w:rPr>
          <w:rFonts w:hint="eastAsia"/>
        </w:rPr>
        <w:t>Zenner 电子式热分配表(HCA)</w:t>
      </w:r>
      <w:r>
        <w:rPr>
          <w:rFonts w:hint="eastAsia"/>
        </w:rPr>
        <w:t>产品规格、参数及市场应用</w:t>
      </w:r>
      <w:bookmarkEnd w:id="143"/>
      <w:bookmarkEnd w:id="144"/>
      <w:bookmarkEnd w:id="145"/>
      <w:bookmarkEnd w:id="146"/>
    </w:p>
    <w:p w:rsidR="00137863" w:rsidRPr="006C3BE6" w:rsidP="006C3BE6" w14:paraId="6B304817" w14:textId="77777777">
      <w:pPr>
        <w:pStyle w:val="TableStyle0"/>
        <w:ind w:left="252" w:right="-105"/>
      </w:pPr>
      <w:bookmarkStart w:id="147" w:name="_Toc24028963"/>
      <w:bookmarkStart w:id="148" w:name="_Toc26780084"/>
      <w:bookmarkStart w:id="149" w:name="_Toc121583638"/>
      <w:bookmarkStart w:id="150" w:name="_Toc166761955"/>
      <w:r w:rsidRPr="006C3BE6">
        <w:rPr>
          <w:rFonts w:hint="eastAsia"/>
        </w:rPr>
        <w:t>Zenner 电子式热分配表(HCA)</w:t>
      </w:r>
      <w:r w:rsidRPr="006C3BE6">
        <w:rPr>
          <w:rFonts w:hint="eastAsia"/>
        </w:rPr>
        <w:t>产品规格、参数及市场应用</w:t>
      </w:r>
      <w:bookmarkEnd w:id="147"/>
      <w:bookmarkEnd w:id="148"/>
      <w:bookmarkEnd w:id="149"/>
      <w:bookmarkEnd w:id="150"/>
    </w:p>
    <w:tbl>
      <w:tblPr>
        <w:tblStyle w:val="TableGrid80"/>
        <w:tblW w:w="5000" w:type="pct"/>
        <w:tblLook w:val="04A0"/>
      </w:tblPr>
      <w:tblGrid>
        <w:gridCol w:w="2319"/>
        <w:gridCol w:w="7649"/>
      </w:tblGrid>
      <w:tr w14:paraId="0D5BC838" w14:textId="77777777" w:rsidTr="00C15D23">
        <w:tblPrEx>
          <w:tblW w:w="5000" w:type="pct"/>
          <w:tblLook w:val="04A0"/>
        </w:tblPrEx>
        <w:tc>
          <w:tcPr>
            <w:tcW w:w="1163" w:type="pct"/>
          </w:tcPr>
          <w:p w:rsidR="00137863" w:rsidP="00C15D23" w14:paraId="364A7C5D" w14:textId="77777777">
            <w:pPr>
              <w:pStyle w:val="Normal0"/>
            </w:pPr>
            <w:r>
              <w:rPr>
                <w:rFonts w:hint="eastAsia"/>
              </w:rPr>
              <w:t>产品</w:t>
            </w:r>
          </w:p>
        </w:tc>
        <w:tc>
          <w:tcPr>
            <w:tcW w:w="3837" w:type="pct"/>
          </w:tcPr>
          <w:p w:rsidR="00137863" w:rsidP="00C15D23" w14:paraId="6291C5BD" w14:textId="77777777">
            <w:pPr>
              <w:pStyle w:val="Normal0"/>
            </w:pPr>
            <w:r>
              <w:rPr>
                <w:rFonts w:hint="eastAsia"/>
              </w:rPr>
              <w:t>描述</w:t>
            </w:r>
          </w:p>
        </w:tc>
      </w:tr>
      <w:tr w14:paraId="1550D1F8" w14:textId="77777777" w:rsidTr="00C15D23">
        <w:tblPrEx>
          <w:tblW w:w="5000" w:type="pct"/>
          <w:tblLook w:val="04A0"/>
        </w:tblPrEx>
        <w:tc>
          <w:tcPr>
            <w:tcW w:w="1163" w:type="pct"/>
          </w:tcPr>
          <w:p w:rsidR="00137863" w:rsidP="00C15D23" w14:paraId="151CB6AE" w14:textId="77777777">
            <w:pPr>
              <w:pStyle w:val="Normal0"/>
            </w:pPr>
          </w:p>
        </w:tc>
        <w:tc>
          <w:tcPr>
            <w:tcW w:w="3837" w:type="pct"/>
          </w:tcPr>
          <w:p w:rsidR="00137863" w:rsidP="00C15D23" w14:paraId="0998FCBE" w14:textId="77777777">
            <w:pPr>
              <w:pStyle w:val="Normal0"/>
            </w:pPr>
          </w:p>
          <w:p w:rsidR="00137863" w:rsidP="00C15D23" w14:paraId="4D24BC18" w14:textId="77777777">
            <w:pPr>
              <w:pStyle w:val="Normal0"/>
            </w:pPr>
          </w:p>
        </w:tc>
      </w:tr>
      <w:tr w14:paraId="3A054F04" w14:textId="77777777" w:rsidTr="00C15D23">
        <w:tblPrEx>
          <w:tblW w:w="5000" w:type="pct"/>
          <w:tblLook w:val="04A0"/>
        </w:tblPrEx>
        <w:tc>
          <w:tcPr>
            <w:tcW w:w="1163" w:type="pct"/>
          </w:tcPr>
          <w:p w:rsidR="00137863" w:rsidP="00C15D23" w14:paraId="5893C420" w14:textId="77777777">
            <w:pPr>
              <w:pStyle w:val="Normal0"/>
            </w:pPr>
          </w:p>
        </w:tc>
        <w:tc>
          <w:tcPr>
            <w:tcW w:w="3837" w:type="pct"/>
          </w:tcPr>
          <w:p w:rsidR="00137863" w:rsidP="00C15D23" w14:paraId="37D7DFD5" w14:textId="77777777">
            <w:pPr>
              <w:pStyle w:val="Normal0"/>
            </w:pPr>
          </w:p>
          <w:p w:rsidR="00137863" w:rsidP="00C15D23" w14:paraId="6FB2D0E8" w14:textId="77777777">
            <w:pPr>
              <w:pStyle w:val="Normal0"/>
            </w:pPr>
          </w:p>
        </w:tc>
      </w:tr>
    </w:tbl>
    <w:p w:rsidR="00137863" w:rsidRPr="00400074" w:rsidP="00137863" w14:paraId="78B5144E" w14:textId="77777777">
      <w:pPr>
        <w:pStyle w:val="Source00"/>
      </w:pPr>
      <w:r>
        <w:rPr>
          <w:rFonts w:hint="eastAsia"/>
        </w:rPr>
        <w:t>资料来源：</w:t>
      </w:r>
      <w:r>
        <w:rPr>
          <w:rFonts w:hint="eastAsia"/>
        </w:rPr>
        <w:t>Zenner</w:t>
      </w:r>
      <w:r>
        <w:rPr>
          <w:rFonts w:hint="eastAsia"/>
        </w:rPr>
        <w:t>；第三方资料、新闻报道、业内专家采访及</w:t>
      </w:r>
      <w:r>
        <w:rPr>
          <w:rFonts w:hint="eastAsia"/>
        </w:rPr>
        <w:t>QYResearch</w:t>
      </w:r>
      <w:r>
        <w:rPr>
          <w:rFonts w:hint="eastAsia"/>
        </w:rPr>
        <w:t>整理研究，</w:t>
      </w:r>
      <w:r>
        <w:rPr>
          <w:rFonts w:hint="eastAsia"/>
        </w:rPr>
        <w:t>2024</w:t>
      </w:r>
      <w:r>
        <w:rPr>
          <w:rFonts w:hint="eastAsia"/>
        </w:rPr>
        <w:t>年</w:t>
      </w:r>
    </w:p>
    <w:p w:rsidR="00137863" w:rsidP="00137863" w14:paraId="797F85D5" w14:textId="77777777">
      <w:pPr>
        <w:pStyle w:val="Heading30"/>
      </w:pPr>
      <w:bookmarkStart w:id="151" w:name="_Toc24028344"/>
      <w:bookmarkStart w:id="152" w:name="_Toc24972534"/>
      <w:bookmarkStart w:id="153" w:name="_Toc121583912"/>
      <w:bookmarkStart w:id="154" w:name="_Toc166762035"/>
      <w:bookmarkStart w:id="155" w:name="_Hlk28108908"/>
      <w:r>
        <w:rPr>
          <w:rFonts w:hint="eastAsia"/>
        </w:rPr>
        <w:t>Zenner</w:t>
      </w:r>
      <w:r>
        <w:rPr>
          <w:rFonts w:hint="eastAsia"/>
        </w:rPr>
        <w:t>公司简介及主要业务</w:t>
      </w:r>
      <w:bookmarkEnd w:id="151"/>
      <w:bookmarkEnd w:id="152"/>
      <w:bookmarkEnd w:id="153"/>
      <w:bookmarkEnd w:id="154"/>
    </w:p>
    <w:p w:rsidR="00137863" w:rsidRPr="006C3BE6" w:rsidP="006C3BE6" w14:paraId="2C3E2EB9" w14:textId="77777777">
      <w:pPr>
        <w:pStyle w:val="TableStyle0"/>
        <w:ind w:left="252" w:right="-105"/>
      </w:pPr>
      <w:bookmarkStart w:id="156" w:name="_Toc24028965"/>
      <w:bookmarkStart w:id="157" w:name="_Toc26780086"/>
      <w:bookmarkStart w:id="158" w:name="_Toc121583640"/>
      <w:bookmarkStart w:id="159" w:name="_Toc166761956"/>
      <w:r w:rsidRPr="006C3BE6">
        <w:rPr>
          <w:rFonts w:hint="eastAsia"/>
        </w:rPr>
        <w:t>Zenner</w:t>
      </w:r>
      <w:r w:rsidRPr="006C3BE6">
        <w:rPr>
          <w:rFonts w:hint="eastAsia"/>
        </w:rPr>
        <w:t>公司简介及主要业务</w:t>
      </w:r>
      <w:bookmarkEnd w:id="156"/>
      <w:bookmarkEnd w:id="157"/>
      <w:bookmarkEnd w:id="158"/>
      <w:bookmarkEnd w:id="159"/>
    </w:p>
    <w:tbl>
      <w:tblPr>
        <w:tblStyle w:val="TableGrid80"/>
        <w:tblW w:w="5000" w:type="pct"/>
        <w:tblLook w:val="04A0"/>
      </w:tblPr>
      <w:tblGrid>
        <w:gridCol w:w="2319"/>
        <w:gridCol w:w="7649"/>
      </w:tblGrid>
      <w:tr w14:paraId="37EEB0C8" w14:textId="77777777" w:rsidTr="00C15D23">
        <w:tblPrEx>
          <w:tblW w:w="5000" w:type="pct"/>
          <w:tblLook w:val="04A0"/>
        </w:tblPrEx>
        <w:tc>
          <w:tcPr>
            <w:tcW w:w="1163" w:type="pct"/>
          </w:tcPr>
          <w:p w:rsidR="00137863" w:rsidP="00C15D23" w14:paraId="689329E0" w14:textId="77777777">
            <w:pPr>
              <w:pStyle w:val="Normal0"/>
            </w:pPr>
            <w:r>
              <w:rPr>
                <w:rFonts w:hint="eastAsia"/>
              </w:rPr>
              <w:t>Zenner</w:t>
            </w:r>
          </w:p>
        </w:tc>
        <w:tc>
          <w:tcPr>
            <w:tcW w:w="3837" w:type="pct"/>
          </w:tcPr>
          <w:p w:rsidR="00137863" w:rsidP="00C15D23" w14:paraId="70BA58D4" w14:textId="77777777">
            <w:pPr>
              <w:pStyle w:val="Normal0"/>
            </w:pPr>
            <w:r>
              <w:rPr>
                <w:rFonts w:hint="eastAsia"/>
              </w:rPr>
              <w:t>详情描述</w:t>
            </w:r>
          </w:p>
        </w:tc>
      </w:tr>
      <w:tr w14:paraId="60B7B6BF" w14:textId="77777777" w:rsidTr="00C15D23">
        <w:tblPrEx>
          <w:tblW w:w="5000" w:type="pct"/>
          <w:tblLook w:val="04A0"/>
        </w:tblPrEx>
        <w:tc>
          <w:tcPr>
            <w:tcW w:w="1163" w:type="pct"/>
          </w:tcPr>
          <w:p w:rsidR="00137863" w:rsidP="00C15D23" w14:paraId="5B00B48F" w14:textId="77777777">
            <w:pPr>
              <w:pStyle w:val="Normal0"/>
            </w:pPr>
            <w:r>
              <w:rPr>
                <w:rFonts w:hint="eastAsia"/>
              </w:rPr>
              <w:t>企业概况</w:t>
            </w:r>
          </w:p>
        </w:tc>
        <w:tc>
          <w:tcPr>
            <w:tcW w:w="3837" w:type="pct"/>
          </w:tcPr>
          <w:p w:rsidR="00137863" w:rsidP="00C15D23">
            <w:pPr>
              <w:pStyle w:val="Normal0"/>
            </w:pPr>
          </w:p>
          <w:p w:rsidR="00137863" w:rsidP="00C15D23" w14:paraId="125EFA5F" w14:textId="77777777">
            <w:pPr>
              <w:pStyle w:val="Normal0"/>
            </w:pPr>
          </w:p>
        </w:tc>
      </w:tr>
      <w:tr w14:paraId="08707C6F" w14:textId="77777777" w:rsidTr="00C15D23">
        <w:tblPrEx>
          <w:tblW w:w="5000" w:type="pct"/>
          <w:tblLook w:val="04A0"/>
        </w:tblPrEx>
        <w:tc>
          <w:tcPr>
            <w:tcW w:w="1163" w:type="pct"/>
          </w:tcPr>
          <w:p w:rsidR="00137863" w:rsidP="00C15D23" w14:paraId="02EAABFC" w14:textId="77777777">
            <w:pPr>
              <w:pStyle w:val="Normal0"/>
            </w:pPr>
            <w:r>
              <w:rPr>
                <w:rFonts w:hint="eastAsia"/>
              </w:rPr>
              <w:t>主要业务</w:t>
            </w:r>
          </w:p>
        </w:tc>
        <w:tc>
          <w:tcPr>
            <w:tcW w:w="3837" w:type="pct"/>
          </w:tcPr>
          <w:p w:rsidR="00137863" w:rsidP="00C15D23">
            <w:pPr>
              <w:pStyle w:val="Normal0"/>
            </w:pPr>
          </w:p>
          <w:p w:rsidR="00137863" w:rsidP="00C15D23" w14:paraId="19485EFB" w14:textId="77777777">
            <w:pPr>
              <w:pStyle w:val="Normal0"/>
            </w:pPr>
          </w:p>
        </w:tc>
      </w:tr>
    </w:tbl>
    <w:p w:rsidR="00137863" w:rsidRPr="00FA5C78" w:rsidP="00137863" w14:paraId="5E62591B" w14:textId="77777777">
      <w:pPr>
        <w:pStyle w:val="Source00"/>
      </w:pPr>
      <w:r>
        <w:rPr>
          <w:rFonts w:hint="eastAsia"/>
        </w:rPr>
        <w:t>资料来源：</w:t>
      </w:r>
      <w:r>
        <w:rPr>
          <w:rFonts w:hint="eastAsia"/>
        </w:rPr>
        <w:t>Zenner</w:t>
      </w:r>
      <w:r>
        <w:rPr>
          <w:rFonts w:hint="eastAsia"/>
        </w:rPr>
        <w:t>；第三方资料、新闻报道、业内专家采访及</w:t>
      </w:r>
      <w:r>
        <w:rPr>
          <w:rFonts w:hint="eastAsia"/>
        </w:rPr>
        <w:t>QYResearch</w:t>
      </w:r>
      <w:r>
        <w:rPr>
          <w:rFonts w:hint="eastAsia"/>
        </w:rPr>
        <w:t>整理研究，</w:t>
      </w:r>
      <w:r>
        <w:rPr>
          <w:rFonts w:hint="eastAsia"/>
        </w:rPr>
        <w:t>2024</w:t>
      </w:r>
      <w:r>
        <w:rPr>
          <w:rFonts w:hint="eastAsia"/>
        </w:rPr>
        <w:t>年</w:t>
      </w:r>
    </w:p>
    <w:p w:rsidR="00137863" w:rsidP="00137863" w14:paraId="7E015625" w14:textId="77777777">
      <w:pPr>
        <w:pStyle w:val="Heading30"/>
      </w:pPr>
      <w:bookmarkStart w:id="160" w:name="_Toc121583913"/>
      <w:bookmarkStart w:id="161" w:name="_Toc166762036"/>
      <w:bookmarkEnd w:id="155"/>
      <w:r>
        <w:rPr>
          <w:rFonts w:hint="eastAsia"/>
        </w:rPr>
        <w:t>Zenner</w:t>
      </w:r>
      <w:r>
        <w:rPr>
          <w:rFonts w:hint="eastAsia"/>
        </w:rPr>
        <w:t>企业最新动态</w:t>
      </w:r>
      <w:bookmarkEnd w:id="160"/>
      <w:bookmarkEnd w:id="161"/>
    </w:p>
    <w:p w:rsidR="00137863" w:rsidRPr="006C3BE6" w:rsidP="006C3BE6" w14:paraId="1452B484" w14:textId="77777777">
      <w:pPr>
        <w:pStyle w:val="TableStyle0"/>
        <w:ind w:left="252" w:right="-105"/>
      </w:pPr>
      <w:bookmarkStart w:id="162" w:name="_Toc121583641"/>
      <w:bookmarkStart w:id="163" w:name="_Toc166761957"/>
      <w:r w:rsidRPr="006C3BE6">
        <w:rPr>
          <w:rFonts w:hint="eastAsia"/>
        </w:rPr>
        <w:t>Zenner</w:t>
      </w:r>
      <w:r w:rsidRPr="006C3BE6">
        <w:rPr>
          <w:rFonts w:hint="eastAsia"/>
        </w:rPr>
        <w:t>企业最新动态</w:t>
      </w:r>
      <w:bookmarkEnd w:id="162"/>
      <w:bookmarkEnd w:id="163"/>
    </w:p>
    <w:tbl>
      <w:tblPr>
        <w:tblStyle w:val="TableGrid80"/>
        <w:tblW w:w="5000" w:type="pct"/>
        <w:tblLook w:val="04A0"/>
      </w:tblPr>
      <w:tblGrid>
        <w:gridCol w:w="2319"/>
        <w:gridCol w:w="7649"/>
      </w:tblGrid>
      <w:tr w14:paraId="24892489" w14:textId="77777777" w:rsidTr="00C15D23">
        <w:tblPrEx>
          <w:tblW w:w="5000" w:type="pct"/>
          <w:tblLook w:val="04A0"/>
        </w:tblPrEx>
        <w:tc>
          <w:tcPr>
            <w:tcW w:w="1163" w:type="pct"/>
          </w:tcPr>
          <w:p w:rsidR="00137863" w:rsidP="00C15D23" w14:paraId="43E3F528" w14:textId="77777777">
            <w:pPr>
              <w:pStyle w:val="Normal0"/>
            </w:pPr>
            <w:r>
              <w:rPr>
                <w:rFonts w:hint="eastAsia"/>
              </w:rPr>
              <w:t>日期</w:t>
            </w:r>
          </w:p>
        </w:tc>
        <w:tc>
          <w:tcPr>
            <w:tcW w:w="3837" w:type="pct"/>
          </w:tcPr>
          <w:p w:rsidR="00137863" w:rsidP="00C15D23" w14:paraId="1B40EB21" w14:textId="77777777">
            <w:pPr>
              <w:pStyle w:val="Normal0"/>
            </w:pPr>
            <w:r>
              <w:rPr>
                <w:rFonts w:hint="eastAsia"/>
              </w:rPr>
              <w:t>详情描述</w:t>
            </w:r>
          </w:p>
        </w:tc>
      </w:tr>
      <w:tr w14:paraId="1C44E6C8" w14:textId="77777777" w:rsidTr="00C15D23">
        <w:tblPrEx>
          <w:tblW w:w="5000" w:type="pct"/>
          <w:tblLook w:val="04A0"/>
        </w:tblPrEx>
        <w:tc>
          <w:tcPr>
            <w:tcW w:w="1163" w:type="pct"/>
          </w:tcPr>
          <w:p w:rsidR="00137863" w:rsidP="00C15D23" w14:paraId="3C4B638D" w14:textId="77777777">
            <w:pPr>
              <w:pStyle w:val="Normal0"/>
            </w:pPr>
          </w:p>
        </w:tc>
        <w:tc>
          <w:tcPr>
            <w:tcW w:w="3837" w:type="pct"/>
          </w:tcPr>
          <w:p w:rsidR="00137863" w:rsidP="00C15D23" w14:paraId="3336F283" w14:textId="77777777">
            <w:pPr>
              <w:pStyle w:val="Normal0"/>
            </w:pPr>
          </w:p>
          <w:p w:rsidR="00137863" w:rsidP="00C15D23" w14:paraId="5E0260B5" w14:textId="77777777">
            <w:pPr>
              <w:pStyle w:val="Normal0"/>
            </w:pPr>
          </w:p>
        </w:tc>
      </w:tr>
      <w:tr w14:paraId="35AA2CBC" w14:textId="77777777" w:rsidTr="00C15D23">
        <w:tblPrEx>
          <w:tblW w:w="5000" w:type="pct"/>
          <w:tblLook w:val="04A0"/>
        </w:tblPrEx>
        <w:tc>
          <w:tcPr>
            <w:tcW w:w="1163" w:type="pct"/>
          </w:tcPr>
          <w:p w:rsidR="00137863" w:rsidP="00C15D23" w14:paraId="1A565722" w14:textId="77777777">
            <w:pPr>
              <w:pStyle w:val="Normal0"/>
            </w:pPr>
          </w:p>
        </w:tc>
        <w:tc>
          <w:tcPr>
            <w:tcW w:w="3837" w:type="pct"/>
          </w:tcPr>
          <w:p w:rsidR="00137863" w:rsidP="00C15D23" w14:paraId="7D5969F9" w14:textId="77777777">
            <w:pPr>
              <w:pStyle w:val="Normal0"/>
            </w:pPr>
          </w:p>
          <w:p w:rsidR="00137863" w:rsidP="00C15D23" w14:paraId="6A435F41" w14:textId="77777777">
            <w:pPr>
              <w:pStyle w:val="Normal0"/>
            </w:pPr>
          </w:p>
        </w:tc>
      </w:tr>
      <w:tr w14:paraId="1AA5D970" w14:textId="77777777" w:rsidTr="00C15D23">
        <w:tblPrEx>
          <w:tblW w:w="5000" w:type="pct"/>
          <w:tblLook w:val="04A0"/>
        </w:tblPrEx>
        <w:tc>
          <w:tcPr>
            <w:tcW w:w="1163" w:type="pct"/>
          </w:tcPr>
          <w:p w:rsidR="00137863" w:rsidP="00C15D23" w14:paraId="5C830641" w14:textId="77777777">
            <w:pPr>
              <w:pStyle w:val="Normal0"/>
            </w:pPr>
          </w:p>
        </w:tc>
        <w:tc>
          <w:tcPr>
            <w:tcW w:w="3837" w:type="pct"/>
          </w:tcPr>
          <w:p w:rsidR="00137863" w:rsidP="00C15D23" w14:paraId="2993E347" w14:textId="77777777">
            <w:pPr>
              <w:pStyle w:val="Normal0"/>
            </w:pPr>
          </w:p>
          <w:p w:rsidR="00137863" w:rsidP="00C15D23" w14:paraId="2982D158" w14:textId="77777777">
            <w:pPr>
              <w:pStyle w:val="Normal0"/>
            </w:pPr>
          </w:p>
        </w:tc>
      </w:tr>
    </w:tbl>
    <w:p w:rsidR="00137863" w:rsidP="00137863" w14:paraId="67936791" w14:textId="77777777">
      <w:pPr>
        <w:pStyle w:val="Source00"/>
      </w:pPr>
      <w:r>
        <w:rPr>
          <w:rFonts w:hint="eastAsia"/>
        </w:rPr>
        <w:t>资料来源：</w:t>
      </w:r>
      <w:r>
        <w:rPr>
          <w:rFonts w:hint="eastAsia"/>
        </w:rPr>
        <w:t>Zenner</w:t>
      </w:r>
      <w:r>
        <w:rPr>
          <w:rFonts w:hint="eastAsia"/>
        </w:rPr>
        <w:t>；第三方资料、新闻报道、业内专家采访及</w:t>
      </w:r>
      <w:r>
        <w:rPr>
          <w:rFonts w:hint="eastAsia"/>
        </w:rPr>
        <w:t>QYResearch</w:t>
      </w:r>
      <w:r>
        <w:rPr>
          <w:rFonts w:hint="eastAsia"/>
        </w:rPr>
        <w:t>整理研究，</w:t>
      </w:r>
      <w:r>
        <w:rPr>
          <w:rFonts w:hint="eastAsia"/>
        </w:rPr>
        <w:t>2024</w:t>
      </w:r>
      <w:r>
        <w:rPr>
          <w:rFonts w:hint="eastAsia"/>
        </w:rPr>
        <w:t>年</w:t>
      </w:r>
    </w:p>
    <w:p w:rsidR="00137863" w:rsidP="00137863">
      <w:pPr>
        <w:pStyle w:val="Heading20"/>
      </w:pPr>
      <w:bookmarkStart w:id="164" w:name="_Toc121583914"/>
      <w:bookmarkStart w:id="165" w:name="_Toc166762037"/>
      <w:r>
        <w:rPr>
          <w:rFonts w:hint="eastAsia"/>
        </w:rPr>
        <w:t>Ista</w:t>
      </w:r>
      <w:bookmarkEnd w:id="164"/>
      <w:bookmarkEnd w:id="165"/>
    </w:p>
    <w:p w:rsidR="00137863" w:rsidP="00137863" w14:paraId="2B364E0D" w14:textId="77777777">
      <w:pPr>
        <w:pStyle w:val="Heading30"/>
      </w:pPr>
      <w:bookmarkStart w:id="166" w:name="_Toc121583915"/>
      <w:bookmarkStart w:id="167" w:name="_Toc166762038"/>
      <w:r>
        <w:rPr>
          <w:rFonts w:hint="eastAsia"/>
        </w:rPr>
        <w:t>Ista</w:t>
      </w:r>
      <w:r>
        <w:rPr>
          <w:rFonts w:hint="eastAsia"/>
        </w:rPr>
        <w:t>基本信息、</w:t>
      </w:r>
      <w:r>
        <w:rPr>
          <w:rFonts w:hint="eastAsia"/>
        </w:rPr>
        <w:t>电子式热分配表(HCA)</w:t>
      </w:r>
      <w:r>
        <w:rPr>
          <w:rFonts w:hint="eastAsia"/>
        </w:rPr>
        <w:t>生产基地、总部、</w:t>
      </w:r>
      <w:r w:rsidRPr="00F74FCA">
        <w:rPr>
          <w:rFonts w:hint="eastAsia"/>
        </w:rPr>
        <w:t>竞争对手</w:t>
      </w:r>
      <w:r>
        <w:rPr>
          <w:rFonts w:hint="eastAsia"/>
        </w:rPr>
        <w:t>及市场地位</w:t>
      </w:r>
      <w:bookmarkEnd w:id="166"/>
      <w:bookmarkEnd w:id="167"/>
    </w:p>
    <w:p w:rsidR="00137863" w:rsidRPr="006C3BE6" w:rsidP="006C3BE6" w14:paraId="5D5D0351" w14:textId="77777777">
      <w:pPr>
        <w:pStyle w:val="TableStyle0"/>
        <w:ind w:left="252" w:right="-105"/>
      </w:pPr>
      <w:bookmarkStart w:id="168" w:name="_Toc121583642"/>
      <w:bookmarkStart w:id="169" w:name="_Toc166761958"/>
      <w:r w:rsidRPr="006C3BE6">
        <w:rPr>
          <w:rFonts w:hint="eastAsia"/>
        </w:rPr>
        <w:t>Ista</w:t>
      </w:r>
      <w:r w:rsidRPr="006C3BE6">
        <w:t xml:space="preserve"> </w:t>
      </w:r>
      <w:r w:rsidRPr="006C3BE6">
        <w:rPr>
          <w:rFonts w:hint="eastAsia"/>
        </w:rPr>
        <w:t>电子式热分配表(HCA)</w:t>
      </w:r>
      <w:r w:rsidRPr="006C3BE6">
        <w:rPr>
          <w:rFonts w:hint="eastAsia"/>
        </w:rPr>
        <w:t>生产基地、总部、竞争对手及市场地位</w:t>
      </w:r>
      <w:bookmarkEnd w:id="168"/>
      <w:bookmarkEnd w:id="169"/>
    </w:p>
    <w:tbl>
      <w:tblPr>
        <w:tblStyle w:val="TableGrid80"/>
        <w:tblW w:w="5000" w:type="pct"/>
        <w:tblLook w:val="00A0"/>
      </w:tblPr>
      <w:tblGrid>
        <w:gridCol w:w="435"/>
        <w:gridCol w:w="1882"/>
        <w:gridCol w:w="7651"/>
      </w:tblGrid>
      <w:tr w14:paraId="2046A564" w14:textId="77777777" w:rsidTr="00C15D23">
        <w:tblPrEx>
          <w:tblW w:w="5000" w:type="pct"/>
          <w:tblLook w:val="00A0"/>
        </w:tblPrEx>
        <w:tc>
          <w:tcPr>
            <w:tcW w:w="218" w:type="pct"/>
          </w:tcPr>
          <w:p w:rsidR="00137863" w:rsidRPr="00B13A6A" w:rsidP="00C15D23" w14:paraId="545515EA" w14:textId="77777777">
            <w:pPr>
              <w:pStyle w:val="Normal0"/>
            </w:pPr>
            <w:r w:rsidRPr="00B13A6A">
              <w:t>#</w:t>
            </w:r>
          </w:p>
        </w:tc>
        <w:tc>
          <w:tcPr>
            <w:tcW w:w="944" w:type="pct"/>
          </w:tcPr>
          <w:p w:rsidR="00137863" w:rsidRPr="00C459E0" w:rsidP="00C15D23" w14:paraId="5F368387" w14:textId="77777777">
            <w:pPr>
              <w:pStyle w:val="Normal0"/>
            </w:pPr>
            <w:r>
              <w:rPr>
                <w:rFonts w:hint="eastAsia"/>
              </w:rPr>
              <w:t>项目</w:t>
            </w:r>
          </w:p>
        </w:tc>
        <w:tc>
          <w:tcPr>
            <w:tcW w:w="3838" w:type="pct"/>
          </w:tcPr>
          <w:p w:rsidR="00137863" w:rsidRPr="00B13A6A" w:rsidP="00C15D23" w14:paraId="4960C3DC" w14:textId="77777777">
            <w:pPr>
              <w:pStyle w:val="Normal0"/>
            </w:pPr>
            <w:r>
              <w:rPr>
                <w:rFonts w:hint="eastAsia"/>
              </w:rPr>
              <w:t>描述</w:t>
            </w:r>
          </w:p>
        </w:tc>
      </w:tr>
      <w:tr w14:paraId="7F84AF4A" w14:textId="77777777" w:rsidTr="00C15D23">
        <w:tblPrEx>
          <w:tblW w:w="5000" w:type="pct"/>
          <w:tblLook w:val="00A0"/>
        </w:tblPrEx>
        <w:tc>
          <w:tcPr>
            <w:tcW w:w="218" w:type="pct"/>
          </w:tcPr>
          <w:p w:rsidR="00137863" w:rsidRPr="00B13A6A" w:rsidP="00C15D23" w14:paraId="5143B855" w14:textId="77777777">
            <w:pPr>
              <w:pStyle w:val="Normal0"/>
            </w:pPr>
            <w:r w:rsidRPr="00B13A6A">
              <w:t>1</w:t>
            </w:r>
          </w:p>
        </w:tc>
        <w:tc>
          <w:tcPr>
            <w:tcW w:w="944" w:type="pct"/>
          </w:tcPr>
          <w:p w:rsidR="00137863" w:rsidRPr="00995307" w:rsidP="00C15D23" w14:paraId="2E0367E7" w14:textId="77777777">
            <w:pPr>
              <w:pStyle w:val="Normal0"/>
            </w:pPr>
            <w:r>
              <w:rPr>
                <w:rFonts w:hint="eastAsia"/>
              </w:rPr>
              <w:t>企业名称</w:t>
            </w:r>
          </w:p>
        </w:tc>
        <w:tc>
          <w:tcPr>
            <w:tcW w:w="3838" w:type="pct"/>
          </w:tcPr>
          <w:p w:rsidR="00137863" w:rsidRPr="00B13A6A" w:rsidP="00C15D23" w14:paraId="53B5C649" w14:textId="77777777">
            <w:pPr>
              <w:pStyle w:val="Normal0"/>
              <w:rPr>
                <w:bCs/>
              </w:rPr>
            </w:pPr>
            <w:r>
              <w:rPr>
                <w:bCs/>
              </w:rPr>
              <w:t>Ista</w:t>
            </w:r>
          </w:p>
        </w:tc>
      </w:tr>
      <w:tr w14:paraId="479C740D" w14:textId="77777777" w:rsidTr="00C15D23">
        <w:tblPrEx>
          <w:tblW w:w="5000" w:type="pct"/>
          <w:tblLook w:val="00A0"/>
        </w:tblPrEx>
        <w:tc>
          <w:tcPr>
            <w:tcW w:w="218" w:type="pct"/>
          </w:tcPr>
          <w:p w:rsidR="00137863" w:rsidRPr="00B13A6A" w:rsidP="00C15D23" w14:paraId="2045A2BF" w14:textId="77777777">
            <w:pPr>
              <w:pStyle w:val="Normal0"/>
            </w:pPr>
            <w:r w:rsidRPr="00B13A6A">
              <w:t>2</w:t>
            </w:r>
          </w:p>
        </w:tc>
        <w:tc>
          <w:tcPr>
            <w:tcW w:w="944" w:type="pct"/>
          </w:tcPr>
          <w:p w:rsidR="00137863" w:rsidRPr="00995307" w:rsidP="00C15D23" w14:paraId="2A812C6A" w14:textId="77777777">
            <w:pPr>
              <w:pStyle w:val="Normal0"/>
            </w:pPr>
            <w:r>
              <w:rPr>
                <w:rFonts w:hint="eastAsia"/>
              </w:rPr>
              <w:t>企业官网</w:t>
            </w:r>
          </w:p>
        </w:tc>
        <w:tc>
          <w:tcPr>
            <w:tcW w:w="3838" w:type="pct"/>
          </w:tcPr>
          <w:p w:rsidR="00137863" w:rsidRPr="00B13A6A" w:rsidP="00C15D23" w14:paraId="3891ACBC" w14:textId="77777777">
            <w:pPr>
              <w:pStyle w:val="Normal0"/>
              <w:rPr>
                <w:bCs/>
              </w:rPr>
            </w:pPr>
          </w:p>
        </w:tc>
      </w:tr>
      <w:tr w14:paraId="4F3878E6" w14:textId="77777777" w:rsidTr="00C15D23">
        <w:tblPrEx>
          <w:tblW w:w="5000" w:type="pct"/>
          <w:tblLook w:val="00A0"/>
        </w:tblPrEx>
        <w:trPr>
          <w:trHeight w:val="279"/>
        </w:trPr>
        <w:tc>
          <w:tcPr>
            <w:tcW w:w="218" w:type="pct"/>
          </w:tcPr>
          <w:p w:rsidR="00137863" w:rsidRPr="00B13A6A" w:rsidP="00C15D23" w14:paraId="581CE2B3" w14:textId="77777777">
            <w:pPr>
              <w:pStyle w:val="Normal0"/>
            </w:pPr>
            <w:r w:rsidRPr="00B13A6A">
              <w:t>3</w:t>
            </w:r>
          </w:p>
        </w:tc>
        <w:tc>
          <w:tcPr>
            <w:tcW w:w="944" w:type="pct"/>
          </w:tcPr>
          <w:p w:rsidR="00137863" w:rsidRPr="002E1D04" w:rsidP="00C15D23" w14:paraId="6731CDE8" w14:textId="77777777">
            <w:pPr>
              <w:pStyle w:val="Normal0"/>
            </w:pPr>
            <w:r>
              <w:rPr>
                <w:rFonts w:hint="eastAsia"/>
              </w:rPr>
              <w:t>商业化生产日期</w:t>
            </w:r>
          </w:p>
        </w:tc>
        <w:tc>
          <w:tcPr>
            <w:tcW w:w="3838" w:type="pct"/>
          </w:tcPr>
          <w:p w:rsidR="00137863" w:rsidRPr="00B13A6A" w:rsidP="00C15D23" w14:paraId="7CB53829" w14:textId="77777777">
            <w:pPr>
              <w:pStyle w:val="Normal0"/>
              <w:rPr>
                <w:bCs/>
              </w:rPr>
            </w:pPr>
          </w:p>
        </w:tc>
      </w:tr>
      <w:tr w14:paraId="1F84B2B9" w14:textId="77777777" w:rsidTr="00C15D23">
        <w:tblPrEx>
          <w:tblW w:w="5000" w:type="pct"/>
          <w:tblLook w:val="00A0"/>
        </w:tblPrEx>
        <w:tc>
          <w:tcPr>
            <w:tcW w:w="218" w:type="pct"/>
          </w:tcPr>
          <w:p w:rsidR="00137863" w:rsidRPr="00B13A6A" w:rsidP="00C15D23" w14:paraId="44830112" w14:textId="77777777">
            <w:pPr>
              <w:pStyle w:val="Normal0"/>
            </w:pPr>
            <w:r w:rsidRPr="00B13A6A">
              <w:t>4</w:t>
            </w:r>
          </w:p>
        </w:tc>
        <w:tc>
          <w:tcPr>
            <w:tcW w:w="944" w:type="pct"/>
          </w:tcPr>
          <w:p w:rsidR="00137863" w:rsidRPr="0077236D" w:rsidP="00C15D23" w14:paraId="70CCF07E" w14:textId="77777777">
            <w:pPr>
              <w:pStyle w:val="Normal0"/>
            </w:pPr>
            <w:r>
              <w:rPr>
                <w:rFonts w:hint="eastAsia"/>
              </w:rPr>
              <w:t>生产基地</w:t>
            </w:r>
          </w:p>
        </w:tc>
        <w:tc>
          <w:tcPr>
            <w:tcW w:w="3838" w:type="pct"/>
          </w:tcPr>
          <w:p w:rsidR="00137863" w:rsidRPr="00B13A6A" w:rsidP="00C15D23" w14:paraId="013313A1" w14:textId="77777777">
            <w:pPr>
              <w:pStyle w:val="Normal0"/>
              <w:rPr>
                <w:bCs/>
              </w:rPr>
            </w:pPr>
          </w:p>
        </w:tc>
      </w:tr>
      <w:tr w14:paraId="0B67B6EB" w14:textId="77777777" w:rsidTr="00C15D23">
        <w:tblPrEx>
          <w:tblW w:w="5000" w:type="pct"/>
          <w:tblLook w:val="00A0"/>
        </w:tblPrEx>
        <w:tc>
          <w:tcPr>
            <w:tcW w:w="218" w:type="pct"/>
          </w:tcPr>
          <w:p w:rsidR="00137863" w:rsidRPr="00B13A6A" w:rsidP="00C15D23" w14:paraId="40C935A1" w14:textId="77777777">
            <w:pPr>
              <w:pStyle w:val="Normal0"/>
            </w:pPr>
            <w:r w:rsidRPr="00B13A6A">
              <w:t>5</w:t>
            </w:r>
          </w:p>
        </w:tc>
        <w:tc>
          <w:tcPr>
            <w:tcW w:w="944" w:type="pct"/>
          </w:tcPr>
          <w:p w:rsidR="00137863" w:rsidRPr="00DA229E" w:rsidP="00C15D23" w14:paraId="021B3F57" w14:textId="77777777">
            <w:pPr>
              <w:pStyle w:val="Normal0"/>
            </w:pPr>
            <w:r>
              <w:rPr>
                <w:rFonts w:hint="eastAsia"/>
              </w:rPr>
              <w:t>总部所在地</w:t>
            </w:r>
          </w:p>
        </w:tc>
        <w:tc>
          <w:tcPr>
            <w:tcW w:w="3838" w:type="pct"/>
          </w:tcPr>
          <w:p w:rsidR="00137863" w:rsidRPr="00B13A6A" w:rsidP="00C15D23" w14:paraId="6A59A04E" w14:textId="77777777">
            <w:pPr>
              <w:pStyle w:val="Normal0"/>
              <w:rPr>
                <w:bCs/>
              </w:rPr>
            </w:pPr>
          </w:p>
        </w:tc>
      </w:tr>
      <w:tr w14:paraId="14E18B6B" w14:textId="77777777" w:rsidTr="00C15D23">
        <w:tblPrEx>
          <w:tblW w:w="5000" w:type="pct"/>
          <w:tblLook w:val="00A0"/>
        </w:tblPrEx>
        <w:tc>
          <w:tcPr>
            <w:tcW w:w="218" w:type="pct"/>
          </w:tcPr>
          <w:p w:rsidR="00137863" w:rsidRPr="00B13A6A" w:rsidP="00C15D23" w14:paraId="24E1130A" w14:textId="77777777">
            <w:pPr>
              <w:pStyle w:val="Normal0"/>
            </w:pPr>
            <w:r w:rsidRPr="00B13A6A">
              <w:t>6</w:t>
            </w:r>
          </w:p>
        </w:tc>
        <w:tc>
          <w:tcPr>
            <w:tcW w:w="944" w:type="pct"/>
          </w:tcPr>
          <w:p w:rsidR="00137863" w:rsidRPr="00B13A6A" w:rsidP="00C15D23" w14:paraId="69A42CEA" w14:textId="77777777">
            <w:pPr>
              <w:pStyle w:val="Normal0"/>
            </w:pPr>
            <w:r>
              <w:rPr>
                <w:rFonts w:hint="eastAsia"/>
              </w:rPr>
              <w:t>主要经济活动</w:t>
            </w:r>
          </w:p>
        </w:tc>
        <w:tc>
          <w:tcPr>
            <w:tcW w:w="3838" w:type="pct"/>
          </w:tcPr>
          <w:p w:rsidR="00137863" w:rsidRPr="00B13A6A" w:rsidP="00C15D23" w14:paraId="5A5BF562" w14:textId="77777777">
            <w:pPr>
              <w:pStyle w:val="Normal0"/>
              <w:rPr>
                <w:bCs/>
              </w:rPr>
            </w:pPr>
          </w:p>
        </w:tc>
      </w:tr>
      <w:tr w14:paraId="5FF4BBBF" w14:textId="77777777" w:rsidTr="00C15D23">
        <w:tblPrEx>
          <w:tblW w:w="5000" w:type="pct"/>
          <w:tblLook w:val="00A0"/>
        </w:tblPrEx>
        <w:tc>
          <w:tcPr>
            <w:tcW w:w="218" w:type="pct"/>
          </w:tcPr>
          <w:p w:rsidR="00137863" w:rsidRPr="004D249F" w:rsidP="00C15D23" w14:paraId="2BAE410B" w14:textId="77777777">
            <w:pPr>
              <w:pStyle w:val="Normal0"/>
            </w:pPr>
            <w:r>
              <w:rPr>
                <w:rFonts w:hint="eastAsia"/>
              </w:rPr>
              <w:t>7</w:t>
            </w:r>
          </w:p>
        </w:tc>
        <w:tc>
          <w:tcPr>
            <w:tcW w:w="944" w:type="pct"/>
          </w:tcPr>
          <w:p w:rsidR="00137863" w:rsidRPr="00FB62BD" w:rsidP="00C15D23" w14:paraId="57020D2D" w14:textId="77777777">
            <w:pPr>
              <w:pStyle w:val="Normal0"/>
              <w:rPr>
                <w:bCs/>
              </w:rPr>
            </w:pPr>
            <w:r>
              <w:rPr>
                <w:rFonts w:hint="eastAsia"/>
                <w:bCs/>
              </w:rPr>
              <w:t>市场地位</w:t>
            </w:r>
          </w:p>
        </w:tc>
        <w:tc>
          <w:tcPr>
            <w:tcW w:w="3838" w:type="pct"/>
          </w:tcPr>
          <w:p w:rsidR="00137863" w:rsidRPr="00B13A6A" w:rsidP="00C15D23" w14:paraId="04C04A72" w14:textId="77777777">
            <w:pPr>
              <w:pStyle w:val="Normal0"/>
              <w:rPr>
                <w:bCs/>
              </w:rPr>
            </w:pPr>
          </w:p>
        </w:tc>
      </w:tr>
      <w:tr w14:paraId="69B2D8DC" w14:textId="77777777" w:rsidTr="00C15D23">
        <w:tblPrEx>
          <w:tblW w:w="5000" w:type="pct"/>
          <w:tblLook w:val="00A0"/>
        </w:tblPrEx>
        <w:tc>
          <w:tcPr>
            <w:tcW w:w="218" w:type="pct"/>
          </w:tcPr>
          <w:p w:rsidR="00137863" w:rsidP="00C15D23" w14:paraId="4AD38167" w14:textId="77777777">
            <w:pPr>
              <w:pStyle w:val="Normal0"/>
            </w:pPr>
            <w:r>
              <w:rPr>
                <w:rFonts w:hint="eastAsia"/>
              </w:rPr>
              <w:t>8</w:t>
            </w:r>
          </w:p>
        </w:tc>
        <w:tc>
          <w:tcPr>
            <w:tcW w:w="944" w:type="pct"/>
          </w:tcPr>
          <w:p w:rsidR="00137863" w:rsidP="00C15D23" w14:paraId="2F181F4A" w14:textId="77777777">
            <w:pPr>
              <w:pStyle w:val="Normal0"/>
              <w:rPr>
                <w:bCs/>
              </w:rPr>
            </w:pPr>
            <w:r>
              <w:rPr>
                <w:rFonts w:hint="eastAsia"/>
                <w:bCs/>
              </w:rPr>
              <w:t>主要竞争对手</w:t>
            </w:r>
          </w:p>
        </w:tc>
        <w:tc>
          <w:tcPr>
            <w:tcW w:w="3838" w:type="pct"/>
          </w:tcPr>
          <w:p w:rsidR="00137863" w:rsidRPr="00B13A6A" w:rsidP="00C15D23" w14:paraId="4B752FAD" w14:textId="77777777">
            <w:pPr>
              <w:pStyle w:val="Normal0"/>
              <w:rPr>
                <w:bCs/>
              </w:rPr>
            </w:pPr>
          </w:p>
        </w:tc>
      </w:tr>
      <w:tr w14:paraId="26049667" w14:textId="77777777" w:rsidTr="00C15D23">
        <w:tblPrEx>
          <w:tblW w:w="5000" w:type="pct"/>
          <w:tblLook w:val="00A0"/>
        </w:tblPrEx>
        <w:tc>
          <w:tcPr>
            <w:tcW w:w="218" w:type="pct"/>
          </w:tcPr>
          <w:p w:rsidR="00137863" w:rsidP="00C15D23" w14:paraId="0D366809" w14:textId="77777777">
            <w:pPr>
              <w:pStyle w:val="Normal0"/>
            </w:pPr>
            <w:r>
              <w:rPr>
                <w:rFonts w:hint="eastAsia"/>
              </w:rPr>
              <w:t>9</w:t>
            </w:r>
          </w:p>
        </w:tc>
        <w:tc>
          <w:tcPr>
            <w:tcW w:w="944" w:type="pct"/>
          </w:tcPr>
          <w:p w:rsidR="00137863" w:rsidP="00C15D23" w14:paraId="7B41DB43" w14:textId="77777777">
            <w:pPr>
              <w:pStyle w:val="Normal0"/>
              <w:rPr>
                <w:bCs/>
              </w:rPr>
            </w:pPr>
            <w:r>
              <w:rPr>
                <w:rFonts w:hint="eastAsia"/>
                <w:bCs/>
              </w:rPr>
              <w:t>联系方式</w:t>
            </w:r>
          </w:p>
        </w:tc>
        <w:tc>
          <w:tcPr>
            <w:tcW w:w="3838" w:type="pct"/>
          </w:tcPr>
          <w:p w:rsidR="00137863" w:rsidRPr="00B13A6A" w:rsidP="00C15D23" w14:paraId="288589CF" w14:textId="77777777">
            <w:pPr>
              <w:pStyle w:val="Normal0"/>
              <w:rPr>
                <w:bCs/>
              </w:rPr>
            </w:pPr>
          </w:p>
        </w:tc>
      </w:tr>
    </w:tbl>
    <w:p w:rsidR="00137863" w:rsidP="00137863" w14:paraId="190ABCD8" w14:textId="77777777">
      <w:pPr>
        <w:pStyle w:val="Source00"/>
      </w:pPr>
      <w:r>
        <w:rPr>
          <w:rFonts w:hint="eastAsia"/>
        </w:rPr>
        <w:t>资料来源：</w:t>
      </w:r>
      <w:r>
        <w:rPr>
          <w:rFonts w:hint="eastAsia"/>
        </w:rPr>
        <w:t>Ista</w:t>
      </w:r>
      <w:r>
        <w:rPr>
          <w:rFonts w:hint="eastAsia"/>
        </w:rPr>
        <w:t>；第三方资料、新闻报道、业内专家采访及</w:t>
      </w:r>
      <w:r>
        <w:rPr>
          <w:rFonts w:hint="eastAsia"/>
        </w:rPr>
        <w:t>QYResearch</w:t>
      </w:r>
      <w:r>
        <w:rPr>
          <w:rFonts w:hint="eastAsia"/>
        </w:rPr>
        <w:t>整理研究，</w:t>
      </w:r>
      <w:r>
        <w:rPr>
          <w:rFonts w:hint="eastAsia"/>
        </w:rPr>
        <w:t>2024</w:t>
      </w:r>
      <w:r>
        <w:rPr>
          <w:rFonts w:hint="eastAsia"/>
        </w:rPr>
        <w:t>年</w:t>
      </w:r>
    </w:p>
    <w:p w:rsidR="00137863" w:rsidP="00137863" w14:paraId="4BFB72A0" w14:textId="77777777">
      <w:pPr>
        <w:pStyle w:val="Heading30"/>
      </w:pPr>
      <w:bookmarkStart w:id="170" w:name="_Toc121583916"/>
      <w:bookmarkStart w:id="171" w:name="_Toc166762039"/>
      <w:r>
        <w:rPr>
          <w:rFonts w:hint="eastAsia"/>
        </w:rPr>
        <w:t>Ista 电子式热分配表(HCA)</w:t>
      </w:r>
      <w:r>
        <w:rPr>
          <w:rFonts w:hint="eastAsia"/>
        </w:rPr>
        <w:t>产品规格、参数及市场应用</w:t>
      </w:r>
      <w:bookmarkEnd w:id="170"/>
      <w:bookmarkEnd w:id="171"/>
    </w:p>
    <w:p w:rsidR="00137863" w:rsidRPr="006C3BE6" w:rsidP="006C3BE6" w14:paraId="08693AE5" w14:textId="77777777">
      <w:pPr>
        <w:pStyle w:val="TableStyle0"/>
        <w:ind w:left="252" w:right="-105"/>
      </w:pPr>
      <w:bookmarkStart w:id="172" w:name="_Toc121583643"/>
      <w:bookmarkStart w:id="173" w:name="_Toc166761959"/>
      <w:r w:rsidRPr="006C3BE6">
        <w:rPr>
          <w:rFonts w:hint="eastAsia"/>
        </w:rPr>
        <w:t>Ista 电子式热分配表(HCA)</w:t>
      </w:r>
      <w:r w:rsidRPr="006C3BE6">
        <w:rPr>
          <w:rFonts w:hint="eastAsia"/>
        </w:rPr>
        <w:t>产品规格、参数及市场应用</w:t>
      </w:r>
      <w:bookmarkEnd w:id="172"/>
      <w:bookmarkEnd w:id="173"/>
    </w:p>
    <w:tbl>
      <w:tblPr>
        <w:tblStyle w:val="TableGrid80"/>
        <w:tblW w:w="5000" w:type="pct"/>
        <w:tblLook w:val="04A0"/>
      </w:tblPr>
      <w:tblGrid>
        <w:gridCol w:w="2319"/>
        <w:gridCol w:w="7649"/>
      </w:tblGrid>
      <w:tr w14:paraId="5800911C" w14:textId="77777777" w:rsidTr="00C15D23">
        <w:tblPrEx>
          <w:tblW w:w="5000" w:type="pct"/>
          <w:tblLook w:val="04A0"/>
        </w:tblPrEx>
        <w:tc>
          <w:tcPr>
            <w:tcW w:w="1163" w:type="pct"/>
          </w:tcPr>
          <w:p w:rsidR="00137863" w:rsidP="00C15D23" w14:paraId="480523B4" w14:textId="77777777">
            <w:pPr>
              <w:pStyle w:val="Normal0"/>
            </w:pPr>
            <w:r>
              <w:rPr>
                <w:rFonts w:hint="eastAsia"/>
              </w:rPr>
              <w:t>产品</w:t>
            </w:r>
          </w:p>
        </w:tc>
        <w:tc>
          <w:tcPr>
            <w:tcW w:w="3837" w:type="pct"/>
          </w:tcPr>
          <w:p w:rsidR="00137863" w:rsidP="00C15D23" w14:paraId="0837994B" w14:textId="77777777">
            <w:pPr>
              <w:pStyle w:val="Normal0"/>
            </w:pPr>
            <w:r>
              <w:rPr>
                <w:rFonts w:hint="eastAsia"/>
              </w:rPr>
              <w:t>描述</w:t>
            </w:r>
          </w:p>
        </w:tc>
      </w:tr>
      <w:tr w14:paraId="09AEC9D3" w14:textId="77777777" w:rsidTr="00C15D23">
        <w:tblPrEx>
          <w:tblW w:w="5000" w:type="pct"/>
          <w:tblLook w:val="04A0"/>
        </w:tblPrEx>
        <w:tc>
          <w:tcPr>
            <w:tcW w:w="1163" w:type="pct"/>
          </w:tcPr>
          <w:p w:rsidR="00137863" w:rsidP="00C15D23" w14:paraId="28CBC839" w14:textId="77777777">
            <w:pPr>
              <w:pStyle w:val="Normal0"/>
            </w:pPr>
          </w:p>
        </w:tc>
        <w:tc>
          <w:tcPr>
            <w:tcW w:w="3837" w:type="pct"/>
          </w:tcPr>
          <w:p w:rsidR="00137863" w:rsidP="00C15D23" w14:paraId="2CCCFF83" w14:textId="77777777">
            <w:pPr>
              <w:pStyle w:val="Normal0"/>
            </w:pPr>
          </w:p>
          <w:p w:rsidR="00137863" w:rsidP="00C15D23" w14:paraId="4F72FF09" w14:textId="77777777">
            <w:pPr>
              <w:pStyle w:val="Normal0"/>
            </w:pPr>
          </w:p>
        </w:tc>
      </w:tr>
      <w:tr w14:paraId="12AC670C" w14:textId="77777777" w:rsidTr="00C15D23">
        <w:tblPrEx>
          <w:tblW w:w="5000" w:type="pct"/>
          <w:tblLook w:val="04A0"/>
        </w:tblPrEx>
        <w:tc>
          <w:tcPr>
            <w:tcW w:w="1163" w:type="pct"/>
          </w:tcPr>
          <w:p w:rsidR="00137863" w:rsidP="00C15D23" w14:paraId="1181570E" w14:textId="77777777">
            <w:pPr>
              <w:pStyle w:val="Normal0"/>
            </w:pPr>
          </w:p>
        </w:tc>
        <w:tc>
          <w:tcPr>
            <w:tcW w:w="3837" w:type="pct"/>
          </w:tcPr>
          <w:p w:rsidR="00137863" w:rsidP="00C15D23" w14:paraId="29F57ECB" w14:textId="77777777">
            <w:pPr>
              <w:pStyle w:val="Normal0"/>
            </w:pPr>
          </w:p>
          <w:p w:rsidR="00137863" w:rsidP="00C15D23" w14:paraId="4A0DE8E5" w14:textId="77777777">
            <w:pPr>
              <w:pStyle w:val="Normal0"/>
            </w:pPr>
          </w:p>
        </w:tc>
      </w:tr>
    </w:tbl>
    <w:p w:rsidR="00137863" w:rsidRPr="00400074" w:rsidP="00137863" w14:paraId="7AF9E044" w14:textId="77777777">
      <w:pPr>
        <w:pStyle w:val="Source00"/>
      </w:pPr>
      <w:r>
        <w:rPr>
          <w:rFonts w:hint="eastAsia"/>
        </w:rPr>
        <w:t>资料来源：</w:t>
      </w:r>
      <w:r>
        <w:rPr>
          <w:rFonts w:hint="eastAsia"/>
        </w:rPr>
        <w:t>Ista</w:t>
      </w:r>
      <w:r>
        <w:rPr>
          <w:rFonts w:hint="eastAsia"/>
        </w:rPr>
        <w:t>；第三方资料、新闻报道、业内专家采访及</w:t>
      </w:r>
      <w:r>
        <w:rPr>
          <w:rFonts w:hint="eastAsia"/>
        </w:rPr>
        <w:t>QYResearch</w:t>
      </w:r>
      <w:r>
        <w:rPr>
          <w:rFonts w:hint="eastAsia"/>
        </w:rPr>
        <w:t>整理研究，</w:t>
      </w:r>
      <w:r>
        <w:rPr>
          <w:rFonts w:hint="eastAsia"/>
        </w:rPr>
        <w:t>2024</w:t>
      </w:r>
      <w:r>
        <w:rPr>
          <w:rFonts w:hint="eastAsia"/>
        </w:rPr>
        <w:t>年</w:t>
      </w:r>
    </w:p>
    <w:p w:rsidR="00137863" w:rsidP="00137863" w14:paraId="41E26D48" w14:textId="77777777">
      <w:pPr>
        <w:pStyle w:val="Heading30"/>
      </w:pPr>
      <w:bookmarkStart w:id="174" w:name="_Toc121583918"/>
      <w:bookmarkStart w:id="175" w:name="_Toc166762040"/>
      <w:r>
        <w:rPr>
          <w:rFonts w:hint="eastAsia"/>
        </w:rPr>
        <w:t>Ista</w:t>
      </w:r>
      <w:r>
        <w:rPr>
          <w:rFonts w:hint="eastAsia"/>
        </w:rPr>
        <w:t>公司简介及主要业务</w:t>
      </w:r>
      <w:bookmarkEnd w:id="174"/>
      <w:bookmarkEnd w:id="175"/>
    </w:p>
    <w:p w:rsidR="00137863" w:rsidRPr="006C3BE6" w:rsidP="006C3BE6" w14:paraId="26872AF0" w14:textId="77777777">
      <w:pPr>
        <w:pStyle w:val="TableStyle0"/>
        <w:ind w:left="252" w:right="-105"/>
      </w:pPr>
      <w:bookmarkStart w:id="176" w:name="_Toc121583645"/>
      <w:bookmarkStart w:id="177" w:name="_Toc166761960"/>
      <w:r w:rsidRPr="006C3BE6">
        <w:rPr>
          <w:rFonts w:hint="eastAsia"/>
        </w:rPr>
        <w:t>Ista</w:t>
      </w:r>
      <w:r w:rsidRPr="006C3BE6">
        <w:rPr>
          <w:rFonts w:hint="eastAsia"/>
        </w:rPr>
        <w:t>公司简介及主要业务</w:t>
      </w:r>
      <w:bookmarkEnd w:id="176"/>
      <w:bookmarkEnd w:id="177"/>
    </w:p>
    <w:tbl>
      <w:tblPr>
        <w:tblStyle w:val="TableGrid80"/>
        <w:tblW w:w="5000" w:type="pct"/>
        <w:tblLook w:val="04A0"/>
      </w:tblPr>
      <w:tblGrid>
        <w:gridCol w:w="2319"/>
        <w:gridCol w:w="7649"/>
      </w:tblGrid>
      <w:tr w14:paraId="5DCE23B6" w14:textId="77777777" w:rsidTr="00C15D23">
        <w:tblPrEx>
          <w:tblW w:w="5000" w:type="pct"/>
          <w:tblLook w:val="04A0"/>
        </w:tblPrEx>
        <w:tc>
          <w:tcPr>
            <w:tcW w:w="1163" w:type="pct"/>
          </w:tcPr>
          <w:p w:rsidR="00137863" w:rsidP="00C15D23" w14:paraId="2A87137A" w14:textId="77777777">
            <w:pPr>
              <w:pStyle w:val="Normal0"/>
            </w:pPr>
            <w:r>
              <w:rPr>
                <w:rFonts w:hint="eastAsia"/>
              </w:rPr>
              <w:t>Ista</w:t>
            </w:r>
          </w:p>
        </w:tc>
        <w:tc>
          <w:tcPr>
            <w:tcW w:w="3837" w:type="pct"/>
          </w:tcPr>
          <w:p w:rsidR="00137863" w:rsidP="00C15D23" w14:paraId="1B030471" w14:textId="77777777">
            <w:pPr>
              <w:pStyle w:val="Normal0"/>
            </w:pPr>
            <w:r>
              <w:rPr>
                <w:rFonts w:hint="eastAsia"/>
              </w:rPr>
              <w:t>详情描述</w:t>
            </w:r>
          </w:p>
        </w:tc>
      </w:tr>
      <w:tr w14:paraId="6AC1F384" w14:textId="77777777" w:rsidTr="00C15D23">
        <w:tblPrEx>
          <w:tblW w:w="5000" w:type="pct"/>
          <w:tblLook w:val="04A0"/>
        </w:tblPrEx>
        <w:tc>
          <w:tcPr>
            <w:tcW w:w="1163" w:type="pct"/>
          </w:tcPr>
          <w:p w:rsidR="00137863" w:rsidP="00C15D23" w14:paraId="483CF3F4" w14:textId="77777777">
            <w:pPr>
              <w:pStyle w:val="Normal0"/>
            </w:pPr>
            <w:r>
              <w:rPr>
                <w:rFonts w:hint="eastAsia"/>
              </w:rPr>
              <w:t>企业概况</w:t>
            </w:r>
          </w:p>
        </w:tc>
        <w:tc>
          <w:tcPr>
            <w:tcW w:w="3837" w:type="pct"/>
          </w:tcPr>
          <w:p w:rsidR="00137863" w:rsidP="00C15D23">
            <w:pPr>
              <w:pStyle w:val="Normal0"/>
            </w:pPr>
          </w:p>
          <w:p w:rsidR="00137863" w:rsidP="00C15D23" w14:paraId="6B9914DB" w14:textId="77777777">
            <w:pPr>
              <w:pStyle w:val="Normal0"/>
            </w:pPr>
          </w:p>
        </w:tc>
      </w:tr>
      <w:tr w14:paraId="57438D07" w14:textId="77777777" w:rsidTr="00C15D23">
        <w:tblPrEx>
          <w:tblW w:w="5000" w:type="pct"/>
          <w:tblLook w:val="04A0"/>
        </w:tblPrEx>
        <w:tc>
          <w:tcPr>
            <w:tcW w:w="1163" w:type="pct"/>
          </w:tcPr>
          <w:p w:rsidR="00137863" w:rsidP="00C15D23" w14:paraId="2DA806C4" w14:textId="77777777">
            <w:pPr>
              <w:pStyle w:val="Normal0"/>
            </w:pPr>
            <w:r>
              <w:rPr>
                <w:rFonts w:hint="eastAsia"/>
              </w:rPr>
              <w:t>主要业务</w:t>
            </w:r>
          </w:p>
        </w:tc>
        <w:tc>
          <w:tcPr>
            <w:tcW w:w="3837" w:type="pct"/>
          </w:tcPr>
          <w:p w:rsidR="00137863" w:rsidP="00C15D23">
            <w:pPr>
              <w:pStyle w:val="Normal0"/>
            </w:pPr>
          </w:p>
          <w:p w:rsidR="00137863" w:rsidP="00C15D23" w14:paraId="72E1B0AB" w14:textId="77777777">
            <w:pPr>
              <w:pStyle w:val="Normal0"/>
            </w:pPr>
          </w:p>
        </w:tc>
      </w:tr>
    </w:tbl>
    <w:p w:rsidR="00137863" w:rsidRPr="00FA5C78" w:rsidP="00137863" w14:paraId="55861797" w14:textId="77777777">
      <w:pPr>
        <w:pStyle w:val="Source00"/>
      </w:pPr>
      <w:r>
        <w:rPr>
          <w:rFonts w:hint="eastAsia"/>
        </w:rPr>
        <w:t>资料来源：</w:t>
      </w:r>
      <w:r>
        <w:rPr>
          <w:rFonts w:hint="eastAsia"/>
        </w:rPr>
        <w:t>Ista</w:t>
      </w:r>
      <w:r>
        <w:rPr>
          <w:rFonts w:hint="eastAsia"/>
        </w:rPr>
        <w:t>；第三方资料、新闻报道、业内专家采访及</w:t>
      </w:r>
      <w:r>
        <w:rPr>
          <w:rFonts w:hint="eastAsia"/>
        </w:rPr>
        <w:t>QYResearch</w:t>
      </w:r>
      <w:r>
        <w:rPr>
          <w:rFonts w:hint="eastAsia"/>
        </w:rPr>
        <w:t>整理研究，</w:t>
      </w:r>
      <w:r>
        <w:rPr>
          <w:rFonts w:hint="eastAsia"/>
        </w:rPr>
        <w:t>2024</w:t>
      </w:r>
      <w:r>
        <w:rPr>
          <w:rFonts w:hint="eastAsia"/>
        </w:rPr>
        <w:t>年</w:t>
      </w:r>
    </w:p>
    <w:p w:rsidR="00137863" w:rsidP="00137863" w14:paraId="1443D1BA" w14:textId="77777777">
      <w:pPr>
        <w:pStyle w:val="Heading30"/>
      </w:pPr>
      <w:bookmarkStart w:id="178" w:name="_Toc121583919"/>
      <w:bookmarkStart w:id="179" w:name="_Toc166762041"/>
      <w:r>
        <w:rPr>
          <w:rFonts w:hint="eastAsia"/>
        </w:rPr>
        <w:t>Ista</w:t>
      </w:r>
      <w:r>
        <w:rPr>
          <w:rFonts w:hint="eastAsia"/>
        </w:rPr>
        <w:t>企业最新动态</w:t>
      </w:r>
      <w:bookmarkEnd w:id="178"/>
      <w:bookmarkEnd w:id="179"/>
    </w:p>
    <w:p w:rsidR="00137863" w:rsidRPr="006C3BE6" w:rsidP="006C3BE6" w14:paraId="08D18632" w14:textId="77777777">
      <w:pPr>
        <w:pStyle w:val="TableStyle0"/>
        <w:ind w:left="252" w:right="-105"/>
      </w:pPr>
      <w:bookmarkStart w:id="180" w:name="_Toc121583646"/>
      <w:bookmarkStart w:id="181" w:name="_Toc166761961"/>
      <w:r w:rsidRPr="006C3BE6">
        <w:rPr>
          <w:rFonts w:hint="eastAsia"/>
        </w:rPr>
        <w:t>Ista</w:t>
      </w:r>
      <w:r w:rsidRPr="006C3BE6">
        <w:rPr>
          <w:rFonts w:hint="eastAsia"/>
        </w:rPr>
        <w:t>企业最新动态</w:t>
      </w:r>
      <w:bookmarkEnd w:id="180"/>
      <w:bookmarkEnd w:id="181"/>
    </w:p>
    <w:tbl>
      <w:tblPr>
        <w:tblStyle w:val="TableGrid80"/>
        <w:tblW w:w="5000" w:type="pct"/>
        <w:tblLook w:val="04A0"/>
      </w:tblPr>
      <w:tblGrid>
        <w:gridCol w:w="2319"/>
        <w:gridCol w:w="7649"/>
      </w:tblGrid>
      <w:tr w14:paraId="56A3CC76" w14:textId="77777777" w:rsidTr="00C15D23">
        <w:tblPrEx>
          <w:tblW w:w="5000" w:type="pct"/>
          <w:tblLook w:val="04A0"/>
        </w:tblPrEx>
        <w:tc>
          <w:tcPr>
            <w:tcW w:w="1163" w:type="pct"/>
          </w:tcPr>
          <w:p w:rsidR="00137863" w:rsidP="00C15D23" w14:paraId="6915D36D" w14:textId="77777777">
            <w:pPr>
              <w:pStyle w:val="Normal0"/>
            </w:pPr>
            <w:r>
              <w:rPr>
                <w:rFonts w:hint="eastAsia"/>
              </w:rPr>
              <w:t>日期</w:t>
            </w:r>
          </w:p>
        </w:tc>
        <w:tc>
          <w:tcPr>
            <w:tcW w:w="3837" w:type="pct"/>
          </w:tcPr>
          <w:p w:rsidR="00137863" w:rsidP="00C15D23" w14:paraId="055CDD56" w14:textId="77777777">
            <w:pPr>
              <w:pStyle w:val="Normal0"/>
            </w:pPr>
            <w:r>
              <w:rPr>
                <w:rFonts w:hint="eastAsia"/>
              </w:rPr>
              <w:t>详情描述</w:t>
            </w:r>
          </w:p>
        </w:tc>
      </w:tr>
      <w:tr w14:paraId="36A8C616" w14:textId="77777777" w:rsidTr="00C15D23">
        <w:tblPrEx>
          <w:tblW w:w="5000" w:type="pct"/>
          <w:tblLook w:val="04A0"/>
        </w:tblPrEx>
        <w:tc>
          <w:tcPr>
            <w:tcW w:w="1163" w:type="pct"/>
          </w:tcPr>
          <w:p w:rsidR="00137863" w:rsidP="00C15D23" w14:paraId="64E7A8C0" w14:textId="77777777">
            <w:pPr>
              <w:pStyle w:val="Normal0"/>
            </w:pPr>
          </w:p>
        </w:tc>
        <w:tc>
          <w:tcPr>
            <w:tcW w:w="3837" w:type="pct"/>
          </w:tcPr>
          <w:p w:rsidR="00137863" w:rsidP="00C15D23" w14:paraId="2641BE72" w14:textId="77777777">
            <w:pPr>
              <w:pStyle w:val="Normal0"/>
            </w:pPr>
          </w:p>
          <w:p w:rsidR="00137863" w:rsidP="00C15D23" w14:paraId="4333D615" w14:textId="77777777">
            <w:pPr>
              <w:pStyle w:val="Normal0"/>
            </w:pPr>
          </w:p>
        </w:tc>
      </w:tr>
      <w:tr w14:paraId="4993051A" w14:textId="77777777" w:rsidTr="00C15D23">
        <w:tblPrEx>
          <w:tblW w:w="5000" w:type="pct"/>
          <w:tblLook w:val="04A0"/>
        </w:tblPrEx>
        <w:tc>
          <w:tcPr>
            <w:tcW w:w="1163" w:type="pct"/>
          </w:tcPr>
          <w:p w:rsidR="00137863" w:rsidP="00C15D23" w14:paraId="03C40766" w14:textId="77777777">
            <w:pPr>
              <w:pStyle w:val="Normal0"/>
            </w:pPr>
          </w:p>
        </w:tc>
        <w:tc>
          <w:tcPr>
            <w:tcW w:w="3837" w:type="pct"/>
          </w:tcPr>
          <w:p w:rsidR="00137863" w:rsidP="00C15D23" w14:paraId="125C7986" w14:textId="77777777">
            <w:pPr>
              <w:pStyle w:val="Normal0"/>
            </w:pPr>
          </w:p>
          <w:p w:rsidR="00137863" w:rsidP="00C15D23" w14:paraId="00AEB644" w14:textId="77777777">
            <w:pPr>
              <w:pStyle w:val="Normal0"/>
            </w:pPr>
          </w:p>
        </w:tc>
      </w:tr>
      <w:tr w14:paraId="6E8FB0EA" w14:textId="77777777" w:rsidTr="00C15D23">
        <w:tblPrEx>
          <w:tblW w:w="5000" w:type="pct"/>
          <w:tblLook w:val="04A0"/>
        </w:tblPrEx>
        <w:tc>
          <w:tcPr>
            <w:tcW w:w="1163" w:type="pct"/>
          </w:tcPr>
          <w:p w:rsidR="00137863" w:rsidP="00C15D23" w14:paraId="28378B58" w14:textId="77777777">
            <w:pPr>
              <w:pStyle w:val="Normal0"/>
            </w:pPr>
          </w:p>
        </w:tc>
        <w:tc>
          <w:tcPr>
            <w:tcW w:w="3837" w:type="pct"/>
          </w:tcPr>
          <w:p w:rsidR="00137863" w:rsidP="00C15D23" w14:paraId="75E96630" w14:textId="77777777">
            <w:pPr>
              <w:pStyle w:val="Normal0"/>
            </w:pPr>
          </w:p>
          <w:p w:rsidR="00137863" w:rsidP="00C15D23" w14:paraId="16023A9F" w14:textId="77777777">
            <w:pPr>
              <w:pStyle w:val="Normal0"/>
            </w:pPr>
          </w:p>
        </w:tc>
      </w:tr>
    </w:tbl>
    <w:p w:rsidR="00137863" w:rsidP="00137863" w14:paraId="1982E1F8" w14:textId="77777777">
      <w:pPr>
        <w:pStyle w:val="Source00"/>
      </w:pPr>
      <w:r>
        <w:rPr>
          <w:rFonts w:hint="eastAsia"/>
        </w:rPr>
        <w:t>资料来源：</w:t>
      </w:r>
      <w:r>
        <w:rPr>
          <w:rFonts w:hint="eastAsia"/>
        </w:rPr>
        <w:t>Ista</w:t>
      </w:r>
      <w:r>
        <w:rPr>
          <w:rFonts w:hint="eastAsia"/>
        </w:rPr>
        <w:t>；第三方资料、新闻报道、业内专家采访及</w:t>
      </w:r>
      <w:r>
        <w:rPr>
          <w:rFonts w:hint="eastAsia"/>
        </w:rPr>
        <w:t>QYResearch</w:t>
      </w:r>
      <w:r>
        <w:rPr>
          <w:rFonts w:hint="eastAsia"/>
        </w:rPr>
        <w:t>整理研究，</w:t>
      </w:r>
      <w:r>
        <w:rPr>
          <w:rFonts w:hint="eastAsia"/>
        </w:rPr>
        <w:t>2024</w:t>
      </w:r>
      <w:r>
        <w:rPr>
          <w:rFonts w:hint="eastAsia"/>
        </w:rPr>
        <w:t>年</w:t>
      </w:r>
    </w:p>
    <w:p w:rsidR="00137863" w:rsidP="00137863">
      <w:pPr>
        <w:pStyle w:val="Heading20"/>
      </w:pPr>
      <w:bookmarkStart w:id="182" w:name="_Toc121583920"/>
      <w:bookmarkStart w:id="183" w:name="_Toc166762042"/>
      <w:r>
        <w:rPr>
          <w:rFonts w:hint="eastAsia"/>
        </w:rPr>
        <w:t>Techem</w:t>
      </w:r>
      <w:bookmarkEnd w:id="182"/>
      <w:bookmarkEnd w:id="183"/>
    </w:p>
    <w:p w:rsidR="00137863" w:rsidP="00137863" w14:paraId="336EA0E2" w14:textId="77777777">
      <w:pPr>
        <w:pStyle w:val="Heading30"/>
      </w:pPr>
      <w:bookmarkStart w:id="184" w:name="_Toc121583921"/>
      <w:bookmarkStart w:id="185" w:name="_Toc166762043"/>
      <w:r>
        <w:rPr>
          <w:rFonts w:hint="eastAsia"/>
        </w:rPr>
        <w:t>Techem</w:t>
      </w:r>
      <w:r>
        <w:rPr>
          <w:rFonts w:hint="eastAsia"/>
        </w:rPr>
        <w:t>基本信息、</w:t>
      </w:r>
      <w:r>
        <w:rPr>
          <w:rFonts w:hint="eastAsia"/>
        </w:rPr>
        <w:t>电子式热分配表(HCA)</w:t>
      </w:r>
      <w:r>
        <w:rPr>
          <w:rFonts w:hint="eastAsia"/>
        </w:rPr>
        <w:t>生产基地、总部、</w:t>
      </w:r>
      <w:r w:rsidRPr="00F74FCA">
        <w:rPr>
          <w:rFonts w:hint="eastAsia"/>
        </w:rPr>
        <w:t>竞争对手</w:t>
      </w:r>
      <w:r>
        <w:rPr>
          <w:rFonts w:hint="eastAsia"/>
        </w:rPr>
        <w:t>及市场地位</w:t>
      </w:r>
      <w:bookmarkEnd w:id="184"/>
      <w:bookmarkEnd w:id="185"/>
    </w:p>
    <w:p w:rsidR="00137863" w:rsidRPr="006C3BE6" w:rsidP="006C3BE6" w14:paraId="361ED552" w14:textId="77777777">
      <w:pPr>
        <w:pStyle w:val="TableStyle0"/>
        <w:ind w:left="252" w:right="-105"/>
      </w:pPr>
      <w:bookmarkStart w:id="186" w:name="_Toc121583647"/>
      <w:bookmarkStart w:id="187" w:name="_Toc166761962"/>
      <w:r w:rsidRPr="006C3BE6">
        <w:rPr>
          <w:rFonts w:hint="eastAsia"/>
        </w:rPr>
        <w:t>Techem</w:t>
      </w:r>
      <w:r w:rsidRPr="006C3BE6">
        <w:t xml:space="preserve"> </w:t>
      </w:r>
      <w:r w:rsidRPr="006C3BE6">
        <w:rPr>
          <w:rFonts w:hint="eastAsia"/>
        </w:rPr>
        <w:t>电子式热分配表(HCA)</w:t>
      </w:r>
      <w:r w:rsidRPr="006C3BE6">
        <w:rPr>
          <w:rFonts w:hint="eastAsia"/>
        </w:rPr>
        <w:t>生产基地、总部、竞争对手及市场地位</w:t>
      </w:r>
      <w:bookmarkEnd w:id="186"/>
      <w:bookmarkEnd w:id="187"/>
    </w:p>
    <w:tbl>
      <w:tblPr>
        <w:tblStyle w:val="TableGrid80"/>
        <w:tblW w:w="5000" w:type="pct"/>
        <w:tblLook w:val="00A0"/>
      </w:tblPr>
      <w:tblGrid>
        <w:gridCol w:w="435"/>
        <w:gridCol w:w="1882"/>
        <w:gridCol w:w="7651"/>
      </w:tblGrid>
      <w:tr w14:paraId="5F071F89" w14:textId="77777777" w:rsidTr="00C15D23">
        <w:tblPrEx>
          <w:tblW w:w="5000" w:type="pct"/>
          <w:tblLook w:val="00A0"/>
        </w:tblPrEx>
        <w:tc>
          <w:tcPr>
            <w:tcW w:w="218" w:type="pct"/>
          </w:tcPr>
          <w:p w:rsidR="00137863" w:rsidRPr="00B13A6A" w:rsidP="00C15D23" w14:paraId="57EA6EBF" w14:textId="77777777">
            <w:pPr>
              <w:pStyle w:val="Normal0"/>
            </w:pPr>
            <w:r w:rsidRPr="00B13A6A">
              <w:t>#</w:t>
            </w:r>
          </w:p>
        </w:tc>
        <w:tc>
          <w:tcPr>
            <w:tcW w:w="944" w:type="pct"/>
          </w:tcPr>
          <w:p w:rsidR="00137863" w:rsidRPr="00C459E0" w:rsidP="00C15D23" w14:paraId="57A78BEC" w14:textId="77777777">
            <w:pPr>
              <w:pStyle w:val="Normal0"/>
            </w:pPr>
            <w:r>
              <w:rPr>
                <w:rFonts w:hint="eastAsia"/>
              </w:rPr>
              <w:t>项目</w:t>
            </w:r>
          </w:p>
        </w:tc>
        <w:tc>
          <w:tcPr>
            <w:tcW w:w="3838" w:type="pct"/>
          </w:tcPr>
          <w:p w:rsidR="00137863" w:rsidRPr="00B13A6A" w:rsidP="00C15D23" w14:paraId="51AFC436" w14:textId="77777777">
            <w:pPr>
              <w:pStyle w:val="Normal0"/>
            </w:pPr>
            <w:r>
              <w:rPr>
                <w:rFonts w:hint="eastAsia"/>
              </w:rPr>
              <w:t>描述</w:t>
            </w:r>
          </w:p>
        </w:tc>
      </w:tr>
      <w:tr w14:paraId="6AB98024" w14:textId="77777777" w:rsidTr="00C15D23">
        <w:tblPrEx>
          <w:tblW w:w="5000" w:type="pct"/>
          <w:tblLook w:val="00A0"/>
        </w:tblPrEx>
        <w:tc>
          <w:tcPr>
            <w:tcW w:w="218" w:type="pct"/>
          </w:tcPr>
          <w:p w:rsidR="00137863" w:rsidRPr="00B13A6A" w:rsidP="00C15D23" w14:paraId="2F51B565" w14:textId="77777777">
            <w:pPr>
              <w:pStyle w:val="Normal0"/>
            </w:pPr>
            <w:r w:rsidRPr="00B13A6A">
              <w:t>1</w:t>
            </w:r>
          </w:p>
        </w:tc>
        <w:tc>
          <w:tcPr>
            <w:tcW w:w="944" w:type="pct"/>
          </w:tcPr>
          <w:p w:rsidR="00137863" w:rsidRPr="00995307" w:rsidP="00C15D23" w14:paraId="6CA8A95F" w14:textId="77777777">
            <w:pPr>
              <w:pStyle w:val="Normal0"/>
            </w:pPr>
            <w:r>
              <w:rPr>
                <w:rFonts w:hint="eastAsia"/>
              </w:rPr>
              <w:t>企业名称</w:t>
            </w:r>
          </w:p>
        </w:tc>
        <w:tc>
          <w:tcPr>
            <w:tcW w:w="3838" w:type="pct"/>
          </w:tcPr>
          <w:p w:rsidR="00137863" w:rsidRPr="00B13A6A" w:rsidP="00C15D23" w14:paraId="1D769EDF" w14:textId="77777777">
            <w:pPr>
              <w:pStyle w:val="Normal0"/>
              <w:rPr>
                <w:bCs/>
              </w:rPr>
            </w:pPr>
            <w:r>
              <w:rPr>
                <w:bCs/>
              </w:rPr>
              <w:t>Techem</w:t>
            </w:r>
          </w:p>
        </w:tc>
      </w:tr>
      <w:tr w14:paraId="6BC6F858" w14:textId="77777777" w:rsidTr="00C15D23">
        <w:tblPrEx>
          <w:tblW w:w="5000" w:type="pct"/>
          <w:tblLook w:val="00A0"/>
        </w:tblPrEx>
        <w:tc>
          <w:tcPr>
            <w:tcW w:w="218" w:type="pct"/>
          </w:tcPr>
          <w:p w:rsidR="00137863" w:rsidRPr="00B13A6A" w:rsidP="00C15D23" w14:paraId="6975C895" w14:textId="77777777">
            <w:pPr>
              <w:pStyle w:val="Normal0"/>
            </w:pPr>
            <w:r w:rsidRPr="00B13A6A">
              <w:t>2</w:t>
            </w:r>
          </w:p>
        </w:tc>
        <w:tc>
          <w:tcPr>
            <w:tcW w:w="944" w:type="pct"/>
          </w:tcPr>
          <w:p w:rsidR="00137863" w:rsidRPr="00995307" w:rsidP="00C15D23" w14:paraId="669CDE5C" w14:textId="77777777">
            <w:pPr>
              <w:pStyle w:val="Normal0"/>
            </w:pPr>
            <w:r>
              <w:rPr>
                <w:rFonts w:hint="eastAsia"/>
              </w:rPr>
              <w:t>企业官网</w:t>
            </w:r>
          </w:p>
        </w:tc>
        <w:tc>
          <w:tcPr>
            <w:tcW w:w="3838" w:type="pct"/>
          </w:tcPr>
          <w:p w:rsidR="00137863" w:rsidRPr="00B13A6A" w:rsidP="00C15D23" w14:paraId="2B0B4E48" w14:textId="77777777">
            <w:pPr>
              <w:pStyle w:val="Normal0"/>
              <w:rPr>
                <w:bCs/>
              </w:rPr>
            </w:pPr>
          </w:p>
        </w:tc>
      </w:tr>
      <w:tr w14:paraId="41E97EC4" w14:textId="77777777" w:rsidTr="00C15D23">
        <w:tblPrEx>
          <w:tblW w:w="5000" w:type="pct"/>
          <w:tblLook w:val="00A0"/>
        </w:tblPrEx>
        <w:trPr>
          <w:trHeight w:val="279"/>
        </w:trPr>
        <w:tc>
          <w:tcPr>
            <w:tcW w:w="218" w:type="pct"/>
          </w:tcPr>
          <w:p w:rsidR="00137863" w:rsidRPr="00B13A6A" w:rsidP="00C15D23" w14:paraId="4B324027" w14:textId="77777777">
            <w:pPr>
              <w:pStyle w:val="Normal0"/>
            </w:pPr>
            <w:r w:rsidRPr="00B13A6A">
              <w:t>3</w:t>
            </w:r>
          </w:p>
        </w:tc>
        <w:tc>
          <w:tcPr>
            <w:tcW w:w="944" w:type="pct"/>
          </w:tcPr>
          <w:p w:rsidR="00137863" w:rsidRPr="002E1D04" w:rsidP="00C15D23" w14:paraId="61D3FF7E" w14:textId="77777777">
            <w:pPr>
              <w:pStyle w:val="Normal0"/>
            </w:pPr>
            <w:r>
              <w:rPr>
                <w:rFonts w:hint="eastAsia"/>
              </w:rPr>
              <w:t>商业化生产日期</w:t>
            </w:r>
          </w:p>
        </w:tc>
        <w:tc>
          <w:tcPr>
            <w:tcW w:w="3838" w:type="pct"/>
          </w:tcPr>
          <w:p w:rsidR="00137863" w:rsidRPr="00B13A6A" w:rsidP="00C15D23" w14:paraId="1CFD711F" w14:textId="77777777">
            <w:pPr>
              <w:pStyle w:val="Normal0"/>
              <w:rPr>
                <w:bCs/>
              </w:rPr>
            </w:pPr>
          </w:p>
        </w:tc>
      </w:tr>
      <w:tr w14:paraId="4BC8663E" w14:textId="77777777" w:rsidTr="00C15D23">
        <w:tblPrEx>
          <w:tblW w:w="5000" w:type="pct"/>
          <w:tblLook w:val="00A0"/>
        </w:tblPrEx>
        <w:tc>
          <w:tcPr>
            <w:tcW w:w="218" w:type="pct"/>
          </w:tcPr>
          <w:p w:rsidR="00137863" w:rsidRPr="00B13A6A" w:rsidP="00C15D23" w14:paraId="35B0EA23" w14:textId="77777777">
            <w:pPr>
              <w:pStyle w:val="Normal0"/>
            </w:pPr>
            <w:r w:rsidRPr="00B13A6A">
              <w:t>4</w:t>
            </w:r>
          </w:p>
        </w:tc>
        <w:tc>
          <w:tcPr>
            <w:tcW w:w="944" w:type="pct"/>
          </w:tcPr>
          <w:p w:rsidR="00137863" w:rsidRPr="0077236D" w:rsidP="00C15D23" w14:paraId="5F131EC0" w14:textId="77777777">
            <w:pPr>
              <w:pStyle w:val="Normal0"/>
            </w:pPr>
            <w:r>
              <w:rPr>
                <w:rFonts w:hint="eastAsia"/>
              </w:rPr>
              <w:t>生产基地</w:t>
            </w:r>
          </w:p>
        </w:tc>
        <w:tc>
          <w:tcPr>
            <w:tcW w:w="3838" w:type="pct"/>
          </w:tcPr>
          <w:p w:rsidR="00137863" w:rsidRPr="00B13A6A" w:rsidP="00C15D23" w14:paraId="7B8F8403" w14:textId="77777777">
            <w:pPr>
              <w:pStyle w:val="Normal0"/>
              <w:rPr>
                <w:bCs/>
              </w:rPr>
            </w:pPr>
          </w:p>
        </w:tc>
      </w:tr>
      <w:tr w14:paraId="5DE058F7" w14:textId="77777777" w:rsidTr="00C15D23">
        <w:tblPrEx>
          <w:tblW w:w="5000" w:type="pct"/>
          <w:tblLook w:val="00A0"/>
        </w:tblPrEx>
        <w:tc>
          <w:tcPr>
            <w:tcW w:w="218" w:type="pct"/>
          </w:tcPr>
          <w:p w:rsidR="00137863" w:rsidRPr="00B13A6A" w:rsidP="00C15D23" w14:paraId="62073BCD" w14:textId="77777777">
            <w:pPr>
              <w:pStyle w:val="Normal0"/>
            </w:pPr>
            <w:r w:rsidRPr="00B13A6A">
              <w:t>5</w:t>
            </w:r>
          </w:p>
        </w:tc>
        <w:tc>
          <w:tcPr>
            <w:tcW w:w="944" w:type="pct"/>
          </w:tcPr>
          <w:p w:rsidR="00137863" w:rsidRPr="00DA229E" w:rsidP="00C15D23" w14:paraId="4A8E1B29" w14:textId="77777777">
            <w:pPr>
              <w:pStyle w:val="Normal0"/>
            </w:pPr>
            <w:r>
              <w:rPr>
                <w:rFonts w:hint="eastAsia"/>
              </w:rPr>
              <w:t>总部所在地</w:t>
            </w:r>
          </w:p>
        </w:tc>
        <w:tc>
          <w:tcPr>
            <w:tcW w:w="3838" w:type="pct"/>
          </w:tcPr>
          <w:p w:rsidR="00137863" w:rsidRPr="00B13A6A" w:rsidP="00C15D23" w14:paraId="48B4DF1E" w14:textId="77777777">
            <w:pPr>
              <w:pStyle w:val="Normal0"/>
              <w:rPr>
                <w:bCs/>
              </w:rPr>
            </w:pPr>
          </w:p>
        </w:tc>
      </w:tr>
      <w:tr w14:paraId="2249355A" w14:textId="77777777" w:rsidTr="00C15D23">
        <w:tblPrEx>
          <w:tblW w:w="5000" w:type="pct"/>
          <w:tblLook w:val="00A0"/>
        </w:tblPrEx>
        <w:tc>
          <w:tcPr>
            <w:tcW w:w="218" w:type="pct"/>
          </w:tcPr>
          <w:p w:rsidR="00137863" w:rsidRPr="00B13A6A" w:rsidP="00C15D23" w14:paraId="02C1D81F" w14:textId="77777777">
            <w:pPr>
              <w:pStyle w:val="Normal0"/>
            </w:pPr>
            <w:r w:rsidRPr="00B13A6A">
              <w:t>6</w:t>
            </w:r>
          </w:p>
        </w:tc>
        <w:tc>
          <w:tcPr>
            <w:tcW w:w="944" w:type="pct"/>
          </w:tcPr>
          <w:p w:rsidR="00137863" w:rsidRPr="00B13A6A" w:rsidP="00C15D23" w14:paraId="618CCF50" w14:textId="77777777">
            <w:pPr>
              <w:pStyle w:val="Normal0"/>
            </w:pPr>
            <w:r>
              <w:rPr>
                <w:rFonts w:hint="eastAsia"/>
              </w:rPr>
              <w:t>主要经济活动</w:t>
            </w:r>
          </w:p>
        </w:tc>
        <w:tc>
          <w:tcPr>
            <w:tcW w:w="3838" w:type="pct"/>
          </w:tcPr>
          <w:p w:rsidR="00137863" w:rsidRPr="00B13A6A" w:rsidP="00C15D23" w14:paraId="71FA16CA" w14:textId="77777777">
            <w:pPr>
              <w:pStyle w:val="Normal0"/>
              <w:rPr>
                <w:bCs/>
              </w:rPr>
            </w:pPr>
          </w:p>
        </w:tc>
      </w:tr>
      <w:tr w14:paraId="7E024E40" w14:textId="77777777" w:rsidTr="00C15D23">
        <w:tblPrEx>
          <w:tblW w:w="5000" w:type="pct"/>
          <w:tblLook w:val="00A0"/>
        </w:tblPrEx>
        <w:tc>
          <w:tcPr>
            <w:tcW w:w="218" w:type="pct"/>
          </w:tcPr>
          <w:p w:rsidR="00137863" w:rsidRPr="004D249F" w:rsidP="00C15D23" w14:paraId="6D907BCF" w14:textId="77777777">
            <w:pPr>
              <w:pStyle w:val="Normal0"/>
            </w:pPr>
            <w:r>
              <w:rPr>
                <w:rFonts w:hint="eastAsia"/>
              </w:rPr>
              <w:t>7</w:t>
            </w:r>
          </w:p>
        </w:tc>
        <w:tc>
          <w:tcPr>
            <w:tcW w:w="944" w:type="pct"/>
          </w:tcPr>
          <w:p w:rsidR="00137863" w:rsidRPr="00FB62BD" w:rsidP="00C15D23" w14:paraId="5AEAA44A" w14:textId="77777777">
            <w:pPr>
              <w:pStyle w:val="Normal0"/>
              <w:rPr>
                <w:bCs/>
              </w:rPr>
            </w:pPr>
            <w:r>
              <w:rPr>
                <w:rFonts w:hint="eastAsia"/>
                <w:bCs/>
              </w:rPr>
              <w:t>市场地位</w:t>
            </w:r>
          </w:p>
        </w:tc>
        <w:tc>
          <w:tcPr>
            <w:tcW w:w="3838" w:type="pct"/>
          </w:tcPr>
          <w:p w:rsidR="00137863" w:rsidRPr="00B13A6A" w:rsidP="00C15D23" w14:paraId="76ADA0E4" w14:textId="77777777">
            <w:pPr>
              <w:pStyle w:val="Normal0"/>
              <w:rPr>
                <w:bCs/>
              </w:rPr>
            </w:pPr>
          </w:p>
        </w:tc>
      </w:tr>
      <w:tr w14:paraId="2346FF65" w14:textId="77777777" w:rsidTr="00C15D23">
        <w:tblPrEx>
          <w:tblW w:w="5000" w:type="pct"/>
          <w:tblLook w:val="00A0"/>
        </w:tblPrEx>
        <w:tc>
          <w:tcPr>
            <w:tcW w:w="218" w:type="pct"/>
          </w:tcPr>
          <w:p w:rsidR="00137863" w:rsidP="00C15D23" w14:paraId="3980DE2B" w14:textId="77777777">
            <w:pPr>
              <w:pStyle w:val="Normal0"/>
            </w:pPr>
            <w:r>
              <w:rPr>
                <w:rFonts w:hint="eastAsia"/>
              </w:rPr>
              <w:t>8</w:t>
            </w:r>
          </w:p>
        </w:tc>
        <w:tc>
          <w:tcPr>
            <w:tcW w:w="944" w:type="pct"/>
          </w:tcPr>
          <w:p w:rsidR="00137863" w:rsidP="00C15D23" w14:paraId="1FD7E746" w14:textId="77777777">
            <w:pPr>
              <w:pStyle w:val="Normal0"/>
              <w:rPr>
                <w:bCs/>
              </w:rPr>
            </w:pPr>
            <w:r>
              <w:rPr>
                <w:rFonts w:hint="eastAsia"/>
                <w:bCs/>
              </w:rPr>
              <w:t>主要竞争对手</w:t>
            </w:r>
          </w:p>
        </w:tc>
        <w:tc>
          <w:tcPr>
            <w:tcW w:w="3838" w:type="pct"/>
          </w:tcPr>
          <w:p w:rsidR="00137863" w:rsidRPr="00B13A6A" w:rsidP="00C15D23" w14:paraId="38D01F21" w14:textId="77777777">
            <w:pPr>
              <w:pStyle w:val="Normal0"/>
              <w:rPr>
                <w:bCs/>
              </w:rPr>
            </w:pPr>
          </w:p>
        </w:tc>
      </w:tr>
      <w:tr w14:paraId="536447B5" w14:textId="77777777" w:rsidTr="00C15D23">
        <w:tblPrEx>
          <w:tblW w:w="5000" w:type="pct"/>
          <w:tblLook w:val="00A0"/>
        </w:tblPrEx>
        <w:tc>
          <w:tcPr>
            <w:tcW w:w="218" w:type="pct"/>
          </w:tcPr>
          <w:p w:rsidR="00137863" w:rsidP="00C15D23" w14:paraId="75C08753" w14:textId="77777777">
            <w:pPr>
              <w:pStyle w:val="Normal0"/>
            </w:pPr>
            <w:r>
              <w:rPr>
                <w:rFonts w:hint="eastAsia"/>
              </w:rPr>
              <w:t>9</w:t>
            </w:r>
          </w:p>
        </w:tc>
        <w:tc>
          <w:tcPr>
            <w:tcW w:w="944" w:type="pct"/>
          </w:tcPr>
          <w:p w:rsidR="00137863" w:rsidP="00C15D23" w14:paraId="76147FD9" w14:textId="77777777">
            <w:pPr>
              <w:pStyle w:val="Normal0"/>
              <w:rPr>
                <w:bCs/>
              </w:rPr>
            </w:pPr>
            <w:r>
              <w:rPr>
                <w:rFonts w:hint="eastAsia"/>
                <w:bCs/>
              </w:rPr>
              <w:t>联系方式</w:t>
            </w:r>
          </w:p>
        </w:tc>
        <w:tc>
          <w:tcPr>
            <w:tcW w:w="3838" w:type="pct"/>
          </w:tcPr>
          <w:p w:rsidR="00137863" w:rsidRPr="00B13A6A" w:rsidP="00C15D23" w14:paraId="0B799C0D" w14:textId="77777777">
            <w:pPr>
              <w:pStyle w:val="Normal0"/>
              <w:rPr>
                <w:bCs/>
              </w:rPr>
            </w:pPr>
          </w:p>
        </w:tc>
      </w:tr>
    </w:tbl>
    <w:p w:rsidR="00137863" w:rsidP="00137863" w14:paraId="491FD24E" w14:textId="77777777">
      <w:pPr>
        <w:pStyle w:val="Source00"/>
      </w:pPr>
      <w:r>
        <w:rPr>
          <w:rFonts w:hint="eastAsia"/>
        </w:rPr>
        <w:t>资料来源：</w:t>
      </w:r>
      <w:r>
        <w:rPr>
          <w:rFonts w:hint="eastAsia"/>
        </w:rPr>
        <w:t>Techem</w:t>
      </w:r>
      <w:r>
        <w:rPr>
          <w:rFonts w:hint="eastAsia"/>
        </w:rPr>
        <w:t>；第三方资料、新闻报道、业内专家采访及</w:t>
      </w:r>
      <w:r>
        <w:rPr>
          <w:rFonts w:hint="eastAsia"/>
        </w:rPr>
        <w:t>QYResearch</w:t>
      </w:r>
      <w:r>
        <w:rPr>
          <w:rFonts w:hint="eastAsia"/>
        </w:rPr>
        <w:t>整理研究，</w:t>
      </w:r>
      <w:r>
        <w:rPr>
          <w:rFonts w:hint="eastAsia"/>
        </w:rPr>
        <w:t>2024</w:t>
      </w:r>
      <w:r>
        <w:rPr>
          <w:rFonts w:hint="eastAsia"/>
        </w:rPr>
        <w:t>年</w:t>
      </w:r>
    </w:p>
    <w:p w:rsidR="00137863" w:rsidP="00137863" w14:paraId="64D3D539" w14:textId="77777777">
      <w:pPr>
        <w:pStyle w:val="Heading30"/>
      </w:pPr>
      <w:bookmarkStart w:id="188" w:name="_Toc121583922"/>
      <w:bookmarkStart w:id="189" w:name="_Toc166762044"/>
      <w:r>
        <w:rPr>
          <w:rFonts w:hint="eastAsia"/>
        </w:rPr>
        <w:t>Techem 电子式热分配表(HCA)</w:t>
      </w:r>
      <w:r>
        <w:rPr>
          <w:rFonts w:hint="eastAsia"/>
        </w:rPr>
        <w:t>产品规格、参数及市场应用</w:t>
      </w:r>
      <w:bookmarkEnd w:id="188"/>
      <w:bookmarkEnd w:id="189"/>
    </w:p>
    <w:p w:rsidR="00137863" w:rsidRPr="006C3BE6" w:rsidP="006C3BE6" w14:paraId="2DA7D236" w14:textId="77777777">
      <w:pPr>
        <w:pStyle w:val="TableStyle0"/>
        <w:ind w:left="252" w:right="-105"/>
      </w:pPr>
      <w:bookmarkStart w:id="190" w:name="_Toc121583648"/>
      <w:bookmarkStart w:id="191" w:name="_Toc166761963"/>
      <w:r w:rsidRPr="006C3BE6">
        <w:rPr>
          <w:rFonts w:hint="eastAsia"/>
        </w:rPr>
        <w:t>Techem 电子式热分配表(HCA)</w:t>
      </w:r>
      <w:r w:rsidRPr="006C3BE6">
        <w:rPr>
          <w:rFonts w:hint="eastAsia"/>
        </w:rPr>
        <w:t>产品规格、参数及市场应用</w:t>
      </w:r>
      <w:bookmarkEnd w:id="190"/>
      <w:bookmarkEnd w:id="191"/>
    </w:p>
    <w:tbl>
      <w:tblPr>
        <w:tblStyle w:val="TableGrid80"/>
        <w:tblW w:w="5000" w:type="pct"/>
        <w:tblLook w:val="04A0"/>
      </w:tblPr>
      <w:tblGrid>
        <w:gridCol w:w="2319"/>
        <w:gridCol w:w="7649"/>
      </w:tblGrid>
      <w:tr w14:paraId="5C8E699A" w14:textId="77777777" w:rsidTr="00C15D23">
        <w:tblPrEx>
          <w:tblW w:w="5000" w:type="pct"/>
          <w:tblLook w:val="04A0"/>
        </w:tblPrEx>
        <w:tc>
          <w:tcPr>
            <w:tcW w:w="1163" w:type="pct"/>
          </w:tcPr>
          <w:p w:rsidR="00137863" w:rsidP="00C15D23" w14:paraId="1A3827AE" w14:textId="77777777">
            <w:pPr>
              <w:pStyle w:val="Normal0"/>
            </w:pPr>
            <w:r>
              <w:rPr>
                <w:rFonts w:hint="eastAsia"/>
              </w:rPr>
              <w:t>产品</w:t>
            </w:r>
          </w:p>
        </w:tc>
        <w:tc>
          <w:tcPr>
            <w:tcW w:w="3837" w:type="pct"/>
          </w:tcPr>
          <w:p w:rsidR="00137863" w:rsidP="00C15D23" w14:paraId="7756EB51" w14:textId="77777777">
            <w:pPr>
              <w:pStyle w:val="Normal0"/>
            </w:pPr>
            <w:r>
              <w:rPr>
                <w:rFonts w:hint="eastAsia"/>
              </w:rPr>
              <w:t>描述</w:t>
            </w:r>
          </w:p>
        </w:tc>
      </w:tr>
      <w:tr w14:paraId="214F0E2D" w14:textId="77777777" w:rsidTr="00C15D23">
        <w:tblPrEx>
          <w:tblW w:w="5000" w:type="pct"/>
          <w:tblLook w:val="04A0"/>
        </w:tblPrEx>
        <w:tc>
          <w:tcPr>
            <w:tcW w:w="1163" w:type="pct"/>
          </w:tcPr>
          <w:p w:rsidR="00137863" w:rsidP="00C15D23" w14:paraId="5E76176E" w14:textId="77777777">
            <w:pPr>
              <w:pStyle w:val="Normal0"/>
            </w:pPr>
          </w:p>
        </w:tc>
        <w:tc>
          <w:tcPr>
            <w:tcW w:w="3837" w:type="pct"/>
          </w:tcPr>
          <w:p w:rsidR="00137863" w:rsidP="00C15D23" w14:paraId="736DB2AC" w14:textId="77777777">
            <w:pPr>
              <w:pStyle w:val="Normal0"/>
            </w:pPr>
          </w:p>
          <w:p w:rsidR="00137863" w:rsidP="00C15D23" w14:paraId="526C56E9" w14:textId="77777777">
            <w:pPr>
              <w:pStyle w:val="Normal0"/>
            </w:pPr>
          </w:p>
        </w:tc>
      </w:tr>
      <w:tr w14:paraId="535B575E" w14:textId="77777777" w:rsidTr="00C15D23">
        <w:tblPrEx>
          <w:tblW w:w="5000" w:type="pct"/>
          <w:tblLook w:val="04A0"/>
        </w:tblPrEx>
        <w:tc>
          <w:tcPr>
            <w:tcW w:w="1163" w:type="pct"/>
          </w:tcPr>
          <w:p w:rsidR="00137863" w:rsidP="00C15D23" w14:paraId="70DF8C8B" w14:textId="77777777">
            <w:pPr>
              <w:pStyle w:val="Normal0"/>
            </w:pPr>
          </w:p>
        </w:tc>
        <w:tc>
          <w:tcPr>
            <w:tcW w:w="3837" w:type="pct"/>
          </w:tcPr>
          <w:p w:rsidR="00137863" w:rsidP="00C15D23" w14:paraId="4B1F932D" w14:textId="77777777">
            <w:pPr>
              <w:pStyle w:val="Normal0"/>
            </w:pPr>
          </w:p>
          <w:p w:rsidR="00137863" w:rsidP="00C15D23" w14:paraId="155E07BB" w14:textId="77777777">
            <w:pPr>
              <w:pStyle w:val="Normal0"/>
            </w:pPr>
          </w:p>
        </w:tc>
      </w:tr>
    </w:tbl>
    <w:p w:rsidR="00137863" w:rsidRPr="00400074" w:rsidP="00137863" w14:paraId="72338118" w14:textId="77777777">
      <w:pPr>
        <w:pStyle w:val="Source00"/>
      </w:pPr>
      <w:r>
        <w:rPr>
          <w:rFonts w:hint="eastAsia"/>
        </w:rPr>
        <w:t>资料来源：</w:t>
      </w:r>
      <w:r>
        <w:rPr>
          <w:rFonts w:hint="eastAsia"/>
        </w:rPr>
        <w:t>Techem</w:t>
      </w:r>
      <w:r>
        <w:rPr>
          <w:rFonts w:hint="eastAsia"/>
        </w:rPr>
        <w:t>；第三方资料、新闻报道、业内专家采访及</w:t>
      </w:r>
      <w:r>
        <w:rPr>
          <w:rFonts w:hint="eastAsia"/>
        </w:rPr>
        <w:t>QYResearch</w:t>
      </w:r>
      <w:r>
        <w:rPr>
          <w:rFonts w:hint="eastAsia"/>
        </w:rPr>
        <w:t>整理研究，</w:t>
      </w:r>
      <w:r>
        <w:rPr>
          <w:rFonts w:hint="eastAsia"/>
        </w:rPr>
        <w:t>2024</w:t>
      </w:r>
      <w:r>
        <w:rPr>
          <w:rFonts w:hint="eastAsia"/>
        </w:rPr>
        <w:t>年</w:t>
      </w:r>
    </w:p>
    <w:p w:rsidR="00137863" w:rsidP="00137863" w14:paraId="54DD4B25" w14:textId="77777777">
      <w:pPr>
        <w:pStyle w:val="Heading30"/>
      </w:pPr>
      <w:bookmarkStart w:id="192" w:name="_Toc121583924"/>
      <w:bookmarkStart w:id="193" w:name="_Toc166762045"/>
      <w:r>
        <w:rPr>
          <w:rFonts w:hint="eastAsia"/>
        </w:rPr>
        <w:t>Techem</w:t>
      </w:r>
      <w:r>
        <w:rPr>
          <w:rFonts w:hint="eastAsia"/>
        </w:rPr>
        <w:t>公司简介及主要业务</w:t>
      </w:r>
      <w:bookmarkEnd w:id="192"/>
      <w:bookmarkEnd w:id="193"/>
    </w:p>
    <w:p w:rsidR="00137863" w:rsidRPr="006C3BE6" w:rsidP="006C3BE6" w14:paraId="4898A3FB" w14:textId="77777777">
      <w:pPr>
        <w:pStyle w:val="TableStyle0"/>
        <w:ind w:left="252" w:right="-105"/>
      </w:pPr>
      <w:bookmarkStart w:id="194" w:name="_Toc121583650"/>
      <w:bookmarkStart w:id="195" w:name="_Toc166761964"/>
      <w:r w:rsidRPr="006C3BE6">
        <w:rPr>
          <w:rFonts w:hint="eastAsia"/>
        </w:rPr>
        <w:t>Techem</w:t>
      </w:r>
      <w:r w:rsidRPr="006C3BE6">
        <w:rPr>
          <w:rFonts w:hint="eastAsia"/>
        </w:rPr>
        <w:t>公司简介及主要业务</w:t>
      </w:r>
      <w:bookmarkEnd w:id="194"/>
      <w:bookmarkEnd w:id="195"/>
    </w:p>
    <w:tbl>
      <w:tblPr>
        <w:tblStyle w:val="TableGrid80"/>
        <w:tblW w:w="5000" w:type="pct"/>
        <w:tblLook w:val="04A0"/>
      </w:tblPr>
      <w:tblGrid>
        <w:gridCol w:w="2319"/>
        <w:gridCol w:w="7649"/>
      </w:tblGrid>
      <w:tr w14:paraId="3BA77032" w14:textId="77777777" w:rsidTr="00C15D23">
        <w:tblPrEx>
          <w:tblW w:w="5000" w:type="pct"/>
          <w:tblLook w:val="04A0"/>
        </w:tblPrEx>
        <w:tc>
          <w:tcPr>
            <w:tcW w:w="1163" w:type="pct"/>
          </w:tcPr>
          <w:p w:rsidR="00137863" w:rsidP="00C15D23" w14:paraId="22D7B059" w14:textId="77777777">
            <w:pPr>
              <w:pStyle w:val="Normal0"/>
            </w:pPr>
            <w:r>
              <w:rPr>
                <w:rFonts w:hint="eastAsia"/>
              </w:rPr>
              <w:t>Techem</w:t>
            </w:r>
          </w:p>
        </w:tc>
        <w:tc>
          <w:tcPr>
            <w:tcW w:w="3837" w:type="pct"/>
          </w:tcPr>
          <w:p w:rsidR="00137863" w:rsidP="00C15D23" w14:paraId="479509D8" w14:textId="77777777">
            <w:pPr>
              <w:pStyle w:val="Normal0"/>
            </w:pPr>
            <w:r>
              <w:rPr>
                <w:rFonts w:hint="eastAsia"/>
              </w:rPr>
              <w:t>详情描述</w:t>
            </w:r>
          </w:p>
        </w:tc>
      </w:tr>
      <w:tr w14:paraId="543E1E62" w14:textId="77777777" w:rsidTr="00C15D23">
        <w:tblPrEx>
          <w:tblW w:w="5000" w:type="pct"/>
          <w:tblLook w:val="04A0"/>
        </w:tblPrEx>
        <w:tc>
          <w:tcPr>
            <w:tcW w:w="1163" w:type="pct"/>
          </w:tcPr>
          <w:p w:rsidR="00137863" w:rsidP="00C15D23" w14:paraId="21880801" w14:textId="77777777">
            <w:pPr>
              <w:pStyle w:val="Normal0"/>
            </w:pPr>
            <w:r>
              <w:rPr>
                <w:rFonts w:hint="eastAsia"/>
              </w:rPr>
              <w:t>企业概况</w:t>
            </w:r>
          </w:p>
        </w:tc>
        <w:tc>
          <w:tcPr>
            <w:tcW w:w="3837" w:type="pct"/>
          </w:tcPr>
          <w:p w:rsidR="00137863" w:rsidP="00C15D23">
            <w:pPr>
              <w:pStyle w:val="Normal0"/>
            </w:pPr>
          </w:p>
          <w:p w:rsidR="00137863" w:rsidP="00C15D23" w14:paraId="68E92BB1" w14:textId="77777777">
            <w:pPr>
              <w:pStyle w:val="Normal0"/>
            </w:pPr>
          </w:p>
        </w:tc>
      </w:tr>
      <w:tr w14:paraId="3BBA48F9" w14:textId="77777777" w:rsidTr="00C15D23">
        <w:tblPrEx>
          <w:tblW w:w="5000" w:type="pct"/>
          <w:tblLook w:val="04A0"/>
        </w:tblPrEx>
        <w:tc>
          <w:tcPr>
            <w:tcW w:w="1163" w:type="pct"/>
          </w:tcPr>
          <w:p w:rsidR="00137863" w:rsidP="00C15D23" w14:paraId="6E2083D2" w14:textId="77777777">
            <w:pPr>
              <w:pStyle w:val="Normal0"/>
            </w:pPr>
            <w:r>
              <w:rPr>
                <w:rFonts w:hint="eastAsia"/>
              </w:rPr>
              <w:t>主要业务</w:t>
            </w:r>
          </w:p>
        </w:tc>
        <w:tc>
          <w:tcPr>
            <w:tcW w:w="3837" w:type="pct"/>
          </w:tcPr>
          <w:p w:rsidR="00137863" w:rsidP="00C15D23">
            <w:pPr>
              <w:pStyle w:val="Normal0"/>
            </w:pPr>
          </w:p>
          <w:p w:rsidR="00137863" w:rsidP="00C15D23" w14:paraId="7B1DA7C6" w14:textId="77777777">
            <w:pPr>
              <w:pStyle w:val="Normal0"/>
            </w:pPr>
          </w:p>
        </w:tc>
      </w:tr>
    </w:tbl>
    <w:p w:rsidR="00137863" w:rsidRPr="00FA5C78" w:rsidP="00137863" w14:paraId="748E3D9D" w14:textId="77777777">
      <w:pPr>
        <w:pStyle w:val="Source00"/>
      </w:pPr>
      <w:r>
        <w:rPr>
          <w:rFonts w:hint="eastAsia"/>
        </w:rPr>
        <w:t>资料来源：</w:t>
      </w:r>
      <w:r>
        <w:rPr>
          <w:rFonts w:hint="eastAsia"/>
        </w:rPr>
        <w:t>Techem</w:t>
      </w:r>
      <w:r>
        <w:rPr>
          <w:rFonts w:hint="eastAsia"/>
        </w:rPr>
        <w:t>；第三方资料、新闻报道、业内专家采访及</w:t>
      </w:r>
      <w:r>
        <w:rPr>
          <w:rFonts w:hint="eastAsia"/>
        </w:rPr>
        <w:t>QYResearch</w:t>
      </w:r>
      <w:r>
        <w:rPr>
          <w:rFonts w:hint="eastAsia"/>
        </w:rPr>
        <w:t>整理研究，</w:t>
      </w:r>
      <w:r>
        <w:rPr>
          <w:rFonts w:hint="eastAsia"/>
        </w:rPr>
        <w:t>2024</w:t>
      </w:r>
      <w:r>
        <w:rPr>
          <w:rFonts w:hint="eastAsia"/>
        </w:rPr>
        <w:t>年</w:t>
      </w:r>
    </w:p>
    <w:p w:rsidR="00137863" w:rsidP="00137863" w14:paraId="0FDEA2FA" w14:textId="77777777">
      <w:pPr>
        <w:pStyle w:val="Heading30"/>
      </w:pPr>
      <w:bookmarkStart w:id="196" w:name="_Toc121583925"/>
      <w:bookmarkStart w:id="197" w:name="_Toc166762046"/>
      <w:r>
        <w:rPr>
          <w:rFonts w:hint="eastAsia"/>
        </w:rPr>
        <w:t>Techem</w:t>
      </w:r>
      <w:r>
        <w:rPr>
          <w:rFonts w:hint="eastAsia"/>
        </w:rPr>
        <w:t>企业最新动态</w:t>
      </w:r>
      <w:bookmarkEnd w:id="196"/>
      <w:bookmarkEnd w:id="197"/>
    </w:p>
    <w:p w:rsidR="00137863" w:rsidRPr="006C3BE6" w:rsidP="006C3BE6" w14:paraId="6B1F1CDF" w14:textId="77777777">
      <w:pPr>
        <w:pStyle w:val="TableStyle0"/>
        <w:ind w:left="252" w:right="-105"/>
      </w:pPr>
      <w:bookmarkStart w:id="198" w:name="_Toc121583651"/>
      <w:bookmarkStart w:id="199" w:name="_Toc166761965"/>
      <w:r w:rsidRPr="006C3BE6">
        <w:rPr>
          <w:rFonts w:hint="eastAsia"/>
        </w:rPr>
        <w:t>Techem</w:t>
      </w:r>
      <w:r w:rsidRPr="006C3BE6">
        <w:rPr>
          <w:rFonts w:hint="eastAsia"/>
        </w:rPr>
        <w:t>企业最新动态</w:t>
      </w:r>
      <w:bookmarkEnd w:id="198"/>
      <w:bookmarkEnd w:id="199"/>
    </w:p>
    <w:tbl>
      <w:tblPr>
        <w:tblStyle w:val="TableGrid80"/>
        <w:tblW w:w="5000" w:type="pct"/>
        <w:tblLook w:val="04A0"/>
      </w:tblPr>
      <w:tblGrid>
        <w:gridCol w:w="2319"/>
        <w:gridCol w:w="7649"/>
      </w:tblGrid>
      <w:tr w14:paraId="7D943354" w14:textId="77777777" w:rsidTr="00C15D23">
        <w:tblPrEx>
          <w:tblW w:w="5000" w:type="pct"/>
          <w:tblLook w:val="04A0"/>
        </w:tblPrEx>
        <w:tc>
          <w:tcPr>
            <w:tcW w:w="1163" w:type="pct"/>
          </w:tcPr>
          <w:p w:rsidR="00137863" w:rsidP="00C15D23" w14:paraId="23A37EDD" w14:textId="77777777">
            <w:pPr>
              <w:pStyle w:val="Normal0"/>
            </w:pPr>
            <w:r>
              <w:rPr>
                <w:rFonts w:hint="eastAsia"/>
              </w:rPr>
              <w:t>日期</w:t>
            </w:r>
          </w:p>
        </w:tc>
        <w:tc>
          <w:tcPr>
            <w:tcW w:w="3837" w:type="pct"/>
          </w:tcPr>
          <w:p w:rsidR="00137863" w:rsidP="00C15D23" w14:paraId="5246B4D5" w14:textId="77777777">
            <w:pPr>
              <w:pStyle w:val="Normal0"/>
            </w:pPr>
            <w:r>
              <w:rPr>
                <w:rFonts w:hint="eastAsia"/>
              </w:rPr>
              <w:t>详情描述</w:t>
            </w:r>
          </w:p>
        </w:tc>
      </w:tr>
      <w:tr w14:paraId="32F77A1F" w14:textId="77777777" w:rsidTr="00C15D23">
        <w:tblPrEx>
          <w:tblW w:w="5000" w:type="pct"/>
          <w:tblLook w:val="04A0"/>
        </w:tblPrEx>
        <w:tc>
          <w:tcPr>
            <w:tcW w:w="1163" w:type="pct"/>
          </w:tcPr>
          <w:p w:rsidR="00137863" w:rsidP="00C15D23" w14:paraId="3982298F" w14:textId="77777777">
            <w:pPr>
              <w:pStyle w:val="Normal0"/>
            </w:pPr>
          </w:p>
        </w:tc>
        <w:tc>
          <w:tcPr>
            <w:tcW w:w="3837" w:type="pct"/>
          </w:tcPr>
          <w:p w:rsidR="00137863" w:rsidP="00C15D23" w14:paraId="51811928" w14:textId="77777777">
            <w:pPr>
              <w:pStyle w:val="Normal0"/>
            </w:pPr>
          </w:p>
          <w:p w:rsidR="00137863" w:rsidP="00C15D23" w14:paraId="60AEF4F0" w14:textId="77777777">
            <w:pPr>
              <w:pStyle w:val="Normal0"/>
            </w:pPr>
          </w:p>
        </w:tc>
      </w:tr>
      <w:tr w14:paraId="5B89DF81" w14:textId="77777777" w:rsidTr="00C15D23">
        <w:tblPrEx>
          <w:tblW w:w="5000" w:type="pct"/>
          <w:tblLook w:val="04A0"/>
        </w:tblPrEx>
        <w:tc>
          <w:tcPr>
            <w:tcW w:w="1163" w:type="pct"/>
          </w:tcPr>
          <w:p w:rsidR="00137863" w:rsidP="00C15D23" w14:paraId="5B14D66B" w14:textId="77777777">
            <w:pPr>
              <w:pStyle w:val="Normal0"/>
            </w:pPr>
          </w:p>
        </w:tc>
        <w:tc>
          <w:tcPr>
            <w:tcW w:w="3837" w:type="pct"/>
          </w:tcPr>
          <w:p w:rsidR="00137863" w:rsidP="00C15D23" w14:paraId="4972BAEF" w14:textId="77777777">
            <w:pPr>
              <w:pStyle w:val="Normal0"/>
            </w:pPr>
          </w:p>
          <w:p w:rsidR="00137863" w:rsidP="00C15D23" w14:paraId="517A4A86" w14:textId="77777777">
            <w:pPr>
              <w:pStyle w:val="Normal0"/>
            </w:pPr>
          </w:p>
        </w:tc>
      </w:tr>
      <w:tr w14:paraId="47855014" w14:textId="77777777" w:rsidTr="00C15D23">
        <w:tblPrEx>
          <w:tblW w:w="5000" w:type="pct"/>
          <w:tblLook w:val="04A0"/>
        </w:tblPrEx>
        <w:tc>
          <w:tcPr>
            <w:tcW w:w="1163" w:type="pct"/>
          </w:tcPr>
          <w:p w:rsidR="00137863" w:rsidP="00C15D23" w14:paraId="5350361F" w14:textId="77777777">
            <w:pPr>
              <w:pStyle w:val="Normal0"/>
            </w:pPr>
          </w:p>
        </w:tc>
        <w:tc>
          <w:tcPr>
            <w:tcW w:w="3837" w:type="pct"/>
          </w:tcPr>
          <w:p w:rsidR="00137863" w:rsidP="00C15D23" w14:paraId="4739306F" w14:textId="77777777">
            <w:pPr>
              <w:pStyle w:val="Normal0"/>
            </w:pPr>
          </w:p>
          <w:p w:rsidR="00137863" w:rsidP="00C15D23" w14:paraId="7803DEBF" w14:textId="77777777">
            <w:pPr>
              <w:pStyle w:val="Normal0"/>
            </w:pPr>
          </w:p>
        </w:tc>
      </w:tr>
    </w:tbl>
    <w:p w:rsidR="00137863" w:rsidP="00137863" w14:paraId="605DF17F" w14:textId="77777777">
      <w:pPr>
        <w:pStyle w:val="Source00"/>
      </w:pPr>
      <w:r>
        <w:rPr>
          <w:rFonts w:hint="eastAsia"/>
        </w:rPr>
        <w:t>资料来源：</w:t>
      </w:r>
      <w:r>
        <w:rPr>
          <w:rFonts w:hint="eastAsia"/>
        </w:rPr>
        <w:t>Techem</w:t>
      </w:r>
      <w:r>
        <w:rPr>
          <w:rFonts w:hint="eastAsia"/>
        </w:rPr>
        <w:t>；第三方资料、新闻报道、业内专家采访及</w:t>
      </w:r>
      <w:r>
        <w:rPr>
          <w:rFonts w:hint="eastAsia"/>
        </w:rPr>
        <w:t>QYResearch</w:t>
      </w:r>
      <w:r>
        <w:rPr>
          <w:rFonts w:hint="eastAsia"/>
        </w:rPr>
        <w:t>整理研究，</w:t>
      </w:r>
      <w:r>
        <w:rPr>
          <w:rFonts w:hint="eastAsia"/>
        </w:rPr>
        <w:t>2024</w:t>
      </w:r>
      <w:r>
        <w:rPr>
          <w:rFonts w:hint="eastAsia"/>
        </w:rPr>
        <w:t>年</w:t>
      </w:r>
    </w:p>
    <w:p w:rsidR="00137863" w:rsidP="00137863">
      <w:pPr>
        <w:pStyle w:val="Heading20"/>
      </w:pPr>
      <w:bookmarkStart w:id="200" w:name="_Toc121583926"/>
      <w:bookmarkStart w:id="201" w:name="_Toc166762047"/>
      <w:r>
        <w:rPr>
          <w:rFonts w:hint="eastAsia"/>
        </w:rPr>
        <w:t>Siemens</w:t>
      </w:r>
      <w:bookmarkEnd w:id="200"/>
      <w:bookmarkEnd w:id="201"/>
    </w:p>
    <w:p w:rsidR="00137863" w:rsidP="00137863">
      <w:pPr>
        <w:pStyle w:val="Heading20"/>
      </w:pPr>
      <w:bookmarkStart w:id="202" w:name="_Toc121583932"/>
      <w:bookmarkStart w:id="203" w:name="_Toc166762048"/>
      <w:r>
        <w:rPr>
          <w:rFonts w:hint="eastAsia"/>
        </w:rPr>
        <w:t>Engelmnn</w:t>
      </w:r>
      <w:bookmarkEnd w:id="202"/>
      <w:bookmarkEnd w:id="203"/>
    </w:p>
    <w:p w:rsidR="00137863" w:rsidP="00137863">
      <w:pPr>
        <w:pStyle w:val="Heading20"/>
      </w:pPr>
      <w:bookmarkStart w:id="204" w:name="_Toc121583938"/>
      <w:bookmarkStart w:id="205" w:name="_Toc166762049"/>
      <w:r>
        <w:rPr>
          <w:rFonts w:hint="eastAsia"/>
        </w:rPr>
        <w:t>Te-sa s.r.l.</w:t>
      </w:r>
      <w:bookmarkEnd w:id="204"/>
      <w:bookmarkEnd w:id="205"/>
    </w:p>
    <w:p w:rsidR="00137863" w:rsidP="00137863">
      <w:pPr>
        <w:pStyle w:val="Heading20"/>
      </w:pPr>
      <w:bookmarkStart w:id="206" w:name="_Toc121583944"/>
      <w:bookmarkStart w:id="207" w:name="_Toc166762050"/>
      <w:r>
        <w:rPr>
          <w:rFonts w:hint="eastAsia"/>
        </w:rPr>
        <w:t>Itron</w:t>
      </w:r>
      <w:bookmarkEnd w:id="206"/>
      <w:bookmarkEnd w:id="207"/>
    </w:p>
    <w:p w:rsidR="00137863" w:rsidP="00137863">
      <w:pPr>
        <w:pStyle w:val="Heading20"/>
      </w:pPr>
      <w:bookmarkStart w:id="208" w:name="_Toc121583950"/>
      <w:bookmarkStart w:id="209" w:name="_Toc166762051"/>
      <w:r>
        <w:rPr>
          <w:rFonts w:hint="eastAsia"/>
        </w:rPr>
        <w:t>Sontex</w:t>
      </w:r>
      <w:bookmarkEnd w:id="208"/>
      <w:bookmarkEnd w:id="209"/>
    </w:p>
    <w:p w:rsidR="00137863" w:rsidP="00137863">
      <w:pPr>
        <w:pStyle w:val="Heading20"/>
      </w:pPr>
      <w:bookmarkStart w:id="210" w:name="_Toc121583956"/>
      <w:bookmarkStart w:id="211" w:name="_Toc166762052"/>
      <w:r>
        <w:rPr>
          <w:rFonts w:hint="eastAsia"/>
        </w:rPr>
        <w:t>乐业节能</w:t>
      </w:r>
      <w:bookmarkEnd w:id="210"/>
      <w:bookmarkEnd w:id="211"/>
    </w:p>
    <w:p w:rsidR="00137863" w:rsidP="00137863">
      <w:pPr>
        <w:pStyle w:val="Heading20"/>
      </w:pPr>
      <w:bookmarkStart w:id="212" w:name="_Toc121583962"/>
      <w:bookmarkStart w:id="213" w:name="_Toc166762053"/>
      <w:r>
        <w:rPr>
          <w:rFonts w:hint="eastAsia"/>
        </w:rPr>
        <w:t>Brunata</w:t>
      </w:r>
      <w:bookmarkEnd w:id="212"/>
      <w:bookmarkEnd w:id="213"/>
    </w:p>
    <w:p w:rsidR="00137863" w:rsidP="00137863" w14:paraId="764DD197" w14:textId="49F2674C">
      <w:pPr>
        <w:pStyle w:val="Heading10"/>
        <w:rPr>
          <w:lang w:eastAsia="zh-CN"/>
        </w:rPr>
      </w:pPr>
      <w:bookmarkStart w:id="214" w:name="_Toc166762084"/>
      <w:bookmarkStart w:id="215" w:name="_Hlk50985774"/>
      <w:bookmarkStart w:id="216" w:name="_Hlk28096052"/>
      <w:bookmarkEnd w:id="39"/>
      <w:r>
        <w:rPr>
          <w:rFonts w:hint="eastAsia"/>
          <w:lang w:eastAsia="zh-CN"/>
        </w:rPr>
        <w:t>销售</w:t>
      </w:r>
      <w:r w:rsidR="000016E1">
        <w:rPr>
          <w:rFonts w:hint="eastAsia"/>
          <w:lang w:eastAsia="zh-CN"/>
        </w:rPr>
        <w:t>渠道</w:t>
      </w:r>
      <w:r w:rsidR="00160A53">
        <w:rPr>
          <w:rFonts w:hint="eastAsia"/>
          <w:lang w:eastAsia="zh-CN"/>
        </w:rPr>
        <w:t>及客户偏好</w:t>
      </w:r>
      <w:r>
        <w:rPr>
          <w:rFonts w:hint="eastAsia"/>
          <w:lang w:eastAsia="zh-CN"/>
        </w:rPr>
        <w:t>分析</w:t>
      </w:r>
      <w:bookmarkEnd w:id="214"/>
    </w:p>
    <w:p w:rsidR="00160A53" w:rsidP="00160A53">
      <w:pPr>
        <w:pStyle w:val="Heading20"/>
        <w:rPr>
          <w:lang w:val="en-IN"/>
        </w:rPr>
      </w:pPr>
      <w:bookmarkStart w:id="217" w:name="_Toc166762085"/>
      <w:r>
        <w:rPr>
          <w:rFonts w:hint="eastAsia"/>
        </w:rPr>
        <w:t>东南亚市场</w:t>
      </w:r>
      <w:r>
        <w:rPr>
          <w:rFonts w:hint="eastAsia"/>
        </w:rPr>
        <w:t>电子式热分配表(HCA)</w:t>
      </w:r>
      <w:r>
        <w:rPr>
          <w:rFonts w:hint="eastAsia"/>
        </w:rPr>
        <w:t>消费形态及客户偏好</w:t>
      </w:r>
      <w:bookmarkEnd w:id="217"/>
    </w:p>
    <w:p w:rsidR="00E45554" w:rsidP="00E45554">
      <w:pPr>
        <w:pStyle w:val="Heading20"/>
      </w:pPr>
      <w:bookmarkStart w:id="218" w:name="_Toc166762086"/>
      <w:r>
        <w:rPr>
          <w:rFonts w:hint="eastAsia"/>
        </w:rPr>
        <w:t>东南亚市场</w:t>
      </w:r>
      <w:r>
        <w:rPr>
          <w:rFonts w:hint="eastAsia"/>
        </w:rPr>
        <w:t>电子式热分配表(HCA)</w:t>
      </w:r>
      <w:r w:rsidR="002B65CB">
        <w:rPr>
          <w:rFonts w:hint="eastAsia"/>
        </w:rPr>
        <w:t>代表性客户分析</w:t>
      </w:r>
      <w:bookmarkEnd w:id="218"/>
    </w:p>
    <w:p w:rsidR="00E45554" w:rsidRPr="006C3BE6" w:rsidP="006C3BE6" w14:paraId="7185BA70" w14:textId="52D9BAC1">
      <w:pPr>
        <w:pStyle w:val="TableStyle0"/>
        <w:ind w:left="252" w:right="-105"/>
      </w:pPr>
      <w:bookmarkStart w:id="219" w:name="_Toc166761966"/>
      <w:r w:rsidRPr="006C3BE6">
        <w:rPr>
          <w:rFonts w:hint="eastAsia"/>
        </w:rPr>
        <w:t>印尼</w:t>
      </w:r>
      <w:r w:rsidRPr="006C3BE6">
        <w:rPr>
          <w:rFonts w:hint="eastAsia"/>
        </w:rPr>
        <w:t>本土</w:t>
      </w:r>
      <w:r w:rsidRPr="006C3BE6">
        <w:t>电子式热分配表(HCA)</w:t>
      </w:r>
      <w:r w:rsidRPr="006C3BE6">
        <w:rPr>
          <w:rFonts w:hint="eastAsia"/>
        </w:rPr>
        <w:t>代表性客户分析</w:t>
      </w:r>
      <w:bookmarkEnd w:id="219"/>
    </w:p>
    <w:tbl>
      <w:tblPr>
        <w:tblStyle w:val="TableGrid80"/>
        <w:tblW w:w="0" w:type="auto"/>
        <w:tblLook w:val="04A0"/>
      </w:tblPr>
      <w:tblGrid>
        <w:gridCol w:w="2268"/>
        <w:gridCol w:w="7484"/>
      </w:tblGrid>
      <w:tr w14:paraId="0FF16699" w14:textId="77777777" w:rsidTr="00FB3054">
        <w:tblPrEx>
          <w:tblW w:w="0" w:type="auto"/>
          <w:tblLook w:val="04A0"/>
        </w:tblPrEx>
        <w:tc>
          <w:tcPr>
            <w:tcW w:w="2268" w:type="dxa"/>
          </w:tcPr>
          <w:p w:rsidR="00E45554" w:rsidP="00FB3054" w14:paraId="324E6143" w14:textId="77777777">
            <w:pPr>
              <w:pStyle w:val="Normal0"/>
              <w:rPr>
                <w:lang w:val="en-IN"/>
              </w:rPr>
            </w:pPr>
            <w:r>
              <w:rPr>
                <w:rFonts w:hint="eastAsia"/>
                <w:lang w:val="en-IN"/>
              </w:rPr>
              <w:t>企业名称</w:t>
            </w:r>
          </w:p>
        </w:tc>
        <w:tc>
          <w:tcPr>
            <w:tcW w:w="7484" w:type="dxa"/>
          </w:tcPr>
          <w:p w:rsidR="00E45554" w:rsidP="00FB3054" w14:paraId="03F60383" w14:textId="77777777">
            <w:pPr>
              <w:pStyle w:val="Normal0"/>
              <w:rPr>
                <w:lang w:val="en-IN"/>
              </w:rPr>
            </w:pPr>
            <w:r>
              <w:rPr>
                <w:rFonts w:hint="eastAsia"/>
                <w:lang w:val="en-IN"/>
              </w:rPr>
              <w:t>官网</w:t>
            </w:r>
          </w:p>
        </w:tc>
      </w:tr>
      <w:tr w14:paraId="2F91C122" w14:textId="77777777" w:rsidTr="00FB3054">
        <w:tblPrEx>
          <w:tblW w:w="0" w:type="auto"/>
          <w:tblLook w:val="04A0"/>
        </w:tblPrEx>
        <w:tc>
          <w:tcPr>
            <w:tcW w:w="2268" w:type="dxa"/>
          </w:tcPr>
          <w:p w:rsidR="00E45554" w:rsidP="00FB3054" w14:paraId="3AF9C34A" w14:textId="77777777">
            <w:pPr>
              <w:pStyle w:val="Normal0"/>
              <w:rPr>
                <w:lang w:val="en-IN"/>
              </w:rPr>
            </w:pPr>
          </w:p>
        </w:tc>
        <w:tc>
          <w:tcPr>
            <w:tcW w:w="7484" w:type="dxa"/>
          </w:tcPr>
          <w:p w:rsidR="00E45554" w:rsidP="00FB3054" w14:paraId="1AC5C135" w14:textId="77777777">
            <w:pPr>
              <w:pStyle w:val="Normal0"/>
              <w:rPr>
                <w:lang w:val="en-IN"/>
              </w:rPr>
            </w:pPr>
          </w:p>
        </w:tc>
      </w:tr>
      <w:tr w14:paraId="7A1E9AA1" w14:textId="77777777" w:rsidTr="00FB3054">
        <w:tblPrEx>
          <w:tblW w:w="0" w:type="auto"/>
          <w:tblLook w:val="04A0"/>
        </w:tblPrEx>
        <w:tc>
          <w:tcPr>
            <w:tcW w:w="2268" w:type="dxa"/>
          </w:tcPr>
          <w:p w:rsidR="00E45554" w:rsidP="00FB3054" w14:paraId="05AAF5A5" w14:textId="77777777">
            <w:pPr>
              <w:pStyle w:val="Normal0"/>
              <w:rPr>
                <w:lang w:val="en-IN"/>
              </w:rPr>
            </w:pPr>
          </w:p>
        </w:tc>
        <w:tc>
          <w:tcPr>
            <w:tcW w:w="7484" w:type="dxa"/>
          </w:tcPr>
          <w:p w:rsidR="00E45554" w:rsidP="00FB3054" w14:paraId="0A9E6894" w14:textId="77777777">
            <w:pPr>
              <w:pStyle w:val="Normal0"/>
              <w:rPr>
                <w:lang w:val="en-IN"/>
              </w:rPr>
            </w:pPr>
          </w:p>
        </w:tc>
      </w:tr>
      <w:tr w14:paraId="0FFAC226" w14:textId="77777777" w:rsidTr="00FB3054">
        <w:tblPrEx>
          <w:tblW w:w="0" w:type="auto"/>
          <w:tblLook w:val="04A0"/>
        </w:tblPrEx>
        <w:tc>
          <w:tcPr>
            <w:tcW w:w="2268" w:type="dxa"/>
          </w:tcPr>
          <w:p w:rsidR="00E45554" w:rsidP="00FB3054" w14:paraId="031EFA6B" w14:textId="77777777">
            <w:pPr>
              <w:pStyle w:val="Normal0"/>
              <w:rPr>
                <w:lang w:val="en-IN"/>
              </w:rPr>
            </w:pPr>
          </w:p>
        </w:tc>
        <w:tc>
          <w:tcPr>
            <w:tcW w:w="7484" w:type="dxa"/>
          </w:tcPr>
          <w:p w:rsidR="00E45554" w:rsidP="00FB3054" w14:paraId="56798BF3" w14:textId="77777777">
            <w:pPr>
              <w:pStyle w:val="Normal0"/>
              <w:rPr>
                <w:lang w:val="en-IN"/>
              </w:rPr>
            </w:pPr>
          </w:p>
        </w:tc>
      </w:tr>
      <w:tr w14:paraId="5BCD64FB" w14:textId="77777777" w:rsidTr="00FB3054">
        <w:tblPrEx>
          <w:tblW w:w="0" w:type="auto"/>
          <w:tblLook w:val="04A0"/>
        </w:tblPrEx>
        <w:tc>
          <w:tcPr>
            <w:tcW w:w="2268" w:type="dxa"/>
          </w:tcPr>
          <w:p w:rsidR="00E45554" w:rsidP="00FB3054" w14:paraId="21F6E042" w14:textId="77777777">
            <w:pPr>
              <w:pStyle w:val="Normal0"/>
              <w:rPr>
                <w:lang w:val="en-IN"/>
              </w:rPr>
            </w:pPr>
          </w:p>
        </w:tc>
        <w:tc>
          <w:tcPr>
            <w:tcW w:w="7484" w:type="dxa"/>
          </w:tcPr>
          <w:p w:rsidR="00E45554" w:rsidP="00FB3054" w14:paraId="1705FD26" w14:textId="77777777">
            <w:pPr>
              <w:pStyle w:val="Normal0"/>
              <w:rPr>
                <w:lang w:val="en-IN"/>
              </w:rPr>
            </w:pPr>
          </w:p>
        </w:tc>
      </w:tr>
      <w:tr w14:paraId="5302F072" w14:textId="77777777" w:rsidTr="00FB3054">
        <w:tblPrEx>
          <w:tblW w:w="0" w:type="auto"/>
          <w:tblLook w:val="04A0"/>
        </w:tblPrEx>
        <w:tc>
          <w:tcPr>
            <w:tcW w:w="2268" w:type="dxa"/>
          </w:tcPr>
          <w:p w:rsidR="00E45554" w:rsidP="00FB3054" w14:paraId="71A7EAA4" w14:textId="77777777">
            <w:pPr>
              <w:pStyle w:val="Normal0"/>
              <w:rPr>
                <w:lang w:val="en-IN"/>
              </w:rPr>
            </w:pPr>
          </w:p>
        </w:tc>
        <w:tc>
          <w:tcPr>
            <w:tcW w:w="7484" w:type="dxa"/>
          </w:tcPr>
          <w:p w:rsidR="00E45554" w:rsidP="00FB3054" w14:paraId="51E18046" w14:textId="77777777">
            <w:pPr>
              <w:pStyle w:val="Normal0"/>
              <w:rPr>
                <w:lang w:val="en-IN"/>
              </w:rPr>
            </w:pPr>
          </w:p>
        </w:tc>
      </w:tr>
    </w:tbl>
    <w:p w:rsidR="00E45554" w:rsidP="00E45554" w14:paraId="32CF1849" w14:textId="77777777">
      <w:pPr>
        <w:pStyle w:val="Source00"/>
      </w:pPr>
      <w:r>
        <w:rPr>
          <w:rFonts w:hint="eastAsia"/>
        </w:rPr>
        <w:t>资料来源：第三方资料、新闻报道、业内专家采访及</w:t>
      </w:r>
      <w:r>
        <w:rPr>
          <w:rFonts w:hint="eastAsia"/>
        </w:rPr>
        <w:t>QYResearch</w:t>
      </w:r>
      <w:r>
        <w:rPr>
          <w:rFonts w:hint="eastAsia"/>
        </w:rPr>
        <w:t>整理研究，</w:t>
      </w:r>
      <w:r>
        <w:rPr>
          <w:rFonts w:hint="eastAsia"/>
        </w:rPr>
        <w:t>2024</w:t>
      </w:r>
      <w:r>
        <w:rPr>
          <w:rFonts w:hint="eastAsia"/>
        </w:rPr>
        <w:t>年</w:t>
      </w:r>
    </w:p>
    <w:p w:rsidR="00137863" w:rsidP="00137863" w14:paraId="74AF0F35" w14:textId="65E17611">
      <w:pPr>
        <w:pStyle w:val="Heading20"/>
      </w:pPr>
      <w:bookmarkStart w:id="220" w:name="_Toc166762087"/>
      <w:r>
        <w:rPr>
          <w:rFonts w:hint="eastAsia"/>
        </w:rPr>
        <w:t>东南亚市场</w:t>
      </w:r>
      <w:r>
        <w:rPr>
          <w:rFonts w:hint="eastAsia"/>
        </w:rPr>
        <w:t>电子式热分配表(HCA)</w:t>
      </w:r>
      <w:r>
        <w:rPr>
          <w:rFonts w:hint="eastAsia"/>
        </w:rPr>
        <w:t>销售</w:t>
      </w:r>
      <w:r w:rsidR="00167622">
        <w:rPr>
          <w:rFonts w:hint="eastAsia"/>
        </w:rPr>
        <w:t>渠道及销售模式分析</w:t>
      </w:r>
      <w:bookmarkEnd w:id="220"/>
    </w:p>
    <w:p w:rsidR="00137863" w:rsidP="00BA69A4">
      <w:pPr>
        <w:pStyle w:val="Heading30"/>
      </w:pPr>
      <w:bookmarkStart w:id="221" w:name="_Toc166762088"/>
      <w:r>
        <w:rPr>
          <w:rFonts w:hint="eastAsia"/>
        </w:rPr>
        <w:t>直销</w:t>
      </w:r>
      <w:r w:rsidR="00643CF3">
        <w:rPr>
          <w:rFonts w:hint="eastAsia"/>
        </w:rPr>
        <w:t>模式</w:t>
      </w:r>
      <w:bookmarkEnd w:id="221"/>
    </w:p>
    <w:p w:rsidR="00BA69A4" w:rsidRPr="00BA69A4" w:rsidP="00BA69A4">
      <w:pPr>
        <w:pStyle w:val="Heading30"/>
      </w:pPr>
      <w:bookmarkStart w:id="222" w:name="_Toc166762089"/>
      <w:r>
        <w:rPr>
          <w:rFonts w:hint="eastAsia"/>
        </w:rPr>
        <w:t>经销</w:t>
      </w:r>
      <w:r>
        <w:rPr>
          <w:rFonts w:hint="eastAsia"/>
        </w:rPr>
        <w:t>/</w:t>
      </w:r>
      <w:r w:rsidRPr="00643CF3">
        <w:rPr>
          <w:rFonts w:hint="eastAsia"/>
        </w:rPr>
        <w:t>代理</w:t>
      </w:r>
      <w:r>
        <w:rPr>
          <w:rFonts w:hint="eastAsia"/>
        </w:rPr>
        <w:t>模式</w:t>
      </w:r>
      <w:bookmarkEnd w:id="222"/>
    </w:p>
    <w:p w:rsidR="00C76645" w:rsidP="00E1203E">
      <w:pPr>
        <w:pStyle w:val="Heading30"/>
      </w:pPr>
      <w:bookmarkStart w:id="223" w:name="_Toc166762090"/>
      <w:r>
        <w:rPr>
          <w:rFonts w:hint="eastAsia"/>
        </w:rPr>
        <w:t>销售渠道分析</w:t>
      </w:r>
      <w:bookmarkEnd w:id="223"/>
    </w:p>
    <w:p w:rsidR="001B15B6" w:rsidP="00FA7957">
      <w:pPr>
        <w:pStyle w:val="Heading30"/>
      </w:pPr>
      <w:bookmarkStart w:id="224" w:name="_Toc166762091"/>
      <w:r>
        <w:rPr>
          <w:rFonts w:hint="eastAsia"/>
        </w:rPr>
        <w:t>东南亚市场</w:t>
      </w:r>
      <w:r>
        <w:rPr>
          <w:rFonts w:hint="eastAsia"/>
        </w:rPr>
        <w:t>电子式热分配表(HCA)</w:t>
      </w:r>
      <w:r w:rsidR="00FA7957">
        <w:rPr>
          <w:rFonts w:hint="eastAsia"/>
        </w:rPr>
        <w:t>代表性代理商分析</w:t>
      </w:r>
      <w:bookmarkEnd w:id="224"/>
    </w:p>
    <w:p w:rsidR="00C76645" w:rsidRPr="006C3BE6" w:rsidP="006C3BE6" w14:paraId="5CC97965" w14:textId="425DA544">
      <w:pPr>
        <w:pStyle w:val="TableStyle0"/>
        <w:ind w:left="252" w:right="-105"/>
      </w:pPr>
      <w:bookmarkStart w:id="225" w:name="_Toc166761967"/>
      <w:r>
        <w:rPr>
          <w:rFonts w:hint="eastAsia"/>
        </w:rPr>
        <w:t>东南亚市场</w:t>
      </w:r>
      <w:r>
        <w:rPr>
          <w:rFonts w:hint="eastAsia"/>
        </w:rPr>
        <w:t>电子式热分配表(HCA)</w:t>
      </w:r>
      <w:r w:rsidRPr="006C3BE6">
        <w:rPr>
          <w:rFonts w:hint="eastAsia"/>
        </w:rPr>
        <w:t>代理商列表</w:t>
      </w:r>
      <w:bookmarkEnd w:id="225"/>
    </w:p>
    <w:tbl>
      <w:tblPr>
        <w:tblStyle w:val="TableGrid80"/>
        <w:tblW w:w="0" w:type="auto"/>
        <w:tblLook w:val="04A0"/>
      </w:tblPr>
      <w:tblGrid>
        <w:gridCol w:w="2268"/>
        <w:gridCol w:w="7484"/>
      </w:tblGrid>
      <w:tr w14:paraId="480DC4E5" w14:textId="77777777" w:rsidTr="00B824B0">
        <w:tblPrEx>
          <w:tblW w:w="0" w:type="auto"/>
          <w:tblLook w:val="04A0"/>
        </w:tblPrEx>
        <w:tc>
          <w:tcPr>
            <w:tcW w:w="2268" w:type="dxa"/>
          </w:tcPr>
          <w:p w:rsidR="00C76645" w:rsidP="00B824B0" w14:paraId="1907895A" w14:textId="77777777">
            <w:pPr>
              <w:pStyle w:val="Normal0"/>
              <w:rPr>
                <w:lang w:val="en-IN"/>
              </w:rPr>
            </w:pPr>
            <w:r>
              <w:rPr>
                <w:rFonts w:hint="eastAsia"/>
                <w:lang w:val="en-IN"/>
              </w:rPr>
              <w:t>企业名称</w:t>
            </w:r>
          </w:p>
        </w:tc>
        <w:tc>
          <w:tcPr>
            <w:tcW w:w="7484" w:type="dxa"/>
          </w:tcPr>
          <w:p w:rsidR="00C76645" w:rsidP="00B824B0" w14:paraId="512D0B0D" w14:textId="77777777">
            <w:pPr>
              <w:pStyle w:val="Normal0"/>
              <w:rPr>
                <w:lang w:val="en-IN"/>
              </w:rPr>
            </w:pPr>
            <w:r>
              <w:rPr>
                <w:rFonts w:hint="eastAsia"/>
                <w:lang w:val="en-IN"/>
              </w:rPr>
              <w:t>官网</w:t>
            </w:r>
          </w:p>
        </w:tc>
      </w:tr>
      <w:tr w14:paraId="67A2D35D" w14:textId="77777777" w:rsidTr="00B824B0">
        <w:tblPrEx>
          <w:tblW w:w="0" w:type="auto"/>
          <w:tblLook w:val="04A0"/>
        </w:tblPrEx>
        <w:tc>
          <w:tcPr>
            <w:tcW w:w="2268" w:type="dxa"/>
          </w:tcPr>
          <w:p w:rsidR="00C76645" w:rsidP="00B824B0" w14:paraId="5347507E" w14:textId="77777777">
            <w:pPr>
              <w:pStyle w:val="Normal0"/>
              <w:rPr>
                <w:lang w:val="en-IN"/>
              </w:rPr>
            </w:pPr>
          </w:p>
        </w:tc>
        <w:tc>
          <w:tcPr>
            <w:tcW w:w="7484" w:type="dxa"/>
          </w:tcPr>
          <w:p w:rsidR="00C76645" w:rsidP="00B824B0" w14:paraId="71E7E0AA" w14:textId="77777777">
            <w:pPr>
              <w:pStyle w:val="Normal0"/>
              <w:rPr>
                <w:lang w:val="en-IN"/>
              </w:rPr>
            </w:pPr>
          </w:p>
        </w:tc>
      </w:tr>
      <w:tr w14:paraId="1070859B" w14:textId="77777777" w:rsidTr="00B824B0">
        <w:tblPrEx>
          <w:tblW w:w="0" w:type="auto"/>
          <w:tblLook w:val="04A0"/>
        </w:tblPrEx>
        <w:tc>
          <w:tcPr>
            <w:tcW w:w="2268" w:type="dxa"/>
          </w:tcPr>
          <w:p w:rsidR="00C76645" w:rsidP="00B824B0" w14:paraId="6C938F7E" w14:textId="77777777">
            <w:pPr>
              <w:pStyle w:val="Normal0"/>
              <w:rPr>
                <w:lang w:val="en-IN"/>
              </w:rPr>
            </w:pPr>
          </w:p>
        </w:tc>
        <w:tc>
          <w:tcPr>
            <w:tcW w:w="7484" w:type="dxa"/>
          </w:tcPr>
          <w:p w:rsidR="00C76645" w:rsidP="00B824B0" w14:paraId="73F4C683" w14:textId="77777777">
            <w:pPr>
              <w:pStyle w:val="Normal0"/>
              <w:rPr>
                <w:lang w:val="en-IN"/>
              </w:rPr>
            </w:pPr>
          </w:p>
        </w:tc>
      </w:tr>
      <w:tr w14:paraId="4EC370E1" w14:textId="77777777" w:rsidTr="00B824B0">
        <w:tblPrEx>
          <w:tblW w:w="0" w:type="auto"/>
          <w:tblLook w:val="04A0"/>
        </w:tblPrEx>
        <w:tc>
          <w:tcPr>
            <w:tcW w:w="2268" w:type="dxa"/>
          </w:tcPr>
          <w:p w:rsidR="00C76645" w:rsidP="00B824B0" w14:paraId="47C24215" w14:textId="77777777">
            <w:pPr>
              <w:pStyle w:val="Normal0"/>
              <w:rPr>
                <w:lang w:val="en-IN"/>
              </w:rPr>
            </w:pPr>
          </w:p>
        </w:tc>
        <w:tc>
          <w:tcPr>
            <w:tcW w:w="7484" w:type="dxa"/>
          </w:tcPr>
          <w:p w:rsidR="00C76645" w:rsidP="00B824B0" w14:paraId="026DF101" w14:textId="77777777">
            <w:pPr>
              <w:pStyle w:val="Normal0"/>
              <w:rPr>
                <w:lang w:val="en-IN"/>
              </w:rPr>
            </w:pPr>
          </w:p>
        </w:tc>
      </w:tr>
      <w:tr w14:paraId="1CEFA945" w14:textId="77777777" w:rsidTr="00B824B0">
        <w:tblPrEx>
          <w:tblW w:w="0" w:type="auto"/>
          <w:tblLook w:val="04A0"/>
        </w:tblPrEx>
        <w:tc>
          <w:tcPr>
            <w:tcW w:w="2268" w:type="dxa"/>
          </w:tcPr>
          <w:p w:rsidR="00C76645" w:rsidP="00B824B0" w14:paraId="3ACE4673" w14:textId="77777777">
            <w:pPr>
              <w:pStyle w:val="Normal0"/>
              <w:rPr>
                <w:lang w:val="en-IN"/>
              </w:rPr>
            </w:pPr>
          </w:p>
        </w:tc>
        <w:tc>
          <w:tcPr>
            <w:tcW w:w="7484" w:type="dxa"/>
          </w:tcPr>
          <w:p w:rsidR="00C76645" w:rsidP="00B824B0" w14:paraId="16718B0A" w14:textId="77777777">
            <w:pPr>
              <w:pStyle w:val="Normal0"/>
              <w:rPr>
                <w:lang w:val="en-IN"/>
              </w:rPr>
            </w:pPr>
          </w:p>
        </w:tc>
      </w:tr>
      <w:tr w14:paraId="41E89E39" w14:textId="77777777" w:rsidTr="00B824B0">
        <w:tblPrEx>
          <w:tblW w:w="0" w:type="auto"/>
          <w:tblLook w:val="04A0"/>
        </w:tblPrEx>
        <w:tc>
          <w:tcPr>
            <w:tcW w:w="2268" w:type="dxa"/>
          </w:tcPr>
          <w:p w:rsidR="00C76645" w:rsidP="00B824B0" w14:paraId="313D7D1B" w14:textId="77777777">
            <w:pPr>
              <w:pStyle w:val="Normal0"/>
              <w:rPr>
                <w:lang w:val="en-IN"/>
              </w:rPr>
            </w:pPr>
          </w:p>
        </w:tc>
        <w:tc>
          <w:tcPr>
            <w:tcW w:w="7484" w:type="dxa"/>
          </w:tcPr>
          <w:p w:rsidR="00C76645" w:rsidP="00B824B0" w14:paraId="1EF541C3" w14:textId="77777777">
            <w:pPr>
              <w:pStyle w:val="Normal0"/>
              <w:rPr>
                <w:lang w:val="en-IN"/>
              </w:rPr>
            </w:pPr>
          </w:p>
        </w:tc>
      </w:tr>
    </w:tbl>
    <w:p w:rsidR="00C76645" w:rsidRPr="00C76645" w:rsidP="00C76645">
      <w:pPr>
        <w:pStyle w:val="Source00"/>
      </w:pPr>
      <w:r>
        <w:rPr>
          <w:rFonts w:hint="eastAsia"/>
        </w:rPr>
        <w:t>资料来源：第三方资料、新闻报道、业内专家采访及</w:t>
      </w:r>
      <w:r>
        <w:rPr>
          <w:rFonts w:hint="eastAsia"/>
        </w:rPr>
        <w:t>QYResearch</w:t>
      </w:r>
      <w:r>
        <w:rPr>
          <w:rFonts w:hint="eastAsia"/>
        </w:rPr>
        <w:t>整理研究，</w:t>
      </w:r>
      <w:r>
        <w:rPr>
          <w:rFonts w:hint="eastAsia"/>
        </w:rPr>
        <w:t>2024</w:t>
      </w:r>
      <w:r>
        <w:rPr>
          <w:rFonts w:hint="eastAsia"/>
        </w:rPr>
        <w:t>年</w:t>
      </w:r>
    </w:p>
    <w:p w:rsidR="00E52EDE" w:rsidP="00E52EDE" w14:paraId="11BD1F99" w14:textId="77777777">
      <w:pPr>
        <w:pStyle w:val="Heading20"/>
        <w:rPr>
          <w:lang w:val="en-IN"/>
        </w:rPr>
      </w:pPr>
      <w:bookmarkStart w:id="226" w:name="_Toc43885444"/>
      <w:bookmarkStart w:id="227" w:name="_Toc59105060"/>
      <w:bookmarkStart w:id="228" w:name="_Toc121584180"/>
      <w:bookmarkStart w:id="229" w:name="_Toc166762092"/>
      <w:bookmarkStart w:id="230" w:name="_Toc43885438"/>
      <w:bookmarkStart w:id="231" w:name="_Toc59105054"/>
      <w:bookmarkStart w:id="232" w:name="_Toc121584175"/>
      <w:r w:rsidRPr="00B728C9">
        <w:t>电子式热分配表(HCA)</w:t>
      </w:r>
      <w:r>
        <w:rPr>
          <w:rFonts w:hint="eastAsia"/>
        </w:rPr>
        <w:t>行业生产模式</w:t>
      </w:r>
      <w:bookmarkEnd w:id="226"/>
      <w:bookmarkEnd w:id="227"/>
      <w:bookmarkEnd w:id="228"/>
      <w:bookmarkEnd w:id="229"/>
    </w:p>
    <w:p w:rsidR="00E52EDE" w:rsidRPr="005868B1" w:rsidP="00E52EDE">
      <w:pPr>
        <w:pStyle w:val="FigureStyle00"/>
      </w:pPr>
      <w:bookmarkStart w:id="233" w:name="_Toc43885079"/>
      <w:bookmarkStart w:id="234" w:name="_Toc59105380"/>
      <w:bookmarkStart w:id="235" w:name="_Toc121583618"/>
      <w:bookmarkStart w:id="236" w:name="_Toc166761939"/>
      <w:r w:rsidRPr="005868B1">
        <w:t>电子式热分配表(HCA)</w:t>
      </w:r>
      <w:r w:rsidRPr="005868B1">
        <w:rPr>
          <w:rFonts w:hint="eastAsia"/>
        </w:rPr>
        <w:t>行业生产模式分析</w:t>
      </w:r>
      <w:bookmarkEnd w:id="233"/>
      <w:bookmarkEnd w:id="234"/>
      <w:bookmarkEnd w:id="235"/>
      <w:bookmarkEnd w:id="236"/>
    </w:p>
    <w:p w:rsidR="00E52EDE" w:rsidP="00E52EDE" w14:paraId="36BA4DD9" w14:textId="77777777">
      <w:pPr>
        <w:pStyle w:val="Source00"/>
      </w:pPr>
      <w:r>
        <w:rPr>
          <w:rFonts w:hint="eastAsia"/>
        </w:rPr>
        <w:t>资料来源：</w:t>
      </w:r>
      <w:r>
        <w:rPr>
          <w:rFonts w:hint="eastAsia"/>
        </w:rPr>
        <w:t>QYResearch</w:t>
      </w:r>
    </w:p>
    <w:p w:rsidR="00E52EDE" w:rsidP="00E52EDE" w14:paraId="4AE71D99" w14:textId="1D3B87E3">
      <w:pPr>
        <w:pStyle w:val="Heading20"/>
      </w:pPr>
      <w:bookmarkStart w:id="237" w:name="_Toc121584186"/>
      <w:bookmarkStart w:id="238" w:name="_Toc166762093"/>
      <w:bookmarkEnd w:id="230"/>
      <w:bookmarkEnd w:id="231"/>
      <w:bookmarkEnd w:id="232"/>
      <w:r>
        <w:rPr>
          <w:rFonts w:hint="eastAsia"/>
        </w:rPr>
        <w:t>东南亚</w:t>
      </w:r>
      <w:r>
        <w:rPr>
          <w:rFonts w:hint="eastAsia"/>
        </w:rPr>
        <w:t>电子式热分配表(HCA)</w:t>
      </w:r>
      <w:r>
        <w:rPr>
          <w:rFonts w:hint="eastAsia"/>
        </w:rPr>
        <w:t>进出口分析</w:t>
      </w:r>
      <w:bookmarkEnd w:id="237"/>
      <w:bookmarkEnd w:id="238"/>
    </w:p>
    <w:p w:rsidR="00E52EDE" w:rsidP="00E52EDE" w14:paraId="22D9605A" w14:textId="3545CCD6">
      <w:pPr>
        <w:pStyle w:val="Heading30"/>
      </w:pPr>
      <w:bookmarkStart w:id="239" w:name="_Toc24028559"/>
      <w:bookmarkStart w:id="240" w:name="_Toc24972749"/>
      <w:bookmarkStart w:id="241" w:name="_Toc121584187"/>
      <w:bookmarkStart w:id="242" w:name="_Toc166762094"/>
      <w:r>
        <w:rPr>
          <w:rFonts w:hint="eastAsia"/>
        </w:rPr>
        <w:t>东南亚市场</w:t>
      </w:r>
      <w:r>
        <w:rPr>
          <w:rFonts w:hint="eastAsia"/>
        </w:rPr>
        <w:t>电子式热分配表(HCA)</w:t>
      </w:r>
      <w:r w:rsidRPr="00AC1209">
        <w:rPr>
          <w:rFonts w:hint="eastAsia"/>
        </w:rPr>
        <w:t>主要进口来源</w:t>
      </w:r>
      <w:bookmarkEnd w:id="239"/>
      <w:bookmarkEnd w:id="240"/>
      <w:bookmarkEnd w:id="241"/>
      <w:bookmarkEnd w:id="242"/>
    </w:p>
    <w:p w:rsidR="00E52EDE" w:rsidRPr="006C3BE6" w:rsidP="006C3BE6" w14:paraId="085217AB" w14:textId="32B76836">
      <w:pPr>
        <w:pStyle w:val="TableStyle0"/>
        <w:ind w:left="252" w:right="-105"/>
      </w:pPr>
      <w:bookmarkStart w:id="243" w:name="_Toc24029146"/>
      <w:bookmarkStart w:id="244" w:name="_Toc26780257"/>
      <w:bookmarkStart w:id="245" w:name="_Toc121583864"/>
      <w:bookmarkStart w:id="246" w:name="_Toc166761968"/>
      <w:r>
        <w:rPr>
          <w:rFonts w:hint="eastAsia"/>
        </w:rPr>
        <w:t>东南亚市场</w:t>
      </w:r>
      <w:r>
        <w:rPr>
          <w:rFonts w:hint="eastAsia"/>
        </w:rPr>
        <w:t>电子式热分配表(HCA)</w:t>
      </w:r>
      <w:r w:rsidRPr="006C3BE6">
        <w:rPr>
          <w:rFonts w:hint="eastAsia"/>
        </w:rPr>
        <w:t>主要进口来源</w:t>
      </w:r>
      <w:bookmarkEnd w:id="243"/>
      <w:bookmarkEnd w:id="244"/>
      <w:bookmarkEnd w:id="245"/>
      <w:bookmarkEnd w:id="246"/>
    </w:p>
    <w:tbl>
      <w:tblPr>
        <w:tblStyle w:val="TableGrid80"/>
        <w:tblW w:w="5000" w:type="pct"/>
        <w:tblLook w:val="04A0"/>
      </w:tblPr>
      <w:tblGrid>
        <w:gridCol w:w="1884"/>
        <w:gridCol w:w="8084"/>
      </w:tblGrid>
      <w:tr w14:paraId="4A7D40BC" w14:textId="77777777" w:rsidTr="00B824B0">
        <w:tblPrEx>
          <w:tblW w:w="5000" w:type="pct"/>
          <w:tblLook w:val="04A0"/>
        </w:tblPrEx>
        <w:trPr>
          <w:trHeight w:val="270"/>
        </w:trPr>
        <w:tc>
          <w:tcPr>
            <w:tcW w:w="945" w:type="pct"/>
            <w:noWrap/>
            <w:hideMark/>
          </w:tcPr>
          <w:p w:rsidR="00E52EDE" w:rsidRPr="007F4F3D" w:rsidP="00B824B0" w14:paraId="5062ACB9" w14:textId="77777777">
            <w:pPr>
              <w:pStyle w:val="Normal0"/>
            </w:pPr>
            <w:r w:rsidRPr="00AC1209">
              <w:rPr>
                <w:rFonts w:hint="eastAsia"/>
              </w:rPr>
              <w:t>主要进口来源</w:t>
            </w:r>
          </w:p>
        </w:tc>
        <w:tc>
          <w:tcPr>
            <w:tcW w:w="4055" w:type="pct"/>
            <w:noWrap/>
          </w:tcPr>
          <w:p w:rsidR="00E52EDE" w:rsidRPr="004547E5" w:rsidP="00B824B0" w14:paraId="7489187C" w14:textId="77777777">
            <w:pPr>
              <w:pStyle w:val="Normal0"/>
            </w:pPr>
            <w:r>
              <w:rPr>
                <w:rFonts w:hint="eastAsia"/>
              </w:rPr>
              <w:t>描述</w:t>
            </w:r>
          </w:p>
        </w:tc>
      </w:tr>
      <w:tr w14:paraId="33F16BFD" w14:textId="77777777" w:rsidTr="00B824B0">
        <w:tblPrEx>
          <w:tblW w:w="5000" w:type="pct"/>
          <w:tblLook w:val="04A0"/>
        </w:tblPrEx>
        <w:trPr>
          <w:trHeight w:val="270"/>
        </w:trPr>
        <w:tc>
          <w:tcPr>
            <w:tcW w:w="945" w:type="pct"/>
            <w:noWrap/>
          </w:tcPr>
          <w:p w:rsidR="00E52EDE" w:rsidRPr="007F4F3D" w:rsidP="00B824B0" w14:paraId="42295785" w14:textId="77777777">
            <w:pPr>
              <w:pStyle w:val="Normal0"/>
            </w:pPr>
            <w:r>
              <w:rPr>
                <w:rFonts w:hint="eastAsia"/>
              </w:rPr>
              <w:t>XX</w:t>
            </w:r>
          </w:p>
        </w:tc>
        <w:tc>
          <w:tcPr>
            <w:tcW w:w="4055" w:type="pct"/>
            <w:noWrap/>
          </w:tcPr>
          <w:p w:rsidR="00E52EDE" w:rsidP="00B824B0" w14:paraId="470F6062" w14:textId="77777777">
            <w:pPr>
              <w:pStyle w:val="Normal0"/>
            </w:pPr>
          </w:p>
        </w:tc>
      </w:tr>
      <w:tr w14:paraId="188A39B4" w14:textId="77777777" w:rsidTr="00B824B0">
        <w:tblPrEx>
          <w:tblW w:w="5000" w:type="pct"/>
          <w:tblLook w:val="04A0"/>
        </w:tblPrEx>
        <w:trPr>
          <w:trHeight w:val="270"/>
        </w:trPr>
        <w:tc>
          <w:tcPr>
            <w:tcW w:w="945" w:type="pct"/>
            <w:noWrap/>
          </w:tcPr>
          <w:p w:rsidR="00E52EDE" w:rsidRPr="007F4F3D" w:rsidP="00B824B0" w14:paraId="4FC8A153" w14:textId="77777777">
            <w:pPr>
              <w:pStyle w:val="Normal0"/>
            </w:pPr>
            <w:r>
              <w:rPr>
                <w:rFonts w:hint="eastAsia"/>
              </w:rPr>
              <w:t>XX</w:t>
            </w:r>
          </w:p>
        </w:tc>
        <w:tc>
          <w:tcPr>
            <w:tcW w:w="4055" w:type="pct"/>
            <w:noWrap/>
          </w:tcPr>
          <w:p w:rsidR="00E52EDE" w:rsidP="00B824B0" w14:paraId="5EE1D3E1" w14:textId="77777777">
            <w:pPr>
              <w:pStyle w:val="Normal0"/>
            </w:pPr>
          </w:p>
        </w:tc>
      </w:tr>
      <w:tr w14:paraId="1088A989" w14:textId="77777777" w:rsidTr="00B824B0">
        <w:tblPrEx>
          <w:tblW w:w="5000" w:type="pct"/>
          <w:tblLook w:val="04A0"/>
        </w:tblPrEx>
        <w:trPr>
          <w:trHeight w:val="270"/>
        </w:trPr>
        <w:tc>
          <w:tcPr>
            <w:tcW w:w="945" w:type="pct"/>
            <w:noWrap/>
          </w:tcPr>
          <w:p w:rsidR="00E52EDE" w:rsidRPr="007F4F3D" w:rsidP="00B824B0" w14:paraId="09D47580" w14:textId="77777777">
            <w:pPr>
              <w:pStyle w:val="Normal0"/>
            </w:pPr>
            <w:r>
              <w:rPr>
                <w:rFonts w:hint="eastAsia"/>
              </w:rPr>
              <w:t>XX</w:t>
            </w:r>
          </w:p>
        </w:tc>
        <w:tc>
          <w:tcPr>
            <w:tcW w:w="4055" w:type="pct"/>
            <w:noWrap/>
          </w:tcPr>
          <w:p w:rsidR="00E52EDE" w:rsidP="00B824B0" w14:paraId="36AC7170" w14:textId="77777777">
            <w:pPr>
              <w:pStyle w:val="Normal0"/>
            </w:pPr>
          </w:p>
        </w:tc>
      </w:tr>
      <w:tr w14:paraId="6A661103" w14:textId="77777777" w:rsidTr="00B824B0">
        <w:tblPrEx>
          <w:tblW w:w="5000" w:type="pct"/>
          <w:tblLook w:val="04A0"/>
        </w:tblPrEx>
        <w:trPr>
          <w:trHeight w:val="270"/>
        </w:trPr>
        <w:tc>
          <w:tcPr>
            <w:tcW w:w="945" w:type="pct"/>
            <w:noWrap/>
          </w:tcPr>
          <w:p w:rsidR="00E52EDE" w:rsidRPr="007F4F3D" w:rsidP="00B824B0" w14:paraId="65DCAA0F" w14:textId="77777777">
            <w:pPr>
              <w:pStyle w:val="Normal0"/>
            </w:pPr>
            <w:r>
              <w:rPr>
                <w:rFonts w:hint="eastAsia"/>
              </w:rPr>
              <w:t>XX</w:t>
            </w:r>
          </w:p>
        </w:tc>
        <w:tc>
          <w:tcPr>
            <w:tcW w:w="4055" w:type="pct"/>
            <w:noWrap/>
          </w:tcPr>
          <w:p w:rsidR="00E52EDE" w:rsidP="00B824B0" w14:paraId="5D74F19E" w14:textId="77777777">
            <w:pPr>
              <w:pStyle w:val="Normal0"/>
            </w:pPr>
          </w:p>
        </w:tc>
      </w:tr>
    </w:tbl>
    <w:p w:rsidR="00E52EDE" w:rsidP="00E52EDE" w14:paraId="68A79F64" w14:textId="77777777">
      <w:pPr>
        <w:pStyle w:val="Source00"/>
      </w:pPr>
      <w:r>
        <w:rPr>
          <w:rFonts w:hint="eastAsia"/>
        </w:rPr>
        <w:t>资料来源：第三方资料、新闻报道、业内专家采访及</w:t>
      </w:r>
      <w:r>
        <w:rPr>
          <w:rFonts w:hint="eastAsia"/>
        </w:rPr>
        <w:t>QYResearch</w:t>
      </w:r>
      <w:r>
        <w:rPr>
          <w:rFonts w:hint="eastAsia"/>
        </w:rPr>
        <w:t>整理研究，</w:t>
      </w:r>
      <w:r>
        <w:rPr>
          <w:rFonts w:hint="eastAsia"/>
        </w:rPr>
        <w:t>2024</w:t>
      </w:r>
      <w:r>
        <w:rPr>
          <w:rFonts w:hint="eastAsia"/>
        </w:rPr>
        <w:t>年</w:t>
      </w:r>
    </w:p>
    <w:p w:rsidR="00F5403E" w:rsidRPr="00ED2D62" w:rsidP="00F5403E">
      <w:pPr>
        <w:pStyle w:val="FigureStyle00"/>
      </w:pPr>
      <w:bookmarkStart w:id="247" w:name="_Toc166761940"/>
      <w:r>
        <w:rPr>
          <w:rFonts w:hint="eastAsia"/>
        </w:rPr>
        <w:t>东南亚市场</w:t>
      </w:r>
      <w:r>
        <w:rPr>
          <w:rFonts w:hint="eastAsia"/>
        </w:rPr>
        <w:t>电子式热分配表(HCA)</w:t>
      </w:r>
      <w:r w:rsidRPr="00ED2D62">
        <w:rPr>
          <w:rFonts w:hint="eastAsia"/>
        </w:rPr>
        <w:t>主要</w:t>
      </w:r>
      <w:r>
        <w:rPr>
          <w:rFonts w:hint="eastAsia"/>
        </w:rPr>
        <w:t>来源地进口占比（</w:t>
      </w:r>
      <w:r>
        <w:rPr>
          <w:rFonts w:hint="eastAsia"/>
        </w:rPr>
        <w:t>2023</w:t>
      </w:r>
      <w:r>
        <w:rPr>
          <w:rFonts w:hint="eastAsia"/>
        </w:rPr>
        <w:t>）</w:t>
      </w:r>
      <w:bookmarkEnd w:id="247"/>
    </w:p>
    <w:p w:rsidR="00F5403E" w:rsidRPr="00F5403E" w:rsidP="00E52EDE" w14:paraId="793F8A6A" w14:textId="51833EC7">
      <w:pPr>
        <w:pStyle w:val="Source00"/>
      </w:pPr>
      <w:r>
        <w:rPr>
          <w:rFonts w:hint="eastAsia"/>
        </w:rPr>
        <w:t>资料来源：第三方资料、新闻报道、业内专家采访及</w:t>
      </w:r>
      <w:r>
        <w:rPr>
          <w:rFonts w:hint="eastAsia"/>
        </w:rPr>
        <w:t>QYResearch</w:t>
      </w:r>
      <w:r>
        <w:rPr>
          <w:rFonts w:hint="eastAsia"/>
        </w:rPr>
        <w:t>整理研究，</w:t>
      </w:r>
      <w:r>
        <w:rPr>
          <w:rFonts w:hint="eastAsia"/>
        </w:rPr>
        <w:t>2024</w:t>
      </w:r>
      <w:r>
        <w:rPr>
          <w:rFonts w:hint="eastAsia"/>
        </w:rPr>
        <w:t>年</w:t>
      </w:r>
    </w:p>
    <w:p w:rsidR="00E52EDE" w:rsidP="00E52EDE" w14:paraId="019AB079" w14:textId="2C7D17E2">
      <w:pPr>
        <w:pStyle w:val="Heading30"/>
      </w:pPr>
      <w:bookmarkStart w:id="248" w:name="_Toc24028560"/>
      <w:bookmarkStart w:id="249" w:name="_Toc24972750"/>
      <w:bookmarkStart w:id="250" w:name="_Toc121584188"/>
      <w:bookmarkStart w:id="251" w:name="_Toc166762095"/>
      <w:r>
        <w:rPr>
          <w:rFonts w:hint="eastAsia"/>
        </w:rPr>
        <w:t>东南亚市场</w:t>
      </w:r>
      <w:r>
        <w:rPr>
          <w:rFonts w:hint="eastAsia"/>
        </w:rPr>
        <w:t>电子式热分配表(HCA)</w:t>
      </w:r>
      <w:r w:rsidRPr="00AC1209">
        <w:rPr>
          <w:rFonts w:hint="eastAsia"/>
        </w:rPr>
        <w:t>主要出口目的地</w:t>
      </w:r>
      <w:bookmarkEnd w:id="248"/>
      <w:bookmarkEnd w:id="249"/>
      <w:bookmarkEnd w:id="250"/>
      <w:bookmarkEnd w:id="251"/>
    </w:p>
    <w:p w:rsidR="00E52EDE" w:rsidRPr="006C3BE6" w:rsidP="006C3BE6" w14:paraId="2670D013" w14:textId="57C2848C">
      <w:pPr>
        <w:pStyle w:val="TableStyle0"/>
        <w:ind w:left="252" w:right="-105"/>
      </w:pPr>
      <w:bookmarkStart w:id="252" w:name="_Toc24029147"/>
      <w:bookmarkStart w:id="253" w:name="_Toc26780258"/>
      <w:bookmarkStart w:id="254" w:name="_Toc121583865"/>
      <w:bookmarkStart w:id="255" w:name="_Toc166761969"/>
      <w:r>
        <w:rPr>
          <w:rFonts w:hint="eastAsia"/>
        </w:rPr>
        <w:t>东南亚市场</w:t>
      </w:r>
      <w:r>
        <w:rPr>
          <w:rFonts w:hint="eastAsia"/>
        </w:rPr>
        <w:t>电子式热分配表(HCA)</w:t>
      </w:r>
      <w:r w:rsidRPr="006C3BE6">
        <w:rPr>
          <w:rFonts w:hint="eastAsia"/>
        </w:rPr>
        <w:t>主要出口目的地</w:t>
      </w:r>
      <w:bookmarkEnd w:id="252"/>
      <w:bookmarkEnd w:id="253"/>
      <w:bookmarkEnd w:id="254"/>
      <w:bookmarkEnd w:id="255"/>
    </w:p>
    <w:tbl>
      <w:tblPr>
        <w:tblStyle w:val="TableGrid80"/>
        <w:tblW w:w="5000" w:type="pct"/>
        <w:tblLook w:val="04A0"/>
      </w:tblPr>
      <w:tblGrid>
        <w:gridCol w:w="1884"/>
        <w:gridCol w:w="8084"/>
      </w:tblGrid>
      <w:tr w14:paraId="752A87BE" w14:textId="77777777" w:rsidTr="00B824B0">
        <w:tblPrEx>
          <w:tblW w:w="5000" w:type="pct"/>
          <w:tblLook w:val="04A0"/>
        </w:tblPrEx>
        <w:trPr>
          <w:trHeight w:val="270"/>
        </w:trPr>
        <w:tc>
          <w:tcPr>
            <w:tcW w:w="945" w:type="pct"/>
            <w:noWrap/>
            <w:hideMark/>
          </w:tcPr>
          <w:p w:rsidR="00E52EDE" w:rsidRPr="007F4F3D" w:rsidP="00B824B0" w14:paraId="50EB32A2" w14:textId="77777777">
            <w:pPr>
              <w:pStyle w:val="Normal0"/>
            </w:pPr>
            <w:r w:rsidRPr="00AC1209">
              <w:rPr>
                <w:rFonts w:hint="eastAsia"/>
              </w:rPr>
              <w:t>出口目的地</w:t>
            </w:r>
          </w:p>
        </w:tc>
        <w:tc>
          <w:tcPr>
            <w:tcW w:w="4055" w:type="pct"/>
            <w:noWrap/>
          </w:tcPr>
          <w:p w:rsidR="00E52EDE" w:rsidRPr="004547E5" w:rsidP="00B824B0" w14:paraId="6A024C00" w14:textId="77777777">
            <w:pPr>
              <w:pStyle w:val="Normal0"/>
            </w:pPr>
            <w:r>
              <w:rPr>
                <w:rFonts w:hint="eastAsia"/>
              </w:rPr>
              <w:t>描述</w:t>
            </w:r>
          </w:p>
        </w:tc>
      </w:tr>
      <w:tr w14:paraId="14884136" w14:textId="77777777" w:rsidTr="00B824B0">
        <w:tblPrEx>
          <w:tblW w:w="5000" w:type="pct"/>
          <w:tblLook w:val="04A0"/>
        </w:tblPrEx>
        <w:trPr>
          <w:trHeight w:val="270"/>
        </w:trPr>
        <w:tc>
          <w:tcPr>
            <w:tcW w:w="945" w:type="pct"/>
            <w:noWrap/>
          </w:tcPr>
          <w:p w:rsidR="00E52EDE" w:rsidRPr="007F4F3D" w:rsidP="00B824B0" w14:paraId="7BA68BDD" w14:textId="77777777">
            <w:pPr>
              <w:pStyle w:val="Normal0"/>
            </w:pPr>
            <w:r>
              <w:rPr>
                <w:rFonts w:hint="eastAsia"/>
              </w:rPr>
              <w:t>XX</w:t>
            </w:r>
          </w:p>
        </w:tc>
        <w:tc>
          <w:tcPr>
            <w:tcW w:w="4055" w:type="pct"/>
            <w:noWrap/>
          </w:tcPr>
          <w:p w:rsidR="00E52EDE" w:rsidP="00B824B0" w14:paraId="3F50A9A0" w14:textId="77777777">
            <w:pPr>
              <w:pStyle w:val="Normal0"/>
            </w:pPr>
          </w:p>
        </w:tc>
      </w:tr>
      <w:tr w14:paraId="1BB6C6BB" w14:textId="77777777" w:rsidTr="00B824B0">
        <w:tblPrEx>
          <w:tblW w:w="5000" w:type="pct"/>
          <w:tblLook w:val="04A0"/>
        </w:tblPrEx>
        <w:trPr>
          <w:trHeight w:val="270"/>
        </w:trPr>
        <w:tc>
          <w:tcPr>
            <w:tcW w:w="945" w:type="pct"/>
            <w:noWrap/>
          </w:tcPr>
          <w:p w:rsidR="00E52EDE" w:rsidRPr="007F4F3D" w:rsidP="00B824B0" w14:paraId="4A3A5F2D" w14:textId="77777777">
            <w:pPr>
              <w:pStyle w:val="Normal0"/>
            </w:pPr>
            <w:r>
              <w:rPr>
                <w:rFonts w:hint="eastAsia"/>
              </w:rPr>
              <w:t>XX</w:t>
            </w:r>
          </w:p>
        </w:tc>
        <w:tc>
          <w:tcPr>
            <w:tcW w:w="4055" w:type="pct"/>
            <w:noWrap/>
          </w:tcPr>
          <w:p w:rsidR="00E52EDE" w:rsidP="00B824B0" w14:paraId="3C6221C8" w14:textId="77777777">
            <w:pPr>
              <w:pStyle w:val="Normal0"/>
            </w:pPr>
          </w:p>
        </w:tc>
      </w:tr>
      <w:tr w14:paraId="2AA6D95C" w14:textId="77777777" w:rsidTr="00B824B0">
        <w:tblPrEx>
          <w:tblW w:w="5000" w:type="pct"/>
          <w:tblLook w:val="04A0"/>
        </w:tblPrEx>
        <w:trPr>
          <w:trHeight w:val="270"/>
        </w:trPr>
        <w:tc>
          <w:tcPr>
            <w:tcW w:w="945" w:type="pct"/>
            <w:noWrap/>
          </w:tcPr>
          <w:p w:rsidR="00E52EDE" w:rsidRPr="007F4F3D" w:rsidP="00B824B0" w14:paraId="4DF2BBF0" w14:textId="77777777">
            <w:pPr>
              <w:pStyle w:val="Normal0"/>
            </w:pPr>
            <w:r>
              <w:rPr>
                <w:rFonts w:hint="eastAsia"/>
              </w:rPr>
              <w:t>XX</w:t>
            </w:r>
          </w:p>
        </w:tc>
        <w:tc>
          <w:tcPr>
            <w:tcW w:w="4055" w:type="pct"/>
            <w:noWrap/>
          </w:tcPr>
          <w:p w:rsidR="00E52EDE" w:rsidP="00B824B0" w14:paraId="7420D561" w14:textId="77777777">
            <w:pPr>
              <w:pStyle w:val="Normal0"/>
            </w:pPr>
          </w:p>
        </w:tc>
      </w:tr>
      <w:tr w14:paraId="180A1378" w14:textId="77777777" w:rsidTr="00B824B0">
        <w:tblPrEx>
          <w:tblW w:w="5000" w:type="pct"/>
          <w:tblLook w:val="04A0"/>
        </w:tblPrEx>
        <w:trPr>
          <w:trHeight w:val="270"/>
        </w:trPr>
        <w:tc>
          <w:tcPr>
            <w:tcW w:w="945" w:type="pct"/>
            <w:noWrap/>
          </w:tcPr>
          <w:p w:rsidR="00E52EDE" w:rsidRPr="007F4F3D" w:rsidP="00B824B0" w14:paraId="5DED6048" w14:textId="77777777">
            <w:pPr>
              <w:pStyle w:val="Normal0"/>
            </w:pPr>
            <w:r>
              <w:rPr>
                <w:rFonts w:hint="eastAsia"/>
              </w:rPr>
              <w:t>XX</w:t>
            </w:r>
          </w:p>
        </w:tc>
        <w:tc>
          <w:tcPr>
            <w:tcW w:w="4055" w:type="pct"/>
            <w:noWrap/>
          </w:tcPr>
          <w:p w:rsidR="00E52EDE" w:rsidP="00B824B0" w14:paraId="76939D65" w14:textId="77777777">
            <w:pPr>
              <w:pStyle w:val="Normal0"/>
            </w:pPr>
          </w:p>
        </w:tc>
      </w:tr>
    </w:tbl>
    <w:p w:rsidR="00E52EDE" w:rsidRPr="007A5054" w:rsidP="00E52EDE" w14:paraId="5599AC19" w14:textId="77777777">
      <w:pPr>
        <w:pStyle w:val="Source00"/>
      </w:pPr>
      <w:r>
        <w:rPr>
          <w:rFonts w:hint="eastAsia"/>
        </w:rPr>
        <w:t>资料来源：第三方资料、新闻报道、业内专家采访及</w:t>
      </w:r>
      <w:r>
        <w:rPr>
          <w:rFonts w:hint="eastAsia"/>
        </w:rPr>
        <w:t>QYResearch</w:t>
      </w:r>
      <w:r>
        <w:rPr>
          <w:rFonts w:hint="eastAsia"/>
        </w:rPr>
        <w:t>整理研究，</w:t>
      </w:r>
      <w:r>
        <w:rPr>
          <w:rFonts w:hint="eastAsia"/>
        </w:rPr>
        <w:t>2024</w:t>
      </w:r>
      <w:r>
        <w:rPr>
          <w:rFonts w:hint="eastAsia"/>
        </w:rPr>
        <w:t>年</w:t>
      </w:r>
    </w:p>
    <w:p w:rsidR="00F5403E" w:rsidRPr="00ED2D62" w:rsidP="00F5403E">
      <w:pPr>
        <w:pStyle w:val="FigureStyle00"/>
      </w:pPr>
      <w:bookmarkStart w:id="256" w:name="_Toc166761941"/>
      <w:r>
        <w:rPr>
          <w:rFonts w:hint="eastAsia"/>
        </w:rPr>
        <w:t>东南亚市场</w:t>
      </w:r>
      <w:r>
        <w:rPr>
          <w:rFonts w:hint="eastAsia"/>
        </w:rPr>
        <w:t>电子式热分配表(HCA)</w:t>
      </w:r>
      <w:r w:rsidRPr="00ED2D62">
        <w:rPr>
          <w:rFonts w:hint="eastAsia"/>
        </w:rPr>
        <w:t>主要目的地出口</w:t>
      </w:r>
      <w:r>
        <w:rPr>
          <w:rFonts w:hint="eastAsia"/>
        </w:rPr>
        <w:t>占比（</w:t>
      </w:r>
      <w:r>
        <w:rPr>
          <w:rFonts w:hint="eastAsia"/>
        </w:rPr>
        <w:t>2023</w:t>
      </w:r>
      <w:r>
        <w:rPr>
          <w:rFonts w:hint="eastAsia"/>
        </w:rPr>
        <w:t>）</w:t>
      </w:r>
      <w:bookmarkEnd w:id="256"/>
    </w:p>
    <w:p w:rsidR="00F5403E" w:rsidRPr="007A5054" w:rsidP="00F5403E">
      <w:pPr>
        <w:pStyle w:val="Source00"/>
      </w:pPr>
      <w:r>
        <w:rPr>
          <w:rFonts w:hint="eastAsia"/>
        </w:rPr>
        <w:t>资料来源：第三方资料、新闻报道、业内专家采访及</w:t>
      </w:r>
      <w:r>
        <w:rPr>
          <w:rFonts w:hint="eastAsia"/>
        </w:rPr>
        <w:t>QYResearch</w:t>
      </w:r>
      <w:r>
        <w:rPr>
          <w:rFonts w:hint="eastAsia"/>
        </w:rPr>
        <w:t>整理研究，</w:t>
      </w:r>
      <w:r>
        <w:rPr>
          <w:rFonts w:hint="eastAsia"/>
        </w:rPr>
        <w:t>2024</w:t>
      </w:r>
      <w:r>
        <w:rPr>
          <w:rFonts w:hint="eastAsia"/>
        </w:rPr>
        <w:t>年</w:t>
      </w:r>
    </w:p>
    <w:p w:rsidR="00DC55D6" w:rsidP="00DC55D6" w14:paraId="6DBDB234" w14:textId="38983726">
      <w:pPr>
        <w:pStyle w:val="Heading10"/>
        <w:rPr>
          <w:lang w:eastAsia="zh-CN"/>
        </w:rPr>
      </w:pPr>
      <w:bookmarkStart w:id="257" w:name="_Toc43885421"/>
      <w:bookmarkStart w:id="258" w:name="_Toc87984664"/>
      <w:bookmarkStart w:id="259" w:name="_Toc121584164"/>
      <w:bookmarkStart w:id="260" w:name="_Toc166762096"/>
      <w:bookmarkStart w:id="261" w:name="_Toc43885436"/>
      <w:bookmarkStart w:id="262" w:name="_Toc59105052"/>
      <w:r w:rsidRPr="00814E54">
        <w:rPr>
          <w:rFonts w:hint="eastAsia"/>
          <w:lang w:eastAsia="zh-CN"/>
        </w:rPr>
        <w:t>行业</w:t>
      </w:r>
      <w:r w:rsidR="006269AA">
        <w:rPr>
          <w:rFonts w:hint="eastAsia"/>
          <w:lang w:eastAsia="zh-CN"/>
        </w:rPr>
        <w:t>发展趋势及影响因素</w:t>
      </w:r>
      <w:bookmarkEnd w:id="257"/>
      <w:bookmarkEnd w:id="258"/>
      <w:bookmarkEnd w:id="259"/>
      <w:bookmarkEnd w:id="260"/>
    </w:p>
    <w:p w:rsidR="00DC55D6" w:rsidP="00DC55D6" w14:paraId="216A64D6" w14:textId="77777777">
      <w:pPr>
        <w:pStyle w:val="Heading20"/>
      </w:pPr>
      <w:bookmarkStart w:id="263" w:name="_Toc43885430"/>
      <w:bookmarkStart w:id="264" w:name="_Toc87984665"/>
      <w:bookmarkStart w:id="265" w:name="_Toc121584165"/>
      <w:bookmarkStart w:id="266" w:name="_Toc166762097"/>
      <w:r w:rsidRPr="00B728C9">
        <w:t>电子式热分配表(HCA)</w:t>
      </w:r>
      <w:r w:rsidRPr="00955327">
        <w:rPr>
          <w:rFonts w:hint="eastAsia"/>
        </w:rPr>
        <w:t>行业发展</w:t>
      </w:r>
      <w:r>
        <w:rPr>
          <w:rFonts w:hint="eastAsia"/>
        </w:rPr>
        <w:t>分析</w:t>
      </w:r>
      <w:r>
        <w:rPr>
          <w:rFonts w:hint="eastAsia"/>
        </w:rPr>
        <w:t>-</w:t>
      </w:r>
      <w:r>
        <w:t>--</w:t>
      </w:r>
      <w:r>
        <w:rPr>
          <w:rFonts w:hint="eastAsia"/>
        </w:rPr>
        <w:t>发展</w:t>
      </w:r>
      <w:r w:rsidRPr="00955327">
        <w:rPr>
          <w:rFonts w:hint="eastAsia"/>
        </w:rPr>
        <w:t>趋势</w:t>
      </w:r>
      <w:bookmarkEnd w:id="263"/>
      <w:bookmarkEnd w:id="264"/>
      <w:bookmarkEnd w:id="265"/>
      <w:bookmarkEnd w:id="266"/>
    </w:p>
    <w:p w:rsidR="00DC55D6" w:rsidRPr="006C3BE6" w:rsidP="006C3BE6" w14:paraId="09AB279C" w14:textId="77777777">
      <w:pPr>
        <w:pStyle w:val="TableStyle0"/>
        <w:ind w:left="252" w:right="-105"/>
      </w:pPr>
      <w:bookmarkStart w:id="267" w:name="_Toc121583853"/>
      <w:bookmarkStart w:id="268" w:name="_Toc166761970"/>
      <w:r w:rsidRPr="006C3BE6">
        <w:t>电子式热分配表(HCA)</w:t>
      </w:r>
      <w:r w:rsidRPr="006C3BE6">
        <w:rPr>
          <w:rFonts w:hint="eastAsia"/>
        </w:rPr>
        <w:t>行业发展分析</w:t>
      </w:r>
      <w:r w:rsidRPr="006C3BE6">
        <w:rPr>
          <w:rFonts w:hint="eastAsia"/>
        </w:rPr>
        <w:t>-</w:t>
      </w:r>
      <w:r w:rsidRPr="006C3BE6">
        <w:t>--</w:t>
      </w:r>
      <w:r w:rsidRPr="006C3BE6">
        <w:rPr>
          <w:rFonts w:hint="eastAsia"/>
        </w:rPr>
        <w:t>发展趋势</w:t>
      </w:r>
      <w:bookmarkEnd w:id="267"/>
      <w:bookmarkEnd w:id="268"/>
    </w:p>
    <w:tbl>
      <w:tblPr>
        <w:tblStyle w:val="TableGrid80"/>
        <w:tblW w:w="5000" w:type="pct"/>
        <w:tblLook w:val="04A0"/>
      </w:tblPr>
      <w:tblGrid>
        <w:gridCol w:w="459"/>
        <w:gridCol w:w="2155"/>
        <w:gridCol w:w="7354"/>
      </w:tblGrid>
      <w:tr w14:paraId="57CAF443" w14:textId="77777777" w:rsidTr="00663328">
        <w:tblPrEx>
          <w:tblW w:w="5000" w:type="pct"/>
          <w:tblLook w:val="04A0"/>
        </w:tblPrEx>
        <w:tc>
          <w:tcPr>
            <w:tcW w:w="230" w:type="pct"/>
          </w:tcPr>
          <w:p w:rsidR="00DC55D6" w:rsidP="00874859" w14:paraId="061B3230" w14:textId="77777777">
            <w:pPr>
              <w:pStyle w:val="Normal0"/>
            </w:pPr>
          </w:p>
        </w:tc>
        <w:tc>
          <w:tcPr>
            <w:tcW w:w="1081" w:type="pct"/>
          </w:tcPr>
          <w:p w:rsidR="00DC55D6" w:rsidRPr="0052463C" w:rsidP="00874859" w14:paraId="5C611CD9" w14:textId="77777777">
            <w:pPr>
              <w:pStyle w:val="Normal0"/>
            </w:pPr>
            <w:r w:rsidRPr="0052463C">
              <w:rPr>
                <w:rFonts w:hint="eastAsia"/>
              </w:rPr>
              <w:t>趋势</w:t>
            </w:r>
          </w:p>
        </w:tc>
        <w:tc>
          <w:tcPr>
            <w:tcW w:w="3689" w:type="pct"/>
          </w:tcPr>
          <w:p w:rsidR="00DC55D6" w:rsidRPr="0052463C" w:rsidP="00874859" w14:paraId="149CA0A1" w14:textId="77777777">
            <w:pPr>
              <w:pStyle w:val="Normal0"/>
            </w:pPr>
            <w:r w:rsidRPr="0052463C">
              <w:rPr>
                <w:rFonts w:hint="eastAsia"/>
              </w:rPr>
              <w:t>描述</w:t>
            </w:r>
          </w:p>
        </w:tc>
      </w:tr>
      <w:tr w14:paraId="321139D4" w14:textId="77777777" w:rsidTr="00663328">
        <w:tblPrEx>
          <w:tblW w:w="5000" w:type="pct"/>
          <w:tblLook w:val="04A0"/>
        </w:tblPrEx>
        <w:tc>
          <w:tcPr>
            <w:tcW w:w="230" w:type="pct"/>
          </w:tcPr>
          <w:p w:rsidR="00DC55D6" w:rsidP="00874859" w14:paraId="20099BE3" w14:textId="77777777">
            <w:pPr>
              <w:pStyle w:val="Normal0"/>
            </w:pPr>
            <w:r>
              <w:rPr>
                <w:rFonts w:hint="eastAsia"/>
              </w:rPr>
              <w:t>1</w:t>
            </w:r>
          </w:p>
        </w:tc>
        <w:tc>
          <w:tcPr>
            <w:tcW w:w="1081" w:type="pct"/>
          </w:tcPr>
          <w:p w:rsidR="00DC55D6" w:rsidP="00874859" w14:paraId="2BAE1C5F" w14:textId="77777777">
            <w:pPr>
              <w:pStyle w:val="Normal0"/>
            </w:pPr>
          </w:p>
        </w:tc>
        <w:tc>
          <w:tcPr>
            <w:tcW w:w="3689" w:type="pct"/>
          </w:tcPr>
          <w:p w:rsidR="00DC55D6" w:rsidP="00874859" w14:paraId="5183383C" w14:textId="77777777">
            <w:pPr>
              <w:pStyle w:val="Normal0"/>
            </w:pPr>
          </w:p>
        </w:tc>
      </w:tr>
      <w:tr w14:paraId="7DD931F4" w14:textId="77777777" w:rsidTr="00663328">
        <w:tblPrEx>
          <w:tblW w:w="5000" w:type="pct"/>
          <w:tblLook w:val="04A0"/>
        </w:tblPrEx>
        <w:tc>
          <w:tcPr>
            <w:tcW w:w="230" w:type="pct"/>
          </w:tcPr>
          <w:p w:rsidR="00DC55D6" w:rsidP="00874859" w14:paraId="59E4404C" w14:textId="77777777">
            <w:pPr>
              <w:pStyle w:val="Normal0"/>
            </w:pPr>
            <w:r>
              <w:rPr>
                <w:rFonts w:hint="eastAsia"/>
              </w:rPr>
              <w:t>2</w:t>
            </w:r>
          </w:p>
        </w:tc>
        <w:tc>
          <w:tcPr>
            <w:tcW w:w="1081" w:type="pct"/>
          </w:tcPr>
          <w:p w:rsidR="00DC55D6" w:rsidP="00874859" w14:paraId="24838BFD" w14:textId="77777777">
            <w:pPr>
              <w:pStyle w:val="Normal0"/>
            </w:pPr>
          </w:p>
        </w:tc>
        <w:tc>
          <w:tcPr>
            <w:tcW w:w="3689" w:type="pct"/>
          </w:tcPr>
          <w:p w:rsidR="00DC55D6" w:rsidP="00874859" w14:paraId="659E1D5C" w14:textId="77777777">
            <w:pPr>
              <w:pStyle w:val="Normal0"/>
            </w:pPr>
          </w:p>
        </w:tc>
      </w:tr>
      <w:tr w14:paraId="059D2A3A" w14:textId="77777777" w:rsidTr="00663328">
        <w:tblPrEx>
          <w:tblW w:w="5000" w:type="pct"/>
          <w:tblLook w:val="04A0"/>
        </w:tblPrEx>
        <w:tc>
          <w:tcPr>
            <w:tcW w:w="230" w:type="pct"/>
          </w:tcPr>
          <w:p w:rsidR="00DC55D6" w:rsidP="00874859" w14:paraId="105E4E30" w14:textId="77777777">
            <w:pPr>
              <w:pStyle w:val="Normal0"/>
            </w:pPr>
            <w:r>
              <w:rPr>
                <w:rFonts w:hint="eastAsia"/>
              </w:rPr>
              <w:t>3</w:t>
            </w:r>
          </w:p>
        </w:tc>
        <w:tc>
          <w:tcPr>
            <w:tcW w:w="1081" w:type="pct"/>
          </w:tcPr>
          <w:p w:rsidR="00DC55D6" w:rsidP="00874859" w14:paraId="0CEA3453" w14:textId="77777777">
            <w:pPr>
              <w:pStyle w:val="Normal0"/>
            </w:pPr>
          </w:p>
        </w:tc>
        <w:tc>
          <w:tcPr>
            <w:tcW w:w="3689" w:type="pct"/>
          </w:tcPr>
          <w:p w:rsidR="00DC55D6" w:rsidP="00874859" w14:paraId="0FE60010" w14:textId="77777777">
            <w:pPr>
              <w:pStyle w:val="Normal0"/>
            </w:pPr>
          </w:p>
        </w:tc>
      </w:tr>
      <w:tr w14:paraId="0303BB61" w14:textId="77777777" w:rsidTr="00663328">
        <w:tblPrEx>
          <w:tblW w:w="5000" w:type="pct"/>
          <w:tblLook w:val="04A0"/>
        </w:tblPrEx>
        <w:tc>
          <w:tcPr>
            <w:tcW w:w="230" w:type="pct"/>
          </w:tcPr>
          <w:p w:rsidR="00DC55D6" w:rsidP="00874859" w14:paraId="7969A053" w14:textId="77777777">
            <w:pPr>
              <w:pStyle w:val="Normal0"/>
            </w:pPr>
            <w:r>
              <w:rPr>
                <w:rFonts w:hint="eastAsia"/>
              </w:rPr>
              <w:t>4</w:t>
            </w:r>
          </w:p>
        </w:tc>
        <w:tc>
          <w:tcPr>
            <w:tcW w:w="1081" w:type="pct"/>
          </w:tcPr>
          <w:p w:rsidR="00DC55D6" w:rsidP="00874859" w14:paraId="64388543" w14:textId="77777777">
            <w:pPr>
              <w:pStyle w:val="Normal0"/>
            </w:pPr>
          </w:p>
        </w:tc>
        <w:tc>
          <w:tcPr>
            <w:tcW w:w="3689" w:type="pct"/>
          </w:tcPr>
          <w:p w:rsidR="00DC55D6" w:rsidP="00874859" w14:paraId="675D57F2" w14:textId="77777777">
            <w:pPr>
              <w:pStyle w:val="Normal0"/>
            </w:pPr>
          </w:p>
        </w:tc>
      </w:tr>
    </w:tbl>
    <w:p w:rsidR="00DC55D6" w:rsidP="00DC55D6" w14:paraId="41383142" w14:textId="77777777">
      <w:pPr>
        <w:pStyle w:val="Source00"/>
      </w:pPr>
      <w:r>
        <w:rPr>
          <w:rFonts w:hint="eastAsia"/>
        </w:rPr>
        <w:t>资料来源：第三方资料、新闻报道、业内专家采访及</w:t>
      </w:r>
      <w:r>
        <w:rPr>
          <w:rFonts w:hint="eastAsia"/>
        </w:rPr>
        <w:t>QYResearch</w:t>
      </w:r>
      <w:r>
        <w:rPr>
          <w:rFonts w:hint="eastAsia"/>
        </w:rPr>
        <w:t>整理研究，</w:t>
      </w:r>
      <w:r>
        <w:rPr>
          <w:rFonts w:hint="eastAsia"/>
        </w:rPr>
        <w:t>2024</w:t>
      </w:r>
      <w:r>
        <w:rPr>
          <w:rFonts w:hint="eastAsia"/>
        </w:rPr>
        <w:t>年</w:t>
      </w:r>
    </w:p>
    <w:p w:rsidR="00DC55D6" w:rsidP="00DC55D6" w14:paraId="23C69396" w14:textId="77777777">
      <w:pPr>
        <w:pStyle w:val="Heading20"/>
      </w:pPr>
      <w:bookmarkStart w:id="269" w:name="_Toc121584166"/>
      <w:bookmarkStart w:id="270" w:name="_Toc166762098"/>
      <w:r w:rsidRPr="00B728C9">
        <w:t>电子式热分配表(HCA)</w:t>
      </w:r>
      <w:r w:rsidRPr="00955327">
        <w:rPr>
          <w:rFonts w:hint="eastAsia"/>
        </w:rPr>
        <w:t>行业发展</w:t>
      </w:r>
      <w:r>
        <w:rPr>
          <w:rFonts w:hint="eastAsia"/>
        </w:rPr>
        <w:t>分析</w:t>
      </w:r>
      <w:r>
        <w:rPr>
          <w:rFonts w:hint="eastAsia"/>
        </w:rPr>
        <w:t>-</w:t>
      </w:r>
      <w:r>
        <w:t>--</w:t>
      </w:r>
      <w:r>
        <w:rPr>
          <w:rFonts w:hint="eastAsia"/>
        </w:rPr>
        <w:t>厂商壁垒</w:t>
      </w:r>
      <w:bookmarkEnd w:id="269"/>
      <w:bookmarkEnd w:id="270"/>
    </w:p>
    <w:p w:rsidR="00DC55D6" w:rsidRPr="006C3BE6" w:rsidP="006C3BE6" w14:paraId="1418AD79" w14:textId="77777777">
      <w:pPr>
        <w:pStyle w:val="TableStyle0"/>
        <w:ind w:left="252" w:right="-105"/>
      </w:pPr>
      <w:bookmarkStart w:id="271" w:name="_Toc121583854"/>
      <w:bookmarkStart w:id="272" w:name="_Toc166761971"/>
      <w:r w:rsidRPr="006C3BE6">
        <w:t>电子式热分配表(HCA)</w:t>
      </w:r>
      <w:r w:rsidRPr="006C3BE6">
        <w:rPr>
          <w:rFonts w:hint="eastAsia"/>
        </w:rPr>
        <w:t>行业发展分析</w:t>
      </w:r>
      <w:r w:rsidRPr="006C3BE6">
        <w:rPr>
          <w:rFonts w:hint="eastAsia"/>
        </w:rPr>
        <w:t>-</w:t>
      </w:r>
      <w:r w:rsidRPr="006C3BE6">
        <w:t>--</w:t>
      </w:r>
      <w:r w:rsidRPr="006C3BE6">
        <w:rPr>
          <w:rFonts w:hint="eastAsia"/>
        </w:rPr>
        <w:t>厂商壁垒</w:t>
      </w:r>
      <w:bookmarkEnd w:id="271"/>
      <w:bookmarkEnd w:id="272"/>
    </w:p>
    <w:tbl>
      <w:tblPr>
        <w:tblStyle w:val="TableGrid80"/>
        <w:tblW w:w="5000" w:type="pct"/>
        <w:tblLook w:val="04A0"/>
      </w:tblPr>
      <w:tblGrid>
        <w:gridCol w:w="459"/>
        <w:gridCol w:w="2155"/>
        <w:gridCol w:w="7354"/>
      </w:tblGrid>
      <w:tr w14:paraId="3EC8CED4" w14:textId="77777777" w:rsidTr="00663328">
        <w:tblPrEx>
          <w:tblW w:w="5000" w:type="pct"/>
          <w:tblLook w:val="04A0"/>
        </w:tblPrEx>
        <w:tc>
          <w:tcPr>
            <w:tcW w:w="230" w:type="pct"/>
          </w:tcPr>
          <w:p w:rsidR="00DC55D6" w:rsidP="00874859" w14:paraId="11C3B57B" w14:textId="77777777">
            <w:pPr>
              <w:pStyle w:val="Normal0"/>
            </w:pPr>
          </w:p>
        </w:tc>
        <w:tc>
          <w:tcPr>
            <w:tcW w:w="1081" w:type="pct"/>
          </w:tcPr>
          <w:p w:rsidR="00DC55D6" w:rsidRPr="0052463C" w:rsidP="00874859" w14:paraId="1C15DDD8" w14:textId="77777777">
            <w:pPr>
              <w:pStyle w:val="Normal0"/>
            </w:pPr>
            <w:r>
              <w:rPr>
                <w:rFonts w:hint="eastAsia"/>
              </w:rPr>
              <w:t>壁垒</w:t>
            </w:r>
          </w:p>
        </w:tc>
        <w:tc>
          <w:tcPr>
            <w:tcW w:w="3689" w:type="pct"/>
          </w:tcPr>
          <w:p w:rsidR="00DC55D6" w:rsidRPr="0052463C" w:rsidP="00874859" w14:paraId="0DEC56C0" w14:textId="77777777">
            <w:pPr>
              <w:pStyle w:val="Normal0"/>
            </w:pPr>
            <w:r w:rsidRPr="0052463C">
              <w:rPr>
                <w:rFonts w:hint="eastAsia"/>
              </w:rPr>
              <w:t>描述</w:t>
            </w:r>
          </w:p>
        </w:tc>
      </w:tr>
      <w:tr w14:paraId="40133C49" w14:textId="77777777" w:rsidTr="00663328">
        <w:tblPrEx>
          <w:tblW w:w="5000" w:type="pct"/>
          <w:tblLook w:val="04A0"/>
        </w:tblPrEx>
        <w:tc>
          <w:tcPr>
            <w:tcW w:w="230" w:type="pct"/>
          </w:tcPr>
          <w:p w:rsidR="00DC55D6" w:rsidP="00874859" w14:paraId="38B37501" w14:textId="77777777">
            <w:pPr>
              <w:pStyle w:val="Normal0"/>
            </w:pPr>
            <w:r>
              <w:rPr>
                <w:rFonts w:hint="eastAsia"/>
              </w:rPr>
              <w:t>1</w:t>
            </w:r>
          </w:p>
        </w:tc>
        <w:tc>
          <w:tcPr>
            <w:tcW w:w="1081" w:type="pct"/>
          </w:tcPr>
          <w:p w:rsidR="00DC55D6" w:rsidP="00874859" w14:paraId="579C86F8" w14:textId="77777777">
            <w:pPr>
              <w:pStyle w:val="Normal0"/>
            </w:pPr>
          </w:p>
        </w:tc>
        <w:tc>
          <w:tcPr>
            <w:tcW w:w="3689" w:type="pct"/>
          </w:tcPr>
          <w:p w:rsidR="00DC55D6" w:rsidP="00874859" w14:paraId="2AF2CF9B" w14:textId="77777777">
            <w:pPr>
              <w:pStyle w:val="Normal0"/>
            </w:pPr>
          </w:p>
        </w:tc>
      </w:tr>
      <w:tr w14:paraId="7857B237" w14:textId="77777777" w:rsidTr="00663328">
        <w:tblPrEx>
          <w:tblW w:w="5000" w:type="pct"/>
          <w:tblLook w:val="04A0"/>
        </w:tblPrEx>
        <w:tc>
          <w:tcPr>
            <w:tcW w:w="230" w:type="pct"/>
          </w:tcPr>
          <w:p w:rsidR="00DC55D6" w:rsidP="00874859" w14:paraId="3CFC813B" w14:textId="77777777">
            <w:pPr>
              <w:pStyle w:val="Normal0"/>
            </w:pPr>
            <w:r>
              <w:rPr>
                <w:rFonts w:hint="eastAsia"/>
              </w:rPr>
              <w:t>2</w:t>
            </w:r>
          </w:p>
        </w:tc>
        <w:tc>
          <w:tcPr>
            <w:tcW w:w="1081" w:type="pct"/>
          </w:tcPr>
          <w:p w:rsidR="00DC55D6" w:rsidP="00874859" w14:paraId="3DF67D90" w14:textId="77777777">
            <w:pPr>
              <w:pStyle w:val="Normal0"/>
            </w:pPr>
          </w:p>
        </w:tc>
        <w:tc>
          <w:tcPr>
            <w:tcW w:w="3689" w:type="pct"/>
          </w:tcPr>
          <w:p w:rsidR="00DC55D6" w:rsidP="00874859" w14:paraId="343BE1F1" w14:textId="77777777">
            <w:pPr>
              <w:pStyle w:val="Normal0"/>
            </w:pPr>
          </w:p>
        </w:tc>
      </w:tr>
      <w:tr w14:paraId="7610D486" w14:textId="77777777" w:rsidTr="00663328">
        <w:tblPrEx>
          <w:tblW w:w="5000" w:type="pct"/>
          <w:tblLook w:val="04A0"/>
        </w:tblPrEx>
        <w:tc>
          <w:tcPr>
            <w:tcW w:w="230" w:type="pct"/>
          </w:tcPr>
          <w:p w:rsidR="00DC55D6" w:rsidP="00874859" w14:paraId="575CD5C0" w14:textId="77777777">
            <w:pPr>
              <w:pStyle w:val="Normal0"/>
            </w:pPr>
            <w:r>
              <w:rPr>
                <w:rFonts w:hint="eastAsia"/>
              </w:rPr>
              <w:t>3</w:t>
            </w:r>
          </w:p>
        </w:tc>
        <w:tc>
          <w:tcPr>
            <w:tcW w:w="1081" w:type="pct"/>
          </w:tcPr>
          <w:p w:rsidR="00DC55D6" w:rsidP="00874859" w14:paraId="1F8104A3" w14:textId="77777777">
            <w:pPr>
              <w:pStyle w:val="Normal0"/>
            </w:pPr>
          </w:p>
        </w:tc>
        <w:tc>
          <w:tcPr>
            <w:tcW w:w="3689" w:type="pct"/>
          </w:tcPr>
          <w:p w:rsidR="00DC55D6" w:rsidP="00874859" w14:paraId="339BAB8B" w14:textId="77777777">
            <w:pPr>
              <w:pStyle w:val="Normal0"/>
            </w:pPr>
          </w:p>
        </w:tc>
      </w:tr>
      <w:tr w14:paraId="054A02FD" w14:textId="77777777" w:rsidTr="00663328">
        <w:tblPrEx>
          <w:tblW w:w="5000" w:type="pct"/>
          <w:tblLook w:val="04A0"/>
        </w:tblPrEx>
        <w:tc>
          <w:tcPr>
            <w:tcW w:w="230" w:type="pct"/>
          </w:tcPr>
          <w:p w:rsidR="00DC55D6" w:rsidP="00874859" w14:paraId="7EB6217F" w14:textId="77777777">
            <w:pPr>
              <w:pStyle w:val="Normal0"/>
            </w:pPr>
            <w:r>
              <w:rPr>
                <w:rFonts w:hint="eastAsia"/>
              </w:rPr>
              <w:t>4</w:t>
            </w:r>
          </w:p>
        </w:tc>
        <w:tc>
          <w:tcPr>
            <w:tcW w:w="1081" w:type="pct"/>
          </w:tcPr>
          <w:p w:rsidR="00DC55D6" w:rsidP="00874859" w14:paraId="2C2FF90D" w14:textId="77777777">
            <w:pPr>
              <w:pStyle w:val="Normal0"/>
            </w:pPr>
          </w:p>
        </w:tc>
        <w:tc>
          <w:tcPr>
            <w:tcW w:w="3689" w:type="pct"/>
          </w:tcPr>
          <w:p w:rsidR="00DC55D6" w:rsidP="00874859" w14:paraId="47724190" w14:textId="77777777">
            <w:pPr>
              <w:pStyle w:val="Normal0"/>
            </w:pPr>
          </w:p>
        </w:tc>
      </w:tr>
    </w:tbl>
    <w:p w:rsidR="00DC55D6" w:rsidP="00DC55D6" w14:paraId="036156F1" w14:textId="77777777">
      <w:pPr>
        <w:pStyle w:val="Source00"/>
      </w:pPr>
      <w:r>
        <w:rPr>
          <w:rFonts w:hint="eastAsia"/>
        </w:rPr>
        <w:t>资料来源：第三方资料、新闻报道、业内专家采访及</w:t>
      </w:r>
      <w:r>
        <w:rPr>
          <w:rFonts w:hint="eastAsia"/>
        </w:rPr>
        <w:t>QYResearch</w:t>
      </w:r>
      <w:r>
        <w:rPr>
          <w:rFonts w:hint="eastAsia"/>
        </w:rPr>
        <w:t>整理研究，</w:t>
      </w:r>
      <w:r>
        <w:rPr>
          <w:rFonts w:hint="eastAsia"/>
        </w:rPr>
        <w:t>2024</w:t>
      </w:r>
      <w:r>
        <w:rPr>
          <w:rFonts w:hint="eastAsia"/>
        </w:rPr>
        <w:t>年</w:t>
      </w:r>
    </w:p>
    <w:p w:rsidR="00DC55D6" w:rsidP="00DC55D6" w14:paraId="4851036A" w14:textId="77777777">
      <w:pPr>
        <w:pStyle w:val="Heading20"/>
      </w:pPr>
      <w:bookmarkStart w:id="273" w:name="_Toc121584167"/>
      <w:bookmarkStart w:id="274" w:name="_Toc166762099"/>
      <w:bookmarkStart w:id="275" w:name="_Toc87984338"/>
      <w:r w:rsidRPr="00B728C9">
        <w:t>电子式热分配表(HCA)</w:t>
      </w:r>
      <w:r w:rsidRPr="00955327">
        <w:rPr>
          <w:rFonts w:hint="eastAsia"/>
        </w:rPr>
        <w:t>行业发展</w:t>
      </w:r>
      <w:r>
        <w:rPr>
          <w:rFonts w:hint="eastAsia"/>
        </w:rPr>
        <w:t>分析</w:t>
      </w:r>
      <w:r>
        <w:rPr>
          <w:rFonts w:hint="eastAsia"/>
        </w:rPr>
        <w:t>-</w:t>
      </w:r>
      <w:r>
        <w:t>--</w:t>
      </w:r>
      <w:r>
        <w:rPr>
          <w:rFonts w:hint="eastAsia"/>
        </w:rPr>
        <w:t>驱动因素</w:t>
      </w:r>
      <w:bookmarkEnd w:id="273"/>
      <w:bookmarkEnd w:id="274"/>
    </w:p>
    <w:p w:rsidR="00DC55D6" w:rsidRPr="006C3BE6" w:rsidP="006C3BE6" w14:paraId="66FCC542" w14:textId="77777777">
      <w:pPr>
        <w:pStyle w:val="TableStyle0"/>
        <w:ind w:left="252" w:right="-105"/>
      </w:pPr>
      <w:bookmarkStart w:id="276" w:name="_Toc121583855"/>
      <w:bookmarkStart w:id="277" w:name="_Toc166761972"/>
      <w:bookmarkEnd w:id="275"/>
      <w:r w:rsidRPr="006C3BE6">
        <w:t>电子式热分配表(HCA)</w:t>
      </w:r>
      <w:r w:rsidRPr="006C3BE6">
        <w:rPr>
          <w:rFonts w:hint="eastAsia"/>
        </w:rPr>
        <w:t>行业发展分析</w:t>
      </w:r>
      <w:r w:rsidRPr="006C3BE6">
        <w:rPr>
          <w:rFonts w:hint="eastAsia"/>
        </w:rPr>
        <w:t>-</w:t>
      </w:r>
      <w:r w:rsidRPr="006C3BE6">
        <w:t>--</w:t>
      </w:r>
      <w:r w:rsidRPr="006C3BE6">
        <w:rPr>
          <w:rFonts w:hint="eastAsia"/>
        </w:rPr>
        <w:t>驱动因素</w:t>
      </w:r>
      <w:bookmarkEnd w:id="276"/>
      <w:bookmarkEnd w:id="277"/>
    </w:p>
    <w:tbl>
      <w:tblPr>
        <w:tblStyle w:val="TableGrid80"/>
        <w:tblW w:w="5000" w:type="pct"/>
        <w:tblLook w:val="04A0"/>
      </w:tblPr>
      <w:tblGrid>
        <w:gridCol w:w="459"/>
        <w:gridCol w:w="2151"/>
        <w:gridCol w:w="7358"/>
      </w:tblGrid>
      <w:tr w14:paraId="7F477FFC" w14:textId="77777777" w:rsidTr="00663328">
        <w:tblPrEx>
          <w:tblW w:w="5000" w:type="pct"/>
          <w:tblLook w:val="04A0"/>
        </w:tblPrEx>
        <w:tc>
          <w:tcPr>
            <w:tcW w:w="230" w:type="pct"/>
          </w:tcPr>
          <w:p w:rsidR="00DC55D6" w:rsidP="00874859" w14:paraId="0A286752" w14:textId="77777777">
            <w:pPr>
              <w:pStyle w:val="Normal0"/>
            </w:pPr>
          </w:p>
        </w:tc>
        <w:tc>
          <w:tcPr>
            <w:tcW w:w="1079" w:type="pct"/>
          </w:tcPr>
          <w:p w:rsidR="00DC55D6" w:rsidRPr="0052463C" w:rsidP="00874859" w14:paraId="4B106F4F" w14:textId="77777777">
            <w:pPr>
              <w:pStyle w:val="Normal0"/>
            </w:pPr>
            <w:r>
              <w:rPr>
                <w:rFonts w:hint="eastAsia"/>
              </w:rPr>
              <w:t>驱动因素</w:t>
            </w:r>
          </w:p>
        </w:tc>
        <w:tc>
          <w:tcPr>
            <w:tcW w:w="3692" w:type="pct"/>
          </w:tcPr>
          <w:p w:rsidR="00DC55D6" w:rsidRPr="0052463C" w:rsidP="00874859" w14:paraId="508AFE38" w14:textId="77777777">
            <w:pPr>
              <w:pStyle w:val="Normal0"/>
            </w:pPr>
            <w:r w:rsidRPr="0052463C">
              <w:rPr>
                <w:rFonts w:hint="eastAsia"/>
              </w:rPr>
              <w:t>描述</w:t>
            </w:r>
          </w:p>
        </w:tc>
      </w:tr>
      <w:tr w14:paraId="3EA6B922" w14:textId="77777777" w:rsidTr="00663328">
        <w:tblPrEx>
          <w:tblW w:w="5000" w:type="pct"/>
          <w:tblLook w:val="04A0"/>
        </w:tblPrEx>
        <w:tc>
          <w:tcPr>
            <w:tcW w:w="230" w:type="pct"/>
          </w:tcPr>
          <w:p w:rsidR="00DC55D6" w:rsidP="00874859" w14:paraId="7505D7FC" w14:textId="77777777">
            <w:pPr>
              <w:pStyle w:val="Normal0"/>
            </w:pPr>
            <w:r>
              <w:rPr>
                <w:rFonts w:hint="eastAsia"/>
              </w:rPr>
              <w:t>1</w:t>
            </w:r>
          </w:p>
        </w:tc>
        <w:tc>
          <w:tcPr>
            <w:tcW w:w="1079" w:type="pct"/>
          </w:tcPr>
          <w:p w:rsidR="00DC55D6" w:rsidP="00874859" w14:paraId="7C3BDF0C" w14:textId="77777777">
            <w:pPr>
              <w:pStyle w:val="Normal0"/>
            </w:pPr>
          </w:p>
        </w:tc>
        <w:tc>
          <w:tcPr>
            <w:tcW w:w="3692" w:type="pct"/>
          </w:tcPr>
          <w:p w:rsidR="00DC55D6" w:rsidP="00874859" w14:paraId="1FE8BCFB" w14:textId="77777777">
            <w:pPr>
              <w:pStyle w:val="Normal0"/>
            </w:pPr>
          </w:p>
        </w:tc>
      </w:tr>
      <w:tr w14:paraId="67C1E3E3" w14:textId="77777777" w:rsidTr="00663328">
        <w:tblPrEx>
          <w:tblW w:w="5000" w:type="pct"/>
          <w:tblLook w:val="04A0"/>
        </w:tblPrEx>
        <w:tc>
          <w:tcPr>
            <w:tcW w:w="230" w:type="pct"/>
          </w:tcPr>
          <w:p w:rsidR="00DC55D6" w:rsidP="00874859" w14:paraId="1D191FED" w14:textId="77777777">
            <w:pPr>
              <w:pStyle w:val="Normal0"/>
            </w:pPr>
            <w:r>
              <w:rPr>
                <w:rFonts w:hint="eastAsia"/>
              </w:rPr>
              <w:t>2</w:t>
            </w:r>
          </w:p>
        </w:tc>
        <w:tc>
          <w:tcPr>
            <w:tcW w:w="1079" w:type="pct"/>
          </w:tcPr>
          <w:p w:rsidR="00DC55D6" w:rsidP="00874859" w14:paraId="67EA8104" w14:textId="77777777">
            <w:pPr>
              <w:pStyle w:val="Normal0"/>
            </w:pPr>
          </w:p>
        </w:tc>
        <w:tc>
          <w:tcPr>
            <w:tcW w:w="3692" w:type="pct"/>
          </w:tcPr>
          <w:p w:rsidR="00DC55D6" w:rsidP="00874859" w14:paraId="2A645FF4" w14:textId="77777777">
            <w:pPr>
              <w:pStyle w:val="Normal0"/>
            </w:pPr>
          </w:p>
        </w:tc>
      </w:tr>
      <w:tr w14:paraId="00A7FDE3" w14:textId="77777777" w:rsidTr="00663328">
        <w:tblPrEx>
          <w:tblW w:w="5000" w:type="pct"/>
          <w:tblLook w:val="04A0"/>
        </w:tblPrEx>
        <w:tc>
          <w:tcPr>
            <w:tcW w:w="230" w:type="pct"/>
          </w:tcPr>
          <w:p w:rsidR="00DC55D6" w:rsidP="00874859" w14:paraId="145069EA" w14:textId="77777777">
            <w:pPr>
              <w:pStyle w:val="Normal0"/>
            </w:pPr>
            <w:r>
              <w:rPr>
                <w:rFonts w:hint="eastAsia"/>
              </w:rPr>
              <w:t>3</w:t>
            </w:r>
          </w:p>
        </w:tc>
        <w:tc>
          <w:tcPr>
            <w:tcW w:w="1079" w:type="pct"/>
          </w:tcPr>
          <w:p w:rsidR="00DC55D6" w:rsidP="00874859" w14:paraId="6BFBDF71" w14:textId="77777777">
            <w:pPr>
              <w:pStyle w:val="Normal0"/>
            </w:pPr>
          </w:p>
        </w:tc>
        <w:tc>
          <w:tcPr>
            <w:tcW w:w="3692" w:type="pct"/>
          </w:tcPr>
          <w:p w:rsidR="00DC55D6" w:rsidP="00874859" w14:paraId="38B7DD0D" w14:textId="77777777">
            <w:pPr>
              <w:pStyle w:val="Normal0"/>
            </w:pPr>
          </w:p>
        </w:tc>
      </w:tr>
      <w:tr w14:paraId="1768CCE0" w14:textId="77777777" w:rsidTr="00663328">
        <w:tblPrEx>
          <w:tblW w:w="5000" w:type="pct"/>
          <w:tblLook w:val="04A0"/>
        </w:tblPrEx>
        <w:tc>
          <w:tcPr>
            <w:tcW w:w="230" w:type="pct"/>
          </w:tcPr>
          <w:p w:rsidR="00DC55D6" w:rsidP="00874859" w14:paraId="47C3AFDA" w14:textId="77777777">
            <w:pPr>
              <w:pStyle w:val="Normal0"/>
            </w:pPr>
            <w:r>
              <w:rPr>
                <w:rFonts w:hint="eastAsia"/>
              </w:rPr>
              <w:t>4</w:t>
            </w:r>
          </w:p>
        </w:tc>
        <w:tc>
          <w:tcPr>
            <w:tcW w:w="1079" w:type="pct"/>
          </w:tcPr>
          <w:p w:rsidR="00DC55D6" w:rsidP="00874859" w14:paraId="393E157D" w14:textId="77777777">
            <w:pPr>
              <w:pStyle w:val="Normal0"/>
            </w:pPr>
          </w:p>
        </w:tc>
        <w:tc>
          <w:tcPr>
            <w:tcW w:w="3692" w:type="pct"/>
          </w:tcPr>
          <w:p w:rsidR="00DC55D6" w:rsidP="00874859" w14:paraId="1DCB32CE" w14:textId="77777777">
            <w:pPr>
              <w:pStyle w:val="Normal0"/>
            </w:pPr>
          </w:p>
        </w:tc>
      </w:tr>
    </w:tbl>
    <w:p w:rsidR="00DC55D6" w:rsidP="00DC55D6" w14:paraId="2A885E28" w14:textId="77777777">
      <w:pPr>
        <w:pStyle w:val="Source00"/>
      </w:pPr>
      <w:r>
        <w:rPr>
          <w:rFonts w:hint="eastAsia"/>
        </w:rPr>
        <w:t>资料来源：第三方资料、新闻报道、业内专家采访及</w:t>
      </w:r>
      <w:r>
        <w:rPr>
          <w:rFonts w:hint="eastAsia"/>
        </w:rPr>
        <w:t>QYResearch</w:t>
      </w:r>
      <w:r>
        <w:rPr>
          <w:rFonts w:hint="eastAsia"/>
        </w:rPr>
        <w:t>整理研究，</w:t>
      </w:r>
      <w:r>
        <w:rPr>
          <w:rFonts w:hint="eastAsia"/>
        </w:rPr>
        <w:t>2024</w:t>
      </w:r>
      <w:r>
        <w:rPr>
          <w:rFonts w:hint="eastAsia"/>
        </w:rPr>
        <w:t>年</w:t>
      </w:r>
    </w:p>
    <w:p w:rsidR="00DC55D6" w:rsidP="00DC55D6" w14:paraId="4C90E186" w14:textId="77777777">
      <w:pPr>
        <w:pStyle w:val="Heading20"/>
      </w:pPr>
      <w:bookmarkStart w:id="278" w:name="_Toc121584168"/>
      <w:bookmarkStart w:id="279" w:name="_Toc166762100"/>
      <w:r w:rsidRPr="00B728C9">
        <w:t>电子式热分配表(HCA)</w:t>
      </w:r>
      <w:r w:rsidRPr="00955327">
        <w:rPr>
          <w:rFonts w:hint="eastAsia"/>
        </w:rPr>
        <w:t>行业发展</w:t>
      </w:r>
      <w:r>
        <w:rPr>
          <w:rFonts w:hint="eastAsia"/>
        </w:rPr>
        <w:t>分析</w:t>
      </w:r>
      <w:r>
        <w:rPr>
          <w:rFonts w:hint="eastAsia"/>
        </w:rPr>
        <w:t>-</w:t>
      </w:r>
      <w:r>
        <w:t>--</w:t>
      </w:r>
      <w:r>
        <w:rPr>
          <w:rFonts w:hint="eastAsia"/>
        </w:rPr>
        <w:t>制约因素</w:t>
      </w:r>
      <w:bookmarkEnd w:id="278"/>
      <w:bookmarkEnd w:id="279"/>
    </w:p>
    <w:p w:rsidR="00DC55D6" w:rsidRPr="006C3BE6" w:rsidP="006C3BE6" w14:paraId="6D28A5F9" w14:textId="77777777">
      <w:pPr>
        <w:pStyle w:val="TableStyle0"/>
        <w:ind w:left="252" w:right="-105"/>
      </w:pPr>
      <w:bookmarkStart w:id="280" w:name="_Toc121583856"/>
      <w:bookmarkStart w:id="281" w:name="_Toc166761973"/>
      <w:r w:rsidRPr="006C3BE6">
        <w:t>电子式热分配表(HCA)</w:t>
      </w:r>
      <w:r w:rsidRPr="006C3BE6">
        <w:rPr>
          <w:rFonts w:hint="eastAsia"/>
        </w:rPr>
        <w:t>行业发展分析</w:t>
      </w:r>
      <w:r w:rsidRPr="006C3BE6">
        <w:rPr>
          <w:rFonts w:hint="eastAsia"/>
        </w:rPr>
        <w:t>-</w:t>
      </w:r>
      <w:r w:rsidRPr="006C3BE6">
        <w:t>--</w:t>
      </w:r>
      <w:r w:rsidRPr="006C3BE6">
        <w:rPr>
          <w:rFonts w:hint="eastAsia"/>
        </w:rPr>
        <w:t>制约因素</w:t>
      </w:r>
      <w:bookmarkEnd w:id="280"/>
      <w:bookmarkEnd w:id="281"/>
    </w:p>
    <w:tbl>
      <w:tblPr>
        <w:tblStyle w:val="TableGrid80"/>
        <w:tblW w:w="5000" w:type="pct"/>
        <w:tblLook w:val="04A0"/>
      </w:tblPr>
      <w:tblGrid>
        <w:gridCol w:w="459"/>
        <w:gridCol w:w="2151"/>
        <w:gridCol w:w="7358"/>
      </w:tblGrid>
      <w:tr w14:paraId="5C2C97F9" w14:textId="77777777" w:rsidTr="00663328">
        <w:tblPrEx>
          <w:tblW w:w="5000" w:type="pct"/>
          <w:tblLook w:val="04A0"/>
        </w:tblPrEx>
        <w:tc>
          <w:tcPr>
            <w:tcW w:w="230" w:type="pct"/>
          </w:tcPr>
          <w:p w:rsidR="00DC55D6" w:rsidP="00874859" w14:paraId="4B74288F" w14:textId="77777777">
            <w:pPr>
              <w:pStyle w:val="Normal0"/>
            </w:pPr>
          </w:p>
        </w:tc>
        <w:tc>
          <w:tcPr>
            <w:tcW w:w="1079" w:type="pct"/>
          </w:tcPr>
          <w:p w:rsidR="00DC55D6" w:rsidRPr="0052463C" w:rsidP="00874859" w14:paraId="4244CD64" w14:textId="77777777">
            <w:pPr>
              <w:pStyle w:val="Normal0"/>
            </w:pPr>
            <w:r>
              <w:rPr>
                <w:rFonts w:hint="eastAsia"/>
              </w:rPr>
              <w:t>驱动因素</w:t>
            </w:r>
          </w:p>
        </w:tc>
        <w:tc>
          <w:tcPr>
            <w:tcW w:w="3692" w:type="pct"/>
          </w:tcPr>
          <w:p w:rsidR="00DC55D6" w:rsidRPr="0052463C" w:rsidP="00874859" w14:paraId="64884E31" w14:textId="77777777">
            <w:pPr>
              <w:pStyle w:val="Normal0"/>
            </w:pPr>
            <w:r w:rsidRPr="0052463C">
              <w:rPr>
                <w:rFonts w:hint="eastAsia"/>
              </w:rPr>
              <w:t>描述</w:t>
            </w:r>
          </w:p>
        </w:tc>
      </w:tr>
      <w:tr w14:paraId="16B96E08" w14:textId="77777777" w:rsidTr="00663328">
        <w:tblPrEx>
          <w:tblW w:w="5000" w:type="pct"/>
          <w:tblLook w:val="04A0"/>
        </w:tblPrEx>
        <w:tc>
          <w:tcPr>
            <w:tcW w:w="230" w:type="pct"/>
          </w:tcPr>
          <w:p w:rsidR="00DC55D6" w:rsidP="00874859" w14:paraId="35CF140F" w14:textId="77777777">
            <w:pPr>
              <w:pStyle w:val="Normal0"/>
            </w:pPr>
            <w:r>
              <w:rPr>
                <w:rFonts w:hint="eastAsia"/>
              </w:rPr>
              <w:t>1</w:t>
            </w:r>
          </w:p>
        </w:tc>
        <w:tc>
          <w:tcPr>
            <w:tcW w:w="1079" w:type="pct"/>
          </w:tcPr>
          <w:p w:rsidR="00DC55D6" w:rsidP="00874859" w14:paraId="64414CCD" w14:textId="77777777">
            <w:pPr>
              <w:pStyle w:val="Normal0"/>
            </w:pPr>
          </w:p>
        </w:tc>
        <w:tc>
          <w:tcPr>
            <w:tcW w:w="3692" w:type="pct"/>
          </w:tcPr>
          <w:p w:rsidR="00DC55D6" w:rsidP="00874859" w14:paraId="382C4E02" w14:textId="77777777">
            <w:pPr>
              <w:pStyle w:val="Normal0"/>
            </w:pPr>
          </w:p>
        </w:tc>
      </w:tr>
      <w:tr w14:paraId="3B9E227E" w14:textId="77777777" w:rsidTr="00663328">
        <w:tblPrEx>
          <w:tblW w:w="5000" w:type="pct"/>
          <w:tblLook w:val="04A0"/>
        </w:tblPrEx>
        <w:tc>
          <w:tcPr>
            <w:tcW w:w="230" w:type="pct"/>
          </w:tcPr>
          <w:p w:rsidR="00DC55D6" w:rsidP="00874859" w14:paraId="62BEF16F" w14:textId="77777777">
            <w:pPr>
              <w:pStyle w:val="Normal0"/>
            </w:pPr>
            <w:r>
              <w:rPr>
                <w:rFonts w:hint="eastAsia"/>
              </w:rPr>
              <w:t>2</w:t>
            </w:r>
          </w:p>
        </w:tc>
        <w:tc>
          <w:tcPr>
            <w:tcW w:w="1079" w:type="pct"/>
          </w:tcPr>
          <w:p w:rsidR="00DC55D6" w:rsidP="00874859" w14:paraId="524128EF" w14:textId="77777777">
            <w:pPr>
              <w:pStyle w:val="Normal0"/>
            </w:pPr>
          </w:p>
        </w:tc>
        <w:tc>
          <w:tcPr>
            <w:tcW w:w="3692" w:type="pct"/>
          </w:tcPr>
          <w:p w:rsidR="00DC55D6" w:rsidP="00874859" w14:paraId="28CC2B19" w14:textId="77777777">
            <w:pPr>
              <w:pStyle w:val="Normal0"/>
            </w:pPr>
          </w:p>
        </w:tc>
      </w:tr>
      <w:tr w14:paraId="20CF4ED7" w14:textId="77777777" w:rsidTr="00663328">
        <w:tblPrEx>
          <w:tblW w:w="5000" w:type="pct"/>
          <w:tblLook w:val="04A0"/>
        </w:tblPrEx>
        <w:tc>
          <w:tcPr>
            <w:tcW w:w="230" w:type="pct"/>
          </w:tcPr>
          <w:p w:rsidR="00DC55D6" w:rsidP="00874859" w14:paraId="3C9E0F65" w14:textId="77777777">
            <w:pPr>
              <w:pStyle w:val="Normal0"/>
            </w:pPr>
            <w:r>
              <w:rPr>
                <w:rFonts w:hint="eastAsia"/>
              </w:rPr>
              <w:t>3</w:t>
            </w:r>
          </w:p>
        </w:tc>
        <w:tc>
          <w:tcPr>
            <w:tcW w:w="1079" w:type="pct"/>
          </w:tcPr>
          <w:p w:rsidR="00DC55D6" w:rsidP="00874859" w14:paraId="16C16472" w14:textId="77777777">
            <w:pPr>
              <w:pStyle w:val="Normal0"/>
            </w:pPr>
          </w:p>
        </w:tc>
        <w:tc>
          <w:tcPr>
            <w:tcW w:w="3692" w:type="pct"/>
          </w:tcPr>
          <w:p w:rsidR="00DC55D6" w:rsidP="00874859" w14:paraId="14371939" w14:textId="77777777">
            <w:pPr>
              <w:pStyle w:val="Normal0"/>
            </w:pPr>
          </w:p>
        </w:tc>
      </w:tr>
      <w:tr w14:paraId="38FE55AB" w14:textId="77777777" w:rsidTr="00663328">
        <w:tblPrEx>
          <w:tblW w:w="5000" w:type="pct"/>
          <w:tblLook w:val="04A0"/>
        </w:tblPrEx>
        <w:tc>
          <w:tcPr>
            <w:tcW w:w="230" w:type="pct"/>
          </w:tcPr>
          <w:p w:rsidR="00DC55D6" w:rsidP="00874859" w14:paraId="4C104B3F" w14:textId="77777777">
            <w:pPr>
              <w:pStyle w:val="Normal0"/>
            </w:pPr>
            <w:r>
              <w:rPr>
                <w:rFonts w:hint="eastAsia"/>
              </w:rPr>
              <w:t>4</w:t>
            </w:r>
          </w:p>
        </w:tc>
        <w:tc>
          <w:tcPr>
            <w:tcW w:w="1079" w:type="pct"/>
          </w:tcPr>
          <w:p w:rsidR="00DC55D6" w:rsidP="00874859" w14:paraId="2823921F" w14:textId="77777777">
            <w:pPr>
              <w:pStyle w:val="Normal0"/>
            </w:pPr>
          </w:p>
        </w:tc>
        <w:tc>
          <w:tcPr>
            <w:tcW w:w="3692" w:type="pct"/>
          </w:tcPr>
          <w:p w:rsidR="00DC55D6" w:rsidP="00874859" w14:paraId="77A967C1" w14:textId="77777777">
            <w:pPr>
              <w:pStyle w:val="Normal0"/>
            </w:pPr>
          </w:p>
        </w:tc>
      </w:tr>
    </w:tbl>
    <w:p w:rsidR="00DC55D6" w:rsidP="00DC55D6">
      <w:pPr>
        <w:pStyle w:val="Source00"/>
      </w:pPr>
      <w:r>
        <w:rPr>
          <w:rFonts w:hint="eastAsia"/>
        </w:rPr>
        <w:t>资料来源：第三方资料、新闻报道、业内专家采访及</w:t>
      </w:r>
      <w:r>
        <w:rPr>
          <w:rFonts w:hint="eastAsia"/>
        </w:rPr>
        <w:t>QYResearch</w:t>
      </w:r>
      <w:r>
        <w:rPr>
          <w:rFonts w:hint="eastAsia"/>
        </w:rPr>
        <w:t>整理研究，</w:t>
      </w:r>
      <w:r>
        <w:rPr>
          <w:rFonts w:hint="eastAsia"/>
        </w:rPr>
        <w:t>2024</w:t>
      </w:r>
      <w:r>
        <w:rPr>
          <w:rFonts w:hint="eastAsia"/>
        </w:rPr>
        <w:t>年</w:t>
      </w:r>
    </w:p>
    <w:p w:rsidR="00DC55D6" w:rsidP="00DC55D6">
      <w:pPr>
        <w:pStyle w:val="Heading20"/>
      </w:pPr>
      <w:bookmarkStart w:id="282" w:name="_Toc43885422"/>
      <w:bookmarkStart w:id="283" w:name="_Toc87984668"/>
      <w:bookmarkStart w:id="284" w:name="_Toc121584170"/>
      <w:bookmarkStart w:id="285" w:name="_Toc166762101"/>
      <w:r w:rsidRPr="00814E54">
        <w:t>电子式热分配表(HCA)</w:t>
      </w:r>
      <w:r>
        <w:rPr>
          <w:rFonts w:hint="eastAsia"/>
        </w:rPr>
        <w:t>行业发展分析</w:t>
      </w:r>
      <w:r>
        <w:rPr>
          <w:rFonts w:hint="eastAsia"/>
        </w:rPr>
        <w:t>-</w:t>
      </w:r>
      <w:r>
        <w:t>--</w:t>
      </w:r>
      <w:r>
        <w:rPr>
          <w:rFonts w:hint="eastAsia"/>
        </w:rPr>
        <w:t>行业政策</w:t>
      </w:r>
      <w:bookmarkEnd w:id="282"/>
      <w:bookmarkEnd w:id="283"/>
      <w:bookmarkEnd w:id="284"/>
      <w:bookmarkEnd w:id="285"/>
    </w:p>
    <w:p w:rsidR="00DC55D6" w:rsidP="00DC55D6" w14:paraId="05DA7643" w14:textId="77777777">
      <w:pPr>
        <w:pStyle w:val="Heading10"/>
        <w:rPr>
          <w:lang w:eastAsia="zh-CN"/>
        </w:rPr>
      </w:pPr>
      <w:bookmarkStart w:id="286" w:name="_Toc24028588"/>
      <w:bookmarkStart w:id="287" w:name="_Toc24972778"/>
      <w:bookmarkStart w:id="288" w:name="_Toc121584189"/>
      <w:bookmarkStart w:id="289" w:name="_Toc166762102"/>
      <w:bookmarkEnd w:id="215"/>
      <w:bookmarkEnd w:id="216"/>
      <w:bookmarkEnd w:id="261"/>
      <w:bookmarkEnd w:id="262"/>
      <w:r w:rsidRPr="00F74FCA">
        <w:rPr>
          <w:rFonts w:hint="eastAsia"/>
          <w:lang w:eastAsia="zh-CN"/>
        </w:rPr>
        <w:t>研究成果及结论</w:t>
      </w:r>
      <w:bookmarkEnd w:id="286"/>
      <w:bookmarkEnd w:id="287"/>
      <w:bookmarkEnd w:id="288"/>
      <w:bookmarkEnd w:id="289"/>
    </w:p>
    <w:p w:rsidR="00DC55D6" w:rsidP="00DC55D6" w14:paraId="28F796A6" w14:textId="77777777">
      <w:pPr>
        <w:pStyle w:val="-00"/>
        <w:ind w:firstLine="420"/>
        <w:rPr>
          <w:lang w:eastAsia="zh-CN"/>
        </w:rPr>
      </w:pPr>
      <w:r>
        <w:rPr>
          <w:rFonts w:hint="eastAsia"/>
          <w:lang w:eastAsia="zh-CN"/>
        </w:rPr>
        <w:t>通过多年对本行业的调研，结合对行业厂商、业内专家的采访，以及本文分析师观点，得出如下总结：</w:t>
      </w:r>
    </w:p>
    <w:p w:rsidR="00DC55D6" w:rsidP="00DC55D6">
      <w:pPr>
        <w:pStyle w:val="-00"/>
        <w:ind w:firstLine="420"/>
        <w:rPr>
          <w:lang w:eastAsia="zh-CN"/>
        </w:rPr>
      </w:pPr>
      <w:r>
        <w:rPr>
          <w:rFonts w:hint="eastAsia"/>
        </w:rPr>
        <w:t>2023</w:t>
      </w:r>
      <w:r>
        <w:rPr>
          <w:rFonts w:hint="eastAsia"/>
        </w:rPr>
        <w:t>年，</w:t>
      </w:r>
      <w:r>
        <w:rPr>
          <w:rFonts w:hint="eastAsia"/>
          <w:lang w:eastAsia="zh-CN"/>
        </w:rPr>
        <w:t>中国</w:t>
      </w:r>
      <w:r>
        <w:rPr>
          <w:rFonts w:hint="eastAsia"/>
        </w:rPr>
        <w:t>电子式热分配表(HCA)</w:t>
      </w:r>
      <w:r>
        <w:rPr>
          <w:rFonts w:hint="eastAsia"/>
        </w:rPr>
        <w:t>市场规模达到了</w:t>
      </w:r>
      <w:r>
        <w:rPr>
          <w:rFonts w:hint="eastAsia"/>
          <w:lang w:eastAsia="zh-CN"/>
        </w:rPr>
        <w:t>XX</w:t>
      </w:r>
      <w:r>
        <w:rPr>
          <w:rFonts w:hint="eastAsia"/>
        </w:rPr>
        <w:t>亿元，预计</w:t>
      </w:r>
      <w:r>
        <w:rPr>
          <w:rFonts w:hint="eastAsia"/>
        </w:rPr>
        <w:t>2030</w:t>
      </w:r>
      <w:r>
        <w:rPr>
          <w:rFonts w:hint="eastAsia"/>
        </w:rPr>
        <w:t>年将达到</w:t>
      </w:r>
      <w:r>
        <w:rPr>
          <w:rFonts w:hint="eastAsia"/>
          <w:lang w:eastAsia="zh-CN"/>
        </w:rPr>
        <w:t>XX</w:t>
      </w:r>
      <w:r>
        <w:rPr>
          <w:rFonts w:hint="eastAsia"/>
        </w:rPr>
        <w:t>亿元，年复合增长率（</w:t>
      </w:r>
      <w:r>
        <w:rPr>
          <w:rFonts w:hint="eastAsia"/>
        </w:rPr>
        <w:t>CAGR</w:t>
      </w:r>
      <w:r>
        <w:rPr>
          <w:rFonts w:hint="eastAsia"/>
        </w:rPr>
        <w:t>）为</w:t>
      </w:r>
      <w:r>
        <w:rPr>
          <w:rFonts w:hint="eastAsia"/>
          <w:lang w:eastAsia="zh-CN"/>
        </w:rPr>
        <w:t>XX%</w:t>
      </w:r>
      <w:r>
        <w:rPr>
          <w:rFonts w:hint="eastAsia"/>
        </w:rPr>
        <w:t>。</w:t>
      </w:r>
    </w:p>
    <w:p w:rsidR="00DC55D6" w:rsidP="00DC55D6">
      <w:pPr>
        <w:pStyle w:val="-00"/>
        <w:ind w:firstLine="420"/>
      </w:pPr>
      <w:r>
        <w:rPr>
          <w:rFonts w:hint="eastAsia"/>
        </w:rPr>
        <w:t>从产品类型及技术方面来看，</w:t>
      </w:r>
      <w:r w:rsidRPr="004D43E0">
        <w:t>蒸发式热量分配器</w:t>
      </w:r>
    </w:p>
    <w:p w:rsidR="00DC55D6" w:rsidP="00DC55D6">
      <w:pPr>
        <w:pStyle w:val="-00"/>
        <w:ind w:firstLine="420"/>
      </w:pPr>
      <w:r>
        <w:rPr>
          <w:rFonts w:hint="eastAsia"/>
        </w:rPr>
        <w:t>从产品市场应用情况来看，</w:t>
      </w:r>
      <w:r w:rsidRPr="004D43E0">
        <w:t>工业领域</w:t>
      </w:r>
    </w:p>
    <w:p w:rsidR="00DC55D6" w:rsidRPr="00152239" w:rsidP="00DC55D6">
      <w:pPr>
        <w:pStyle w:val="-00"/>
        <w:ind w:firstLine="420"/>
      </w:pPr>
      <w:r>
        <w:rPr>
          <w:rFonts w:hint="eastAsia"/>
        </w:rPr>
        <w:t>目前中国主要厂商包括</w:t>
      </w:r>
      <w:r>
        <w:t>Zenner</w:t>
      </w:r>
      <w:r>
        <w:rPr>
          <w:rFonts w:hint="eastAsia"/>
        </w:rPr>
        <w:t>、</w:t>
      </w:r>
      <w:r>
        <w:t>Ista</w:t>
      </w:r>
      <w:r>
        <w:rPr>
          <w:rFonts w:hint="eastAsia"/>
        </w:rPr>
        <w:t>、</w:t>
      </w:r>
      <w:r>
        <w:t>Techem</w:t>
      </w:r>
      <w:r>
        <w:rPr>
          <w:rFonts w:hint="eastAsia"/>
        </w:rPr>
        <w:t>、</w:t>
      </w:r>
      <w:r>
        <w:t>Siemens</w:t>
      </w:r>
      <w:r>
        <w:rPr>
          <w:rFonts w:hint="eastAsia"/>
        </w:rPr>
        <w:t>和</w:t>
      </w:r>
      <w:r>
        <w:t>Engelmnn</w:t>
      </w:r>
      <w:r>
        <w:rPr>
          <w:rFonts w:hint="eastAsia"/>
        </w:rPr>
        <w:t>等，</w:t>
      </w:r>
      <w:r>
        <w:rPr>
          <w:rFonts w:hint="eastAsia"/>
        </w:rPr>
        <w:t>2023</w:t>
      </w:r>
      <w:r>
        <w:rPr>
          <w:rFonts w:hint="eastAsia"/>
        </w:rPr>
        <w:t>年主要厂商份额占比超过，</w:t>
      </w:r>
      <w:r>
        <w:rPr>
          <w:rFonts w:hint="eastAsia"/>
        </w:rPr>
        <w:t xml:space="preserve"> </w:t>
      </w:r>
      <w:r>
        <w:t xml:space="preserve">  </w:t>
      </w:r>
      <w:r>
        <w:rPr>
          <w:rFonts w:hint="eastAsia"/>
        </w:rPr>
        <w:t>预计未来几年行业竞争将更加激烈。</w:t>
      </w:r>
    </w:p>
    <w:p w:rsidR="00DC55D6" w:rsidRPr="00A75356" w:rsidP="00A75356" w14:paraId="76C3FF79" w14:textId="77777777">
      <w:pPr>
        <w:pStyle w:val="Normal0"/>
        <w:jc w:val="center"/>
        <w:rPr>
          <w:color w:val="FFFFFF" w:themeColor="background1"/>
        </w:rPr>
      </w:pPr>
      <w:r w:rsidRPr="00A75356">
        <w:rPr>
          <w:rFonts w:hint="eastAsia"/>
          <w:color w:val="FFFFFF" w:themeColor="background1"/>
        </w:rPr>
        <w:t>感谢您阅读本报告，任何问题，请随时联系本报告分析师，附录是本报告分析师列表</w:t>
      </w:r>
    </w:p>
    <w:p w:rsidR="00DC55D6" w:rsidP="00DC55D6" w14:paraId="6F3FC960" w14:textId="77777777">
      <w:pPr>
        <w:pStyle w:val="Normal0"/>
      </w:pPr>
    </w:p>
    <w:sectPr w:rsidSect="00940178">
      <w:footerReference w:type="default" r:id="rId31"/>
      <w:pgSz w:w="11906" w:h="16838"/>
      <w:pgMar w:top="1418" w:right="1077" w:bottom="1134" w:left="1077" w:header="709" w:footer="567" w:gutter="0"/>
      <w:pgBorders w:offsetFrom="page">
        <w:top w:val="nil"/>
        <w:left w:val="nil"/>
        <w:bottom w:val="nil"/>
        <w:right w:val="nil"/>
      </w:pgBorders>
      <w:pgNumType w:start="1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Microsoft Sans Serif">
    <w:panose1 w:val="020B0604020202020204"/>
    <w:charset w:val="00"/>
    <w:family w:val="swiss"/>
    <w:pitch w:val="variable"/>
    <w:sig w:usb0="E5002EFF" w:usb1="C000605B" w:usb2="00000029" w:usb3="00000000" w:csb0="0001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手头">
    <w:altName w:val="宋体"/>
    <w:panose1 w:val="00000000000000000000"/>
    <w:charset w:val="86"/>
    <w:family w:val="roman"/>
    <w:notTrueType/>
    <w:pitch w:val="default"/>
    <w:sig w:usb0="00000000" w:usb1="00000000" w:usb2="00000000" w:usb3="00000000" w:csb0="00040000" w:csb1="00000000"/>
  </w:font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Arial Unicode MS">
    <w:panose1 w:val="020B0604020202020204"/>
    <w:charset w:val="86"/>
    <w:family w:val="swiss"/>
    <w:pitch w:val="variable"/>
    <w:sig w:usb0="F7FFAFFF" w:usb1="E9DFFFFF" w:usb2="0000003F" w:usb3="00000000" w:csb0="003F01FF" w:csb1="00000000"/>
  </w:font>
  <w:font w:name="微软雅黑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Microsoft YaHei UI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entury Gothic">
    <w:panose1 w:val="020B0502020202020204"/>
    <w:charset w:val="00"/>
    <w:family w:val="swiss"/>
    <w:pitch w:val="variable"/>
    <w:sig w:usb0="00000287" w:usb1="00000000" w:usb2="00000000" w:usb3="00000000" w:csb0="0000009F" w:csb1="00000000"/>
  </w:font>
  <w:font w:name="Franklin Gothic Demi">
    <w:panose1 w:val="020B0703020102020204"/>
    <w:charset w:val="00"/>
    <w:family w:val="swiss"/>
    <w:pitch w:val="variable"/>
    <w:sig w:usb0="00000287" w:usb1="00000000" w:usb2="00000000" w:usb3="00000000" w:csb0="000000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ps="http://schemas.microsoft.com/office/word/2010/wordprocessingShape" mc:Ignorable="w14 w15 wp14 w16se w16cid">
  <w:p w:rsidR="0075537C" w:rsidRPr="002110C1" w:rsidP="002110C1" w14:paraId="60599742" w14:textId="3C244BC1">
    <w:pPr>
      <w:pStyle w:val="Footer"/>
      <w:rPr>
        <w:rFonts w:cs="Calibri"/>
      </w:rPr>
    </w:pPr>
    <w:r w:rsidRPr="00C74475">
      <w:rPr>
        <w:rFonts w:cs="Calibri"/>
        <w:noProof/>
      </w:rPr>
      <mc:AlternateContent>
        <mc:Choice Requires="wps">
          <w:drawing>
            <wp:anchor distT="0" distB="0" distL="114300" distR="114300" simplePos="0" relativeHeight="251659264" behindDoc="0" locked="0" layoutInCell="1" allowOverlap="1">
              <wp:simplePos x="0" y="0"/>
              <wp:positionH relativeFrom="margin">
                <wp:posOffset>2536190</wp:posOffset>
              </wp:positionH>
              <wp:positionV relativeFrom="margin">
                <wp:posOffset>9237035</wp:posOffset>
              </wp:positionV>
              <wp:extent cx="1115695" cy="300990"/>
              <wp:effectExtent l="0" t="0" r="0" b="3810"/>
              <wp:wrapSquare wrapText="bothSides"/>
              <wp:docPr id="50" name="Rectangle 4"/>
              <wp:cNvGraphicFramePr/>
              <a:graphic xmlns:a="http://schemas.openxmlformats.org/drawingml/2006/main">
                <a:graphicData uri="http://schemas.microsoft.com/office/word/2010/wordprocessingShape">
                  <wps:wsp xmlns:wps="http://schemas.microsoft.com/office/word/2010/wordprocessingShape">
                    <wps:cNvSpPr>
                      <a:spLocks noChangeArrowheads="1"/>
                    </wps:cNvSpPr>
                    <wps:spPr bwMode="auto">
                      <a:xfrm>
                        <a:off x="0" y="0"/>
                        <a:ext cx="1115695" cy="300990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</wps:spPr>
                    <wps:txbx>
                      <w:txbxContent>
                        <w:p w:rsidR="0075537C" w:rsidRPr="00A155F6" w:rsidP="002110C1" w14:textId="639FBF70">
                          <w:pPr>
                            <w:pStyle w:val="ListParagraph"/>
                            <w:ind w:left="360"/>
                            <w:rPr>
                              <w:rFonts w:ascii="Calibri" w:eastAsia="宋体" w:hAnsi="Calibri"/>
                              <w:b/>
                              <w:color w:val="0D0D0D" w:themeColor="text1" w:themeTint="F2"/>
                              <w:sz w:val="20"/>
                              <w:szCs w:val="20"/>
                              <w:lang w:eastAsia="zh-CN"/>
                            </w:rPr>
                          </w:pPr>
                          <w:sdt>
                            <w:sdtPr>
                              <w:rPr>
                                <w:rFonts w:ascii="Calibri" w:hAnsi="Calibri" w:eastAsiaTheme="majorEastAsia" w:cstheme="majorBidi"/>
                                <w:sz w:val="20"/>
                                <w:szCs w:val="20"/>
                              </w:rPr>
                              <w:id w:val="1801803423"/>
                              <w:docPartObj>
                                <w:docPartGallery w:val="Page Numbers (Margins)"/>
                                <w:docPartUnique/>
                              </w:docPartObj>
                            </w:sdtPr>
                            <w:sdtEndPr>
                              <w:rPr>
                                <w:rFonts w:eastAsia="宋体" w:cs="Arial"/>
                              </w:rPr>
                            </w:sdtEndPr>
                            <w:sdtContent>
                              <w:sdt>
                                <w:sdtPr>
                                  <w:rPr>
                                    <w:rFonts w:ascii="Calibri" w:eastAsia="宋体" w:hAnsi="Calibri"/>
                                    <w:b/>
                                    <w:noProof/>
                                    <w:color w:val="0D0D0D" w:themeColor="text1" w:themeTint="F2"/>
                                    <w:sz w:val="20"/>
                                    <w:szCs w:val="20"/>
                                  </w:rPr>
                                  <w:id w:val="1217569413"/>
                                  <w:docPartObj>
                                    <w:docPartGallery w:val="Page Numbers (Margins)"/>
                                    <w:docPartUnique/>
                                  </w:docPartObj>
                                </w:sdtPr>
                                <w:sdtEndPr>
                                  <w:rPr>
                                    <w:rFonts w:eastAsia="宋体" w:cs="Arial"/>
                                  </w:rPr>
                                </w:sdtEndPr>
                                <w:sdtContent>
                                  <w:r w:rsidRPr="00A155F6">
                                    <w:rPr>
                                      <w:rFonts w:ascii="Calibri" w:eastAsia="宋体" w:hAnsi="Calibri" w:cs="宋体" w:hint="eastAsia"/>
                                      <w:color w:val="231F20"/>
                                      <w:sz w:val="20"/>
                                      <w:szCs w:val="20"/>
                                      <w:lang w:eastAsia="zh-CN"/>
                                    </w:rPr>
                                    <w:t>第</w:t>
                                  </w:r>
                                  <w:r w:rsidRPr="00A155F6">
                                    <w:rPr>
                                      <w:rFonts w:ascii="Calibri" w:eastAsia="宋体" w:hAnsi="Calibri" w:cs="宋体" w:hint="eastAsia"/>
                                      <w:color w:val="231F20"/>
                                      <w:sz w:val="20"/>
                                      <w:szCs w:val="20"/>
                                      <w:lang w:eastAsia="zh-CN"/>
                                    </w:rPr>
                                    <w:t xml:space="preserve"> </w:t>
                                  </w:r>
                                  <w:r w:rsidRPr="00A155F6">
                                    <w:rPr>
                                      <w:rFonts w:ascii="Calibri" w:eastAsia="宋体" w:hAnsi="Calibri"/>
                                      <w:b/>
                                      <w:color w:val="0D0D0D" w:themeColor="text1" w:themeTint="F2"/>
                                      <w:sz w:val="20"/>
                                      <w:szCs w:val="20"/>
                                    </w:rPr>
                                    <w:fldChar w:fldCharType="begin"/>
                                  </w:r>
                                  <w:r w:rsidRPr="00A155F6">
                                    <w:rPr>
                                      <w:rFonts w:ascii="Calibri" w:eastAsia="宋体" w:hAnsi="Calibri"/>
                                      <w:b/>
                                      <w:color w:val="0D0D0D" w:themeColor="text1" w:themeTint="F2"/>
                                      <w:sz w:val="20"/>
                                      <w:szCs w:val="20"/>
                                    </w:rPr>
                                    <w:instrText xml:space="preserve"> PAGE   \* MERGEFORMAT </w:instrText>
                                  </w:r>
                                  <w:r w:rsidRPr="00A155F6">
                                    <w:rPr>
                                      <w:rFonts w:ascii="Calibri" w:eastAsia="宋体" w:hAnsi="Calibri"/>
                                      <w:b/>
                                      <w:color w:val="0D0D0D" w:themeColor="text1" w:themeTint="F2"/>
                                      <w:sz w:val="20"/>
                                      <w:szCs w:val="20"/>
                                    </w:rPr>
                                    <w:fldChar w:fldCharType="separate"/>
                                  </w:r>
                                  <w:r w:rsidRPr="00A155F6">
                                    <w:rPr>
                                      <w:rFonts w:ascii="Calibri" w:eastAsia="宋体" w:hAnsi="Calibri"/>
                                      <w:b/>
                                      <w:noProof/>
                                      <w:color w:val="0D0D0D" w:themeColor="text1" w:themeTint="F2"/>
                                      <w:sz w:val="20"/>
                                      <w:szCs w:val="20"/>
                                    </w:rPr>
                                    <w:t>9</w:t>
                                  </w:r>
                                  <w:r w:rsidRPr="00A155F6">
                                    <w:rPr>
                                      <w:rFonts w:ascii="Calibri" w:eastAsia="宋体" w:hAnsi="Calibri"/>
                                      <w:b/>
                                      <w:noProof/>
                                      <w:color w:val="0D0D0D" w:themeColor="text1" w:themeTint="F2"/>
                                      <w:sz w:val="20"/>
                                      <w:szCs w:val="20"/>
                                    </w:rPr>
                                    <w:fldChar w:fldCharType="end"/>
                                  </w:r>
                                </w:sdtContent>
                              </w:sdt>
                            </w:sdtContent>
                          </w:sdt>
                          <w:r w:rsidRPr="00A155F6">
                            <w:rPr>
                              <w:rFonts w:ascii="Calibri" w:eastAsia="宋体" w:hAnsi="Calibri" w:hint="eastAsia"/>
                              <w:sz w:val="20"/>
                              <w:szCs w:val="20"/>
                              <w:lang w:eastAsia="zh-CN"/>
                            </w:rPr>
                            <w:t>页</w:t>
                          </w:r>
                        </w:p>
                      </w:txbxContent>
                    </wps:txbx>
                    <wps:bodyPr rot="0" vert="horz" wrap="square" lIns="91440" tIns="45720" rIns="91440" bIns="45720" anchor="t" anchorCtr="0" upright="1"/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type id="_x0000_t202" coordsize="21600,21600" o:spt="202" path="m,l,21600r21600,l21600,xe">
              <v:stroke joinstyle="miter"/>
              <v:path gradientshapeok="t" o:connecttype="rect"/>
            </v:shapetype>
            <v:shape id="Rectangle 4" o:spid="_x0000_s2051" type="#_x0000_t202" style="width:87.85pt;height:23.7pt;margin-top:727.33pt;margin-left:199.7pt;mso-height-percent:0;mso-height-relative:page;mso-position-horizontal-relative:margin;mso-position-vertical-relative:margin;mso-width-percent:0;mso-width-relative:page;mso-wrap-distance-bottom:0;mso-wrap-distance-left:9pt;mso-wrap-distance-right:9pt;mso-wrap-distance-top:0;position:absolute;v-text-anchor:top;z-index:251658240" filled="f" fillcolor="this" stroked="f">
              <v:textbox>
                <w:txbxContent>
                  <w:p w:rsidR="0075537C" w:rsidRPr="00A155F6" w:rsidP="002110C1" w14:textId="639FBF70">
                    <w:pPr>
                      <w:pStyle w:val="ListParagraph"/>
                      <w:ind w:left="360"/>
                      <w:rPr>
                        <w:rFonts w:ascii="Calibri" w:eastAsia="宋体" w:hAnsi="Calibri"/>
                        <w:b/>
                        <w:color w:val="0D0D0D" w:themeColor="text1" w:themeTint="F2"/>
                        <w:sz w:val="20"/>
                        <w:szCs w:val="20"/>
                        <w:lang w:eastAsia="zh-CN"/>
                      </w:rPr>
                    </w:pPr>
                    <w:sdt>
                      <w:sdtPr>
                        <w:rPr>
                          <w:rFonts w:ascii="Calibri" w:hAnsi="Calibri" w:eastAsiaTheme="majorEastAsia" w:cstheme="majorBidi"/>
                          <w:sz w:val="20"/>
                          <w:szCs w:val="20"/>
                        </w:rPr>
                        <w:id w:val="423786876"/>
                        <w:docPartObj>
                          <w:docPartGallery w:val="Page Numbers (Margins)"/>
                          <w:docPartUnique/>
                        </w:docPartObj>
                      </w:sdtPr>
                      <w:sdtEndPr>
                        <w:rPr>
                          <w:rFonts w:eastAsia="宋体" w:cs="Arial"/>
                        </w:rPr>
                      </w:sdtEndPr>
                      <w:sdtContent>
                        <w:sdt>
                          <w:sdtPr>
                            <w:rPr>
                              <w:rFonts w:ascii="Calibri" w:eastAsia="宋体" w:hAnsi="Calibri"/>
                              <w:b/>
                              <w:noProof/>
                              <w:color w:val="0D0D0D" w:themeColor="text1" w:themeTint="F2"/>
                              <w:sz w:val="20"/>
                              <w:szCs w:val="20"/>
                            </w:rPr>
                            <w:id w:val="507999843"/>
                            <w:docPartObj>
                              <w:docPartGallery w:val="Page Numbers (Margins)"/>
                              <w:docPartUnique/>
                            </w:docPartObj>
                          </w:sdtPr>
                          <w:sdtEndPr>
                            <w:rPr>
                              <w:rFonts w:eastAsia="宋体" w:cs="Arial"/>
                            </w:rPr>
                          </w:sdtEndPr>
                          <w:sdtContent>
                            <w:r w:rsidRPr="00A155F6">
                              <w:rPr>
                                <w:rFonts w:ascii="Calibri" w:eastAsia="宋体" w:hAnsi="Calibri" w:cs="宋体" w:hint="eastAsia"/>
                                <w:color w:val="231F20"/>
                                <w:sz w:val="20"/>
                                <w:szCs w:val="20"/>
                                <w:lang w:eastAsia="zh-CN"/>
                              </w:rPr>
                              <w:t>第</w:t>
                            </w:r>
                            <w:r w:rsidRPr="00A155F6">
                              <w:rPr>
                                <w:rFonts w:ascii="Calibri" w:eastAsia="宋体" w:hAnsi="Calibri" w:cs="宋体" w:hint="eastAsia"/>
                                <w:color w:val="231F20"/>
                                <w:sz w:val="20"/>
                                <w:szCs w:val="20"/>
                                <w:lang w:eastAsia="zh-CN"/>
                              </w:rPr>
                              <w:t xml:space="preserve"> </w:t>
                            </w:r>
                            <w:r w:rsidRPr="00A155F6">
                              <w:rPr>
                                <w:rFonts w:ascii="Calibri" w:eastAsia="宋体" w:hAnsi="Calibri"/>
                                <w:b/>
                                <w:color w:val="0D0D0D" w:themeColor="text1" w:themeTint="F2"/>
                                <w:sz w:val="20"/>
                                <w:szCs w:val="20"/>
                              </w:rPr>
                              <w:fldChar w:fldCharType="begin"/>
                            </w:r>
                            <w:r w:rsidRPr="00A155F6">
                              <w:rPr>
                                <w:rFonts w:ascii="Calibri" w:eastAsia="宋体" w:hAnsi="Calibri"/>
                                <w:b/>
                                <w:color w:val="0D0D0D" w:themeColor="text1" w:themeTint="F2"/>
                                <w:sz w:val="20"/>
                                <w:szCs w:val="20"/>
                              </w:rPr>
                              <w:instrText xml:space="preserve"> PAGE   \* MERGEFORMAT </w:instrText>
                            </w:r>
                            <w:r w:rsidRPr="00A155F6">
                              <w:rPr>
                                <w:rFonts w:ascii="Calibri" w:eastAsia="宋体" w:hAnsi="Calibri"/>
                                <w:b/>
                                <w:color w:val="0D0D0D" w:themeColor="text1" w:themeTint="F2"/>
                                <w:sz w:val="20"/>
                                <w:szCs w:val="20"/>
                              </w:rPr>
                              <w:fldChar w:fldCharType="separate"/>
                            </w:r>
                            <w:r w:rsidRPr="00A155F6">
                              <w:rPr>
                                <w:rFonts w:ascii="Calibri" w:eastAsia="宋体" w:hAnsi="Calibri"/>
                                <w:b/>
                                <w:noProof/>
                                <w:color w:val="0D0D0D" w:themeColor="text1" w:themeTint="F2"/>
                                <w:sz w:val="20"/>
                                <w:szCs w:val="20"/>
                              </w:rPr>
                              <w:t>9</w:t>
                            </w:r>
                            <w:r w:rsidRPr="00A155F6">
                              <w:rPr>
                                <w:rFonts w:ascii="Calibri" w:eastAsia="宋体" w:hAnsi="Calibri"/>
                                <w:b/>
                                <w:noProof/>
                                <w:color w:val="0D0D0D" w:themeColor="text1" w:themeTint="F2"/>
                                <w:sz w:val="20"/>
                                <w:szCs w:val="20"/>
                              </w:rPr>
                              <w:fldChar w:fldCharType="end"/>
                            </w:r>
                          </w:sdtContent>
                        </w:sdt>
                      </w:sdtContent>
                    </w:sdt>
                    <w:r w:rsidRPr="00A155F6">
                      <w:rPr>
                        <w:rFonts w:ascii="Calibri" w:eastAsia="宋体" w:hAnsi="Calibri" w:hint="eastAsia"/>
                        <w:sz w:val="20"/>
                        <w:szCs w:val="20"/>
                        <w:lang w:eastAsia="zh-CN"/>
                      </w:rPr>
                      <w:t>页</w:t>
                    </w:r>
                  </w:p>
                </w:txbxContent>
              </v:textbox>
              <w10:wrap type="square"/>
            </v:shape>
          </w:pict>
        </mc:Fallback>
      </mc:AlternateContent>
    </w:r>
    <w:r>
      <w:rPr>
        <w:rFonts w:ascii="Franklin Gothic Demi" w:hAnsi="Franklin Gothic Demi"/>
        <w:noProof/>
        <w:color w:val="FFFFFF" w:themeColor="background1"/>
        <w:sz w:val="28"/>
      </w:rPr>
      <mc:AlternateContent>
        <mc:Choice Requires="wps">
          <w:drawing>
            <wp:anchor distT="0" distB="0" distL="114300" distR="114300" simplePos="0" relativeHeight="251660288" behindDoc="0" locked="0" layoutInCell="1" allowOverlap="1">
              <wp:simplePos x="0" y="0"/>
              <wp:positionH relativeFrom="column">
                <wp:posOffset>-65080</wp:posOffset>
              </wp:positionH>
              <wp:positionV relativeFrom="paragraph">
                <wp:posOffset>-161541</wp:posOffset>
              </wp:positionV>
              <wp:extent cx="6315740" cy="4342"/>
              <wp:effectExtent l="0" t="0" r="27940" b="34290"/>
              <wp:wrapNone/>
              <wp:docPr id="49" name="直接连接符 49"/>
              <wp:cNvGraphicFramePr/>
              <a:graphic xmlns:a="http://schemas.openxmlformats.org/drawingml/2006/main">
                <a:graphicData uri="http://schemas.microsoft.com/office/word/2010/wordprocessingShape">
                  <wps:wsp xmlns:wps="http://schemas.microsoft.com/office/word/2010/wordprocessingShape">
                    <wps:cNvCnPr/>
                    <wps:spPr>
                      <a:xfrm flipV="1">
                        <a:off x="0" y="0"/>
                        <a:ext cx="6315740" cy="4342"/>
                      </a:xfrm>
                      <a:prstGeom prst="line">
                        <a:avLst/>
                      </a:prstGeom>
                      <a:ln w="9525">
                        <a:solidFill>
                          <a:srgbClr val="EE3123"/>
                        </a:solidFill>
                      </a:ln>
                    </wps:spPr>
                    <wps:style>
                      <a:lnRef idx="1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tx1"/>
                      </a:fontRef>
                    </wps:style>
                    <wps:bodyPr/>
                  </wps:wsp>
                </a:graphicData>
              </a:graphic>
              <wp14:sizeRelH relativeFrom="margin">
                <wp14:pctWidth>0</wp14:pctWidth>
              </wp14:sizeRelH>
            </wp:anchor>
          </w:drawing>
        </mc:Choice>
        <mc:Fallback>
          <w:pict>
            <v:line id="直接连接符 49" o:spid="_x0000_s2052" style="flip:y;mso-width-percent:0;mso-width-relative:margin;mso-wrap-distance-bottom:0;mso-wrap-distance-left:9pt;mso-wrap-distance-right:9pt;mso-wrap-distance-top:0;mso-wrap-style:square;position:absolute;visibility:visible;z-index:251661312" from="-5.1pt,-12.7pt" to="492.2pt,-12.35pt" strokecolor="#ee3123">
              <v:stroke joinstyle="miter"/>
            </v:line>
          </w:pict>
        </mc:Fallback>
      </mc:AlternateContent>
    </w: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ps="http://schemas.microsoft.com/office/word/2010/wordprocessingShape" mc:Ignorable="w14 w15 wp14 w16se w16cid">
  <w:p w:rsidR="0075537C" w:rsidRPr="002110C1" w:rsidP="002110C1" w14:textId="3C244BC1">
    <w:pPr>
      <w:pStyle w:val="Footer0"/>
      <w:rPr>
        <w:rFonts w:cs="Calibri"/>
      </w:rPr>
    </w:pPr>
    <w:r w:rsidRPr="00C74475">
      <w:rPr>
        <w:rFonts w:cs="Calibri"/>
        <w:noProof/>
      </w:rPr>
      <mc:AlternateContent>
        <mc:Choice Requires="wps">
          <w:drawing>
            <wp:anchor distT="0" distB="0" distL="114300" distR="114300" simplePos="0" relativeHeight="251665408" behindDoc="0" locked="0" layoutInCell="1" allowOverlap="1">
              <wp:simplePos x="0" y="0"/>
              <wp:positionH relativeFrom="margin">
                <wp:posOffset>2536190</wp:posOffset>
              </wp:positionH>
              <wp:positionV relativeFrom="margin">
                <wp:posOffset>9237035</wp:posOffset>
              </wp:positionV>
              <wp:extent cx="1115695" cy="300990"/>
              <wp:effectExtent l="0" t="0" r="0" b="3810"/>
              <wp:wrapSquare wrapText="bothSides"/>
              <wp:docPr id="1735329516" name="Rectangle 4"/>
              <wp:cNvGraphicFramePr/>
              <a:graphic xmlns:a="http://schemas.openxmlformats.org/drawingml/2006/main">
                <a:graphicData uri="http://schemas.microsoft.com/office/word/2010/wordprocessingShape">
                  <wps:wsp xmlns:wps="http://schemas.microsoft.com/office/word/2010/wordprocessingShape">
                    <wps:cNvSpPr>
                      <a:spLocks noChangeArrowheads="1"/>
                    </wps:cNvSpPr>
                    <wps:spPr bwMode="auto">
                      <a:xfrm>
                        <a:off x="0" y="0"/>
                        <a:ext cx="1115695" cy="300990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</wps:spPr>
                    <wps:txbx>
                      <w:txbxContent>
                        <w:p w:rsidR="0075537C" w:rsidRPr="00A155F6" w:rsidP="002110C1" w14:textId="639FBF70">
                          <w:pPr>
                            <w:pStyle w:val="ListParagraph0"/>
                            <w:ind w:left="360"/>
                            <w:rPr>
                              <w:rFonts w:ascii="Calibri" w:eastAsia="宋体" w:hAnsi="Calibri"/>
                              <w:b/>
                              <w:color w:val="0D0D0D" w:themeColor="text1" w:themeTint="F2"/>
                              <w:sz w:val="20"/>
                              <w:szCs w:val="20"/>
                              <w:lang w:eastAsia="zh-CN"/>
                            </w:rPr>
                          </w:pPr>
                          <w:sdt>
                            <w:sdtPr>
                              <w:rPr>
                                <w:rFonts w:ascii="Calibri" w:hAnsi="Calibri" w:eastAsiaTheme="majorEastAsia" w:cstheme="majorBidi"/>
                                <w:sz w:val="20"/>
                                <w:szCs w:val="20"/>
                              </w:rPr>
                              <w:id w:val="1574409009"/>
                              <w:docPartObj>
                                <w:docPartGallery w:val="Page Numbers (Margins)"/>
                                <w:docPartUnique/>
                              </w:docPartObj>
                            </w:sdtPr>
                            <w:sdtEndPr>
                              <w:rPr>
                                <w:rFonts w:eastAsia="宋体" w:cs="Arial"/>
                              </w:rPr>
                            </w:sdtEndPr>
                            <w:sdtContent>
                              <w:sdt>
                                <w:sdtPr>
                                  <w:rPr>
                                    <w:rFonts w:ascii="Calibri" w:eastAsia="宋体" w:hAnsi="Calibri"/>
                                    <w:b/>
                                    <w:noProof/>
                                    <w:color w:val="0D0D0D" w:themeColor="text1" w:themeTint="F2"/>
                                    <w:sz w:val="20"/>
                                    <w:szCs w:val="20"/>
                                  </w:rPr>
                                  <w:id w:val="2055714535"/>
                                  <w:docPartObj>
                                    <w:docPartGallery w:val="Page Numbers (Margins)"/>
                                    <w:docPartUnique/>
                                  </w:docPartObj>
                                </w:sdtPr>
                                <w:sdtEndPr>
                                  <w:rPr>
                                    <w:rFonts w:eastAsia="宋体" w:cs="Arial"/>
                                  </w:rPr>
                                </w:sdtEndPr>
                                <w:sdtContent>
                                  <w:r w:rsidRPr="00A155F6">
                                    <w:rPr>
                                      <w:rFonts w:ascii="Calibri" w:eastAsia="宋体" w:hAnsi="Calibri" w:cs="宋体" w:hint="eastAsia"/>
                                      <w:color w:val="231F20"/>
                                      <w:sz w:val="20"/>
                                      <w:szCs w:val="20"/>
                                      <w:lang w:eastAsia="zh-CN"/>
                                    </w:rPr>
                                    <w:t>第</w:t>
                                  </w:r>
                                  <w:r w:rsidRPr="00A155F6">
                                    <w:rPr>
                                      <w:rFonts w:ascii="Calibri" w:eastAsia="宋体" w:hAnsi="Calibri" w:cs="宋体" w:hint="eastAsia"/>
                                      <w:color w:val="231F20"/>
                                      <w:sz w:val="20"/>
                                      <w:szCs w:val="20"/>
                                      <w:lang w:eastAsia="zh-CN"/>
                                    </w:rPr>
                                    <w:t xml:space="preserve"> </w:t>
                                  </w:r>
                                  <w:r w:rsidRPr="00A155F6">
                                    <w:rPr>
                                      <w:rFonts w:ascii="Calibri" w:eastAsia="宋体" w:hAnsi="Calibri"/>
                                      <w:b/>
                                      <w:color w:val="0D0D0D" w:themeColor="text1" w:themeTint="F2"/>
                                      <w:sz w:val="20"/>
                                      <w:szCs w:val="20"/>
                                    </w:rPr>
                                    <w:fldChar w:fldCharType="begin"/>
                                  </w:r>
                                  <w:r w:rsidRPr="00A155F6">
                                    <w:rPr>
                                      <w:rFonts w:ascii="Calibri" w:eastAsia="宋体" w:hAnsi="Calibri"/>
                                      <w:b/>
                                      <w:color w:val="0D0D0D" w:themeColor="text1" w:themeTint="F2"/>
                                      <w:sz w:val="20"/>
                                      <w:szCs w:val="20"/>
                                    </w:rPr>
                                    <w:instrText xml:space="preserve"> PAGE   \* MERGEFORMAT </w:instrText>
                                  </w:r>
                                  <w:r w:rsidRPr="00A155F6">
                                    <w:rPr>
                                      <w:rFonts w:ascii="Calibri" w:eastAsia="宋体" w:hAnsi="Calibri"/>
                                      <w:b/>
                                      <w:color w:val="0D0D0D" w:themeColor="text1" w:themeTint="F2"/>
                                      <w:sz w:val="20"/>
                                      <w:szCs w:val="20"/>
                                    </w:rPr>
                                    <w:fldChar w:fldCharType="separate"/>
                                  </w:r>
                                  <w:r w:rsidRPr="00A155F6">
                                    <w:rPr>
                                      <w:rFonts w:ascii="Calibri" w:eastAsia="宋体" w:hAnsi="Calibri"/>
                                      <w:b/>
                                      <w:noProof/>
                                      <w:color w:val="0D0D0D" w:themeColor="text1" w:themeTint="F2"/>
                                      <w:sz w:val="20"/>
                                      <w:szCs w:val="20"/>
                                    </w:rPr>
                                    <w:t>9</w:t>
                                  </w:r>
                                  <w:r w:rsidRPr="00A155F6">
                                    <w:rPr>
                                      <w:rFonts w:ascii="Calibri" w:eastAsia="宋体" w:hAnsi="Calibri"/>
                                      <w:b/>
                                      <w:noProof/>
                                      <w:color w:val="0D0D0D" w:themeColor="text1" w:themeTint="F2"/>
                                      <w:sz w:val="20"/>
                                      <w:szCs w:val="20"/>
                                    </w:rPr>
                                    <w:fldChar w:fldCharType="end"/>
                                  </w:r>
                                </w:sdtContent>
                              </w:sdt>
                            </w:sdtContent>
                          </w:sdt>
                          <w:r w:rsidRPr="00A155F6">
                            <w:rPr>
                              <w:rFonts w:ascii="Calibri" w:eastAsia="宋体" w:hAnsi="Calibri" w:hint="eastAsia"/>
                              <w:sz w:val="20"/>
                              <w:szCs w:val="20"/>
                              <w:lang w:eastAsia="zh-CN"/>
                            </w:rPr>
                            <w:t>页</w:t>
                          </w:r>
                        </w:p>
                      </w:txbxContent>
                    </wps:txbx>
                    <wps:bodyPr rot="0" vert="horz" wrap="square" lIns="91440" tIns="45720" rIns="91440" bIns="45720" anchor="t" anchorCtr="0" upright="1"/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type id="_x0000_t202" coordsize="21600,21600" o:spt="202" path="m,l,21600r21600,l21600,xe">
              <v:stroke joinstyle="miter"/>
              <v:path gradientshapeok="t" o:connecttype="rect"/>
            </v:shapetype>
            <v:shape id="Rectangle 4" o:spid="_x0000_s2055" type="#_x0000_t202" style="width:87.85pt;height:23.7pt;margin-top:727.33pt;margin-left:199.7pt;mso-height-percent:0;mso-height-relative:page;mso-position-horizontal-relative:margin;mso-position-vertical-relative:margin;mso-width-percent:0;mso-width-relative:page;mso-wrap-distance-bottom:0;mso-wrap-distance-left:9pt;mso-wrap-distance-right:9pt;mso-wrap-distance-top:0;position:absolute;v-text-anchor:top;z-index:251664384" filled="f" fillcolor="this" stroked="f">
              <v:textbox>
                <w:txbxContent>
                  <w:p w:rsidR="0075537C" w:rsidRPr="00A155F6" w:rsidP="002110C1" w14:textId="639FBF70">
                    <w:pPr>
                      <w:pStyle w:val="ListParagraph0"/>
                      <w:ind w:left="360"/>
                      <w:rPr>
                        <w:rFonts w:ascii="Calibri" w:eastAsia="宋体" w:hAnsi="Calibri"/>
                        <w:b/>
                        <w:color w:val="0D0D0D" w:themeColor="text1" w:themeTint="F2"/>
                        <w:sz w:val="20"/>
                        <w:szCs w:val="20"/>
                        <w:lang w:eastAsia="zh-CN"/>
                      </w:rPr>
                    </w:pPr>
                    <w:sdt>
                      <w:sdtPr>
                        <w:rPr>
                          <w:rFonts w:ascii="Calibri" w:hAnsi="Calibri" w:eastAsiaTheme="majorEastAsia" w:cstheme="majorBidi"/>
                          <w:sz w:val="20"/>
                          <w:szCs w:val="20"/>
                        </w:rPr>
                        <w:id w:val="1791754739"/>
                        <w:docPartObj>
                          <w:docPartGallery w:val="Page Numbers (Margins)"/>
                          <w:docPartUnique/>
                        </w:docPartObj>
                      </w:sdtPr>
                      <w:sdtEndPr>
                        <w:rPr>
                          <w:rFonts w:eastAsia="宋体" w:cs="Arial"/>
                        </w:rPr>
                      </w:sdtEndPr>
                      <w:sdtContent>
                        <w:sdt>
                          <w:sdtPr>
                            <w:rPr>
                              <w:rFonts w:ascii="Calibri" w:eastAsia="宋体" w:hAnsi="Calibri"/>
                              <w:b/>
                              <w:noProof/>
                              <w:color w:val="0D0D0D" w:themeColor="text1" w:themeTint="F2"/>
                              <w:sz w:val="20"/>
                              <w:szCs w:val="20"/>
                            </w:rPr>
                            <w:id w:val="699347850"/>
                            <w:docPartObj>
                              <w:docPartGallery w:val="Page Numbers (Margins)"/>
                              <w:docPartUnique/>
                            </w:docPartObj>
                          </w:sdtPr>
                          <w:sdtEndPr>
                            <w:rPr>
                              <w:rFonts w:eastAsia="宋体" w:cs="Arial"/>
                            </w:rPr>
                          </w:sdtEndPr>
                          <w:sdtContent>
                            <w:r w:rsidRPr="00A155F6">
                              <w:rPr>
                                <w:rFonts w:ascii="Calibri" w:eastAsia="宋体" w:hAnsi="Calibri" w:cs="宋体" w:hint="eastAsia"/>
                                <w:color w:val="231F20"/>
                                <w:sz w:val="20"/>
                                <w:szCs w:val="20"/>
                                <w:lang w:eastAsia="zh-CN"/>
                              </w:rPr>
                              <w:t>第</w:t>
                            </w:r>
                            <w:r w:rsidRPr="00A155F6">
                              <w:rPr>
                                <w:rFonts w:ascii="Calibri" w:eastAsia="宋体" w:hAnsi="Calibri" w:cs="宋体" w:hint="eastAsia"/>
                                <w:color w:val="231F20"/>
                                <w:sz w:val="20"/>
                                <w:szCs w:val="20"/>
                                <w:lang w:eastAsia="zh-CN"/>
                              </w:rPr>
                              <w:t xml:space="preserve"> </w:t>
                            </w:r>
                            <w:r w:rsidRPr="00A155F6">
                              <w:rPr>
                                <w:rFonts w:ascii="Calibri" w:eastAsia="宋体" w:hAnsi="Calibri"/>
                                <w:b/>
                                <w:color w:val="0D0D0D" w:themeColor="text1" w:themeTint="F2"/>
                                <w:sz w:val="20"/>
                                <w:szCs w:val="20"/>
                              </w:rPr>
                              <w:fldChar w:fldCharType="begin"/>
                            </w:r>
                            <w:r w:rsidRPr="00A155F6">
                              <w:rPr>
                                <w:rFonts w:ascii="Calibri" w:eastAsia="宋体" w:hAnsi="Calibri"/>
                                <w:b/>
                                <w:color w:val="0D0D0D" w:themeColor="text1" w:themeTint="F2"/>
                                <w:sz w:val="20"/>
                                <w:szCs w:val="20"/>
                              </w:rPr>
                              <w:instrText xml:space="preserve"> PAGE   \* MERGEFORMAT </w:instrText>
                            </w:r>
                            <w:r w:rsidRPr="00A155F6">
                              <w:rPr>
                                <w:rFonts w:ascii="Calibri" w:eastAsia="宋体" w:hAnsi="Calibri"/>
                                <w:b/>
                                <w:color w:val="0D0D0D" w:themeColor="text1" w:themeTint="F2"/>
                                <w:sz w:val="20"/>
                                <w:szCs w:val="20"/>
                              </w:rPr>
                              <w:fldChar w:fldCharType="separate"/>
                            </w:r>
                            <w:r w:rsidRPr="00A155F6">
                              <w:rPr>
                                <w:rFonts w:ascii="Calibri" w:eastAsia="宋体" w:hAnsi="Calibri"/>
                                <w:b/>
                                <w:noProof/>
                                <w:color w:val="0D0D0D" w:themeColor="text1" w:themeTint="F2"/>
                                <w:sz w:val="20"/>
                                <w:szCs w:val="20"/>
                              </w:rPr>
                              <w:t>9</w:t>
                            </w:r>
                            <w:r w:rsidRPr="00A155F6">
                              <w:rPr>
                                <w:rFonts w:ascii="Calibri" w:eastAsia="宋体" w:hAnsi="Calibri"/>
                                <w:b/>
                                <w:noProof/>
                                <w:color w:val="0D0D0D" w:themeColor="text1" w:themeTint="F2"/>
                                <w:sz w:val="20"/>
                                <w:szCs w:val="20"/>
                              </w:rPr>
                              <w:fldChar w:fldCharType="end"/>
                            </w:r>
                          </w:sdtContent>
                        </w:sdt>
                      </w:sdtContent>
                    </w:sdt>
                    <w:r w:rsidRPr="00A155F6">
                      <w:rPr>
                        <w:rFonts w:ascii="Calibri" w:eastAsia="宋体" w:hAnsi="Calibri" w:hint="eastAsia"/>
                        <w:sz w:val="20"/>
                        <w:szCs w:val="20"/>
                        <w:lang w:eastAsia="zh-CN"/>
                      </w:rPr>
                      <w:t>页</w:t>
                    </w:r>
                  </w:p>
                </w:txbxContent>
              </v:textbox>
              <w10:wrap type="square"/>
            </v:shape>
          </w:pict>
        </mc:Fallback>
      </mc:AlternateContent>
    </w:r>
    <w:r>
      <w:rPr>
        <w:rFonts w:ascii="Franklin Gothic Demi" w:hAnsi="Franklin Gothic Demi"/>
        <w:noProof/>
        <w:color w:val="FFFFFF" w:themeColor="background1"/>
        <w:sz w:val="28"/>
      </w:rPr>
      <mc:AlternateContent>
        <mc:Choice Requires="wps">
          <w:drawing>
            <wp:anchor distT="0" distB="0" distL="114300" distR="114300" simplePos="0" relativeHeight="251667456" behindDoc="0" locked="0" layoutInCell="1" allowOverlap="1">
              <wp:simplePos x="0" y="0"/>
              <wp:positionH relativeFrom="column">
                <wp:posOffset>-65080</wp:posOffset>
              </wp:positionH>
              <wp:positionV relativeFrom="paragraph">
                <wp:posOffset>-161541</wp:posOffset>
              </wp:positionV>
              <wp:extent cx="6315740" cy="4342"/>
              <wp:effectExtent l="0" t="0" r="27940" b="34290"/>
              <wp:wrapNone/>
              <wp:docPr id="1651139042" name="直接连接符 49"/>
              <wp:cNvGraphicFramePr/>
              <a:graphic xmlns:a="http://schemas.openxmlformats.org/drawingml/2006/main">
                <a:graphicData uri="http://schemas.microsoft.com/office/word/2010/wordprocessingShape">
                  <wps:wsp xmlns:wps="http://schemas.microsoft.com/office/word/2010/wordprocessingShape">
                    <wps:cNvCnPr/>
                    <wps:spPr>
                      <a:xfrm flipV="1">
                        <a:off x="0" y="0"/>
                        <a:ext cx="6315740" cy="4342"/>
                      </a:xfrm>
                      <a:prstGeom prst="line">
                        <a:avLst/>
                      </a:prstGeom>
                      <a:ln w="9525">
                        <a:solidFill>
                          <a:srgbClr val="EE3123"/>
                        </a:solidFill>
                      </a:ln>
                    </wps:spPr>
                    <wps:style>
                      <a:lnRef idx="1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tx1"/>
                      </a:fontRef>
                    </wps:style>
                    <wps:bodyPr/>
                  </wps:wsp>
                </a:graphicData>
              </a:graphic>
              <wp14:sizeRelH relativeFrom="margin">
                <wp14:pctWidth>0</wp14:pctWidth>
              </wp14:sizeRelH>
            </wp:anchor>
          </w:drawing>
        </mc:Choice>
        <mc:Fallback>
          <w:pict>
            <v:line id="直接连接符 49" o:spid="_x0000_s2056" style="flip:y;mso-width-percent:0;mso-width-relative:margin;mso-wrap-distance-bottom:0;mso-wrap-distance-left:9pt;mso-wrap-distance-right:9pt;mso-wrap-distance-top:0;position:absolute;v-text-anchor:top;z-index:251666432" from="-5.1pt,-12.7pt" to="492.2pt,-12.4pt" fillcolor="this" stroked="t" strokecolor="#ee3123" strokeweight="0.75pt"/>
          </w:pict>
        </mc:Fallback>
      </mc:AlternateContent>
    </w: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ps="http://schemas.microsoft.com/office/word/2010/wordprocessingShape" mc:Ignorable="w14 w15 wp14 w16se w16cid">
  <w:p w:rsidR="0075537C" w:rsidRPr="000B2797" w:rsidP="000B2797" w14:paraId="7A50807E" w14:textId="2CEC709C">
    <w:pPr>
      <w:pStyle w:val="Footer0"/>
      <w:rPr>
        <w:rFonts w:cs="Calibri"/>
      </w:rPr>
    </w:pPr>
    <w:r w:rsidRPr="00C74475">
      <w:rPr>
        <w:rFonts w:cs="Calibri"/>
        <w:noProof/>
      </w:rPr>
      <mc:AlternateContent>
        <mc:Choice Requires="wps">
          <w:drawing>
            <wp:anchor distT="0" distB="0" distL="114300" distR="114300" simplePos="0" relativeHeight="251663360" behindDoc="0" locked="0" layoutInCell="1" allowOverlap="1">
              <wp:simplePos x="0" y="0"/>
              <wp:positionH relativeFrom="margin">
                <wp:posOffset>2537460</wp:posOffset>
              </wp:positionH>
              <wp:positionV relativeFrom="margin">
                <wp:posOffset>9317355</wp:posOffset>
              </wp:positionV>
              <wp:extent cx="1115695" cy="339725"/>
              <wp:effectExtent l="0" t="0" r="0" b="3175"/>
              <wp:wrapSquare wrapText="bothSides"/>
              <wp:docPr id="11" name="Rectangle 4"/>
              <wp:cNvGraphicFramePr/>
              <a:graphic xmlns:a="http://schemas.openxmlformats.org/drawingml/2006/main">
                <a:graphicData uri="http://schemas.microsoft.com/office/word/2010/wordprocessingShape">
                  <wps:wsp xmlns:wps="http://schemas.microsoft.com/office/word/2010/wordprocessingShape">
                    <wps:cNvSpPr>
                      <a:spLocks noChangeArrowheads="1"/>
                    </wps:cNvSpPr>
                    <wps:spPr bwMode="auto">
                      <a:xfrm>
                        <a:off x="0" y="0"/>
                        <a:ext cx="1115695" cy="339725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</wps:spPr>
                    <wps:txbx>
                      <w:txbxContent>
                        <w:p w:rsidR="0075537C" w:rsidRPr="00EA1B80" w:rsidP="000B2797" w14:textId="1362C17B">
                          <w:pPr>
                            <w:pStyle w:val="ListParagraph0"/>
                            <w:ind w:left="360"/>
                            <w:rPr>
                              <w:rFonts w:ascii="Calibri" w:eastAsia="宋体" w:hAnsi="Calibri"/>
                              <w:b/>
                              <w:color w:val="0D0D0D" w:themeColor="text1" w:themeTint="F2"/>
                              <w:sz w:val="20"/>
                              <w:szCs w:val="20"/>
                              <w:lang w:eastAsia="zh-CN"/>
                            </w:rPr>
                          </w:pPr>
                          <w:sdt>
                            <w:sdtPr>
                              <w:rPr>
                                <w:rFonts w:ascii="Calibri" w:hAnsi="Calibri" w:eastAsiaTheme="majorEastAsia" w:cstheme="majorBidi"/>
                                <w:sz w:val="20"/>
                                <w:szCs w:val="20"/>
                              </w:rPr>
                              <w:id w:val="459025189"/>
                              <w:docPartObj>
                                <w:docPartGallery w:val="Page Numbers (Margins)"/>
                                <w:docPartUnique/>
                              </w:docPartObj>
                            </w:sdtPr>
                            <w:sdtEndPr>
                              <w:rPr>
                                <w:rFonts w:eastAsia="宋体" w:cs="Arial"/>
                              </w:rPr>
                            </w:sdtEndPr>
                            <w:sdtContent>
                              <w:sdt>
                                <w:sdtPr>
                                  <w:rPr>
                                    <w:rFonts w:ascii="Calibri" w:eastAsia="宋体" w:hAnsi="Calibri"/>
                                    <w:b/>
                                    <w:noProof/>
                                    <w:color w:val="0D0D0D" w:themeColor="text1" w:themeTint="F2"/>
                                    <w:sz w:val="20"/>
                                    <w:szCs w:val="20"/>
                                  </w:rPr>
                                  <w:id w:val="847871572"/>
                                  <w:docPartObj>
                                    <w:docPartGallery w:val="Page Numbers (Margins)"/>
                                    <w:docPartUnique/>
                                  </w:docPartObj>
                                </w:sdtPr>
                                <w:sdtEndPr>
                                  <w:rPr>
                                    <w:rFonts w:eastAsia="宋体" w:cs="Arial"/>
                                  </w:rPr>
                                </w:sdtEndPr>
                                <w:sdtContent>
                                  <w:r w:rsidRPr="00EA1B80">
                                    <w:rPr>
                                      <w:rFonts w:ascii="Calibri" w:eastAsia="宋体" w:hAnsi="Calibri" w:cs="宋体" w:hint="eastAsia"/>
                                      <w:color w:val="231F20"/>
                                      <w:sz w:val="20"/>
                                      <w:szCs w:val="20"/>
                                      <w:lang w:eastAsia="zh-CN"/>
                                    </w:rPr>
                                    <w:t>第</w:t>
                                  </w:r>
                                  <w:r w:rsidRPr="00EA1B80">
                                    <w:rPr>
                                      <w:rFonts w:ascii="Calibri" w:eastAsia="宋体" w:hAnsi="Calibri" w:cs="宋体" w:hint="eastAsia"/>
                                      <w:color w:val="231F20"/>
                                      <w:sz w:val="20"/>
                                      <w:szCs w:val="20"/>
                                      <w:lang w:eastAsia="zh-CN"/>
                                    </w:rPr>
                                    <w:t xml:space="preserve"> </w:t>
                                  </w:r>
                                  <w:r w:rsidRPr="00EA1B80">
                                    <w:rPr>
                                      <w:rFonts w:ascii="Calibri" w:eastAsia="宋体" w:hAnsi="Calibri"/>
                                      <w:b/>
                                      <w:color w:val="0D0D0D" w:themeColor="text1" w:themeTint="F2"/>
                                      <w:sz w:val="20"/>
                                      <w:szCs w:val="20"/>
                                    </w:rPr>
                                    <w:fldChar w:fldCharType="begin"/>
                                  </w:r>
                                  <w:r w:rsidRPr="00EA1B80">
                                    <w:rPr>
                                      <w:rFonts w:ascii="Calibri" w:eastAsia="宋体" w:hAnsi="Calibri"/>
                                      <w:b/>
                                      <w:color w:val="0D0D0D" w:themeColor="text1" w:themeTint="F2"/>
                                      <w:sz w:val="20"/>
                                      <w:szCs w:val="20"/>
                                    </w:rPr>
                                    <w:instrText xml:space="preserve"> PAGE   \* MERGEFORMAT </w:instrText>
                                  </w:r>
                                  <w:r w:rsidRPr="00EA1B80">
                                    <w:rPr>
                                      <w:rFonts w:ascii="Calibri" w:eastAsia="宋体" w:hAnsi="Calibri"/>
                                      <w:b/>
                                      <w:color w:val="0D0D0D" w:themeColor="text1" w:themeTint="F2"/>
                                      <w:sz w:val="20"/>
                                      <w:szCs w:val="20"/>
                                    </w:rPr>
                                    <w:fldChar w:fldCharType="separate"/>
                                  </w:r>
                                  <w:r w:rsidRPr="00EA1B80">
                                    <w:rPr>
                                      <w:rFonts w:ascii="Calibri" w:eastAsia="宋体" w:hAnsi="Calibri"/>
                                      <w:b/>
                                      <w:noProof/>
                                      <w:color w:val="0D0D0D" w:themeColor="text1" w:themeTint="F2"/>
                                      <w:sz w:val="20"/>
                                      <w:szCs w:val="20"/>
                                    </w:rPr>
                                    <w:t>31</w:t>
                                  </w:r>
                                  <w:r w:rsidRPr="00EA1B80">
                                    <w:rPr>
                                      <w:rFonts w:ascii="Calibri" w:eastAsia="宋体" w:hAnsi="Calibri"/>
                                      <w:b/>
                                      <w:noProof/>
                                      <w:color w:val="0D0D0D" w:themeColor="text1" w:themeTint="F2"/>
                                      <w:sz w:val="20"/>
                                      <w:szCs w:val="20"/>
                                    </w:rPr>
                                    <w:fldChar w:fldCharType="end"/>
                                  </w:r>
                                </w:sdtContent>
                              </w:sdt>
                            </w:sdtContent>
                          </w:sdt>
                          <w:r w:rsidRPr="00EA1B80">
                            <w:rPr>
                              <w:rFonts w:ascii="Calibri" w:eastAsia="宋体" w:hAnsi="Calibri" w:hint="eastAsia"/>
                              <w:sz w:val="20"/>
                              <w:szCs w:val="20"/>
                              <w:lang w:eastAsia="zh-CN"/>
                            </w:rPr>
                            <w:t>页</w:t>
                          </w:r>
                        </w:p>
                      </w:txbxContent>
                    </wps:txbx>
                    <wps:bodyPr rot="0" vert="horz" wrap="square" lIns="91440" tIns="45720" rIns="91440" bIns="45720" anchor="t" anchorCtr="0" upright="1"/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type id="_x0000_t202" coordsize="21600,21600" o:spt="202" path="m,l,21600r21600,l21600,xe">
              <v:stroke joinstyle="miter"/>
              <v:path gradientshapeok="t" o:connecttype="rect"/>
            </v:shapetype>
            <v:shape id="Rectangle 4" o:spid="_x0000_s2057" type="#_x0000_t202" style="width:87.85pt;height:26.75pt;margin-top:733.65pt;margin-left:199.8pt;mso-height-percent:0;mso-height-relative:page;mso-position-horizontal-relative:margin;mso-position-vertical-relative:margin;mso-width-percent:0;mso-width-relative:page;mso-wrap-distance-bottom:0;mso-wrap-distance-left:9pt;mso-wrap-distance-right:9pt;mso-wrap-distance-top:0;position:absolute;v-text-anchor:top;z-index:251662336" filled="f" fillcolor="this" stroked="f">
              <v:textbox>
                <w:txbxContent>
                  <w:p w:rsidR="0075537C" w:rsidRPr="00EA1B80" w:rsidP="000B2797" w14:textId="1362C17B">
                    <w:pPr>
                      <w:pStyle w:val="ListParagraph0"/>
                      <w:ind w:left="360"/>
                      <w:rPr>
                        <w:rFonts w:ascii="Calibri" w:eastAsia="宋体" w:hAnsi="Calibri"/>
                        <w:b/>
                        <w:color w:val="0D0D0D" w:themeColor="text1" w:themeTint="F2"/>
                        <w:sz w:val="20"/>
                        <w:szCs w:val="20"/>
                        <w:lang w:eastAsia="zh-CN"/>
                      </w:rPr>
                    </w:pPr>
                    <w:sdt>
                      <w:sdtPr>
                        <w:rPr>
                          <w:rFonts w:ascii="Calibri" w:hAnsi="Calibri" w:eastAsiaTheme="majorEastAsia" w:cstheme="majorBidi"/>
                          <w:sz w:val="20"/>
                          <w:szCs w:val="20"/>
                        </w:rPr>
                        <w:id w:val="1870438926"/>
                        <w:docPartObj>
                          <w:docPartGallery w:val="Page Numbers (Margins)"/>
                          <w:docPartUnique/>
                        </w:docPartObj>
                      </w:sdtPr>
                      <w:sdtEndPr>
                        <w:rPr>
                          <w:rFonts w:eastAsia="宋体" w:cs="Arial"/>
                        </w:rPr>
                      </w:sdtEndPr>
                      <w:sdtContent>
                        <w:sdt>
                          <w:sdtPr>
                            <w:rPr>
                              <w:rFonts w:ascii="Calibri" w:eastAsia="宋体" w:hAnsi="Calibri"/>
                              <w:b/>
                              <w:noProof/>
                              <w:color w:val="0D0D0D" w:themeColor="text1" w:themeTint="F2"/>
                              <w:sz w:val="20"/>
                              <w:szCs w:val="20"/>
                            </w:rPr>
                            <w:id w:val="609531429"/>
                            <w:docPartObj>
                              <w:docPartGallery w:val="Page Numbers (Margins)"/>
                              <w:docPartUnique/>
                            </w:docPartObj>
                          </w:sdtPr>
                          <w:sdtEndPr>
                            <w:rPr>
                              <w:rFonts w:eastAsia="宋体" w:cs="Arial"/>
                            </w:rPr>
                          </w:sdtEndPr>
                          <w:sdtContent>
                            <w:r w:rsidRPr="00EA1B80">
                              <w:rPr>
                                <w:rFonts w:ascii="Calibri" w:eastAsia="宋体" w:hAnsi="Calibri" w:cs="宋体" w:hint="eastAsia"/>
                                <w:color w:val="231F20"/>
                                <w:sz w:val="20"/>
                                <w:szCs w:val="20"/>
                                <w:lang w:eastAsia="zh-CN"/>
                              </w:rPr>
                              <w:t>第</w:t>
                            </w:r>
                            <w:r w:rsidRPr="00EA1B80">
                              <w:rPr>
                                <w:rFonts w:ascii="Calibri" w:eastAsia="宋体" w:hAnsi="Calibri" w:cs="宋体" w:hint="eastAsia"/>
                                <w:color w:val="231F20"/>
                                <w:sz w:val="20"/>
                                <w:szCs w:val="20"/>
                                <w:lang w:eastAsia="zh-CN"/>
                              </w:rPr>
                              <w:t xml:space="preserve"> </w:t>
                            </w:r>
                            <w:r w:rsidRPr="00EA1B80">
                              <w:rPr>
                                <w:rFonts w:ascii="Calibri" w:eastAsia="宋体" w:hAnsi="Calibri"/>
                                <w:b/>
                                <w:color w:val="0D0D0D" w:themeColor="text1" w:themeTint="F2"/>
                                <w:sz w:val="20"/>
                                <w:szCs w:val="20"/>
                              </w:rPr>
                              <w:fldChar w:fldCharType="begin"/>
                            </w:r>
                            <w:r w:rsidRPr="00EA1B80">
                              <w:rPr>
                                <w:rFonts w:ascii="Calibri" w:eastAsia="宋体" w:hAnsi="Calibri"/>
                                <w:b/>
                                <w:color w:val="0D0D0D" w:themeColor="text1" w:themeTint="F2"/>
                                <w:sz w:val="20"/>
                                <w:szCs w:val="20"/>
                              </w:rPr>
                              <w:instrText xml:space="preserve"> PAGE   \* MERGEFORMAT </w:instrText>
                            </w:r>
                            <w:r w:rsidRPr="00EA1B80">
                              <w:rPr>
                                <w:rFonts w:ascii="Calibri" w:eastAsia="宋体" w:hAnsi="Calibri"/>
                                <w:b/>
                                <w:color w:val="0D0D0D" w:themeColor="text1" w:themeTint="F2"/>
                                <w:sz w:val="20"/>
                                <w:szCs w:val="20"/>
                              </w:rPr>
                              <w:fldChar w:fldCharType="separate"/>
                            </w:r>
                            <w:r w:rsidRPr="00EA1B80">
                              <w:rPr>
                                <w:rFonts w:ascii="Calibri" w:eastAsia="宋体" w:hAnsi="Calibri"/>
                                <w:b/>
                                <w:noProof/>
                                <w:color w:val="0D0D0D" w:themeColor="text1" w:themeTint="F2"/>
                                <w:sz w:val="20"/>
                                <w:szCs w:val="20"/>
                              </w:rPr>
                              <w:t>31</w:t>
                            </w:r>
                            <w:r w:rsidRPr="00EA1B80">
                              <w:rPr>
                                <w:rFonts w:ascii="Calibri" w:eastAsia="宋体" w:hAnsi="Calibri"/>
                                <w:b/>
                                <w:noProof/>
                                <w:color w:val="0D0D0D" w:themeColor="text1" w:themeTint="F2"/>
                                <w:sz w:val="20"/>
                                <w:szCs w:val="20"/>
                              </w:rPr>
                              <w:fldChar w:fldCharType="end"/>
                            </w:r>
                          </w:sdtContent>
                        </w:sdt>
                      </w:sdtContent>
                    </w:sdt>
                    <w:r w:rsidRPr="00EA1B80">
                      <w:rPr>
                        <w:rFonts w:ascii="Calibri" w:eastAsia="宋体" w:hAnsi="Calibri" w:hint="eastAsia"/>
                        <w:sz w:val="20"/>
                        <w:szCs w:val="20"/>
                        <w:lang w:eastAsia="zh-CN"/>
                      </w:rPr>
                      <w:t>页</w:t>
                    </w:r>
                  </w:p>
                </w:txbxContent>
              </v:textbox>
              <w10:wrap type="square"/>
            </v:shape>
          </w:pict>
        </mc:Fallback>
      </mc:AlternateContent>
    </w:r>
    <w:r>
      <w:rPr>
        <w:rFonts w:ascii="Franklin Gothic Demi" w:hAnsi="Franklin Gothic Demi"/>
        <w:noProof/>
        <w:color w:val="FFFFFF" w:themeColor="background1"/>
        <w:sz w:val="28"/>
      </w:rPr>
      <mc:AlternateContent>
        <mc:Choice Requires="wps">
          <w:drawing>
            <wp:anchor distT="0" distB="0" distL="114300" distR="114300" simplePos="0" relativeHeight="251669504" behindDoc="0" locked="0" layoutInCell="1" allowOverlap="1">
              <wp:simplePos x="0" y="0"/>
              <wp:positionH relativeFrom="column">
                <wp:posOffset>-43977</wp:posOffset>
              </wp:positionH>
              <wp:positionV relativeFrom="paragraph">
                <wp:posOffset>29845</wp:posOffset>
              </wp:positionV>
              <wp:extent cx="6315740" cy="4342"/>
              <wp:effectExtent l="0" t="0" r="27940" b="34290"/>
              <wp:wrapNone/>
              <wp:docPr id="4" name="直接连接符 4"/>
              <wp:cNvGraphicFramePr/>
              <a:graphic xmlns:a="http://schemas.openxmlformats.org/drawingml/2006/main">
                <a:graphicData uri="http://schemas.microsoft.com/office/word/2010/wordprocessingShape">
                  <wps:wsp xmlns:wps="http://schemas.microsoft.com/office/word/2010/wordprocessingShape">
                    <wps:cNvCnPr/>
                    <wps:spPr>
                      <a:xfrm flipV="1">
                        <a:off x="0" y="0"/>
                        <a:ext cx="6315740" cy="4342"/>
                      </a:xfrm>
                      <a:prstGeom prst="line">
                        <a:avLst/>
                      </a:prstGeom>
                      <a:ln w="9525">
                        <a:solidFill>
                          <a:srgbClr val="EE3123"/>
                        </a:solidFill>
                      </a:ln>
                    </wps:spPr>
                    <wps:style>
                      <a:lnRef idx="1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tx1"/>
                      </a:fontRef>
                    </wps:style>
                    <wps:bodyPr/>
                  </wps:wsp>
                </a:graphicData>
              </a:graphic>
              <wp14:sizeRelH relativeFrom="margin">
                <wp14:pctWidth>0</wp14:pctWidth>
              </wp14:sizeRelH>
            </wp:anchor>
          </w:drawing>
        </mc:Choice>
        <mc:Fallback>
          <w:pict>
            <v:line id="直接连接符 4" o:spid="_x0000_s2058" style="flip:y;mso-width-percent:0;mso-width-relative:margin;mso-wrap-distance-bottom:0;mso-wrap-distance-left:9pt;mso-wrap-distance-right:9pt;mso-wrap-distance-top:0;position:absolute;v-text-anchor:top;z-index:251668480" from="-3.45pt,2.35pt" to="493.85pt,2.7pt" fillcolor="this" stroked="t" strokecolor="#ee3123" strokeweight="0.75pt"/>
          </w:pict>
        </mc:Fallback>
      </mc:AlternateContent>
    </w:r>
  </w:p>
</w:ftr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ps="http://schemas.microsoft.com/office/word/2010/wordprocessingShape" mc:Ignorable="w14 w15 wp14 w16se w16cid">
  <w:p w:rsidR="0075537C" w:rsidRPr="005B7229" w:rsidP="00B61075" w14:paraId="71D70C14" w14:textId="674E8224">
    <w:pPr>
      <w:rPr>
        <w:rFonts w:eastAsia="黑体"/>
      </w:rPr>
    </w:pPr>
    <w:bookmarkStart w:id="16" w:name="_Hlk39682313"/>
    <w:bookmarkStart w:id="17" w:name="_Hlk39682314"/>
    <w:r w:rsidRPr="005B7229">
      <w:rPr>
        <w:rFonts w:ascii="Franklin Gothic Demi" w:eastAsia="黑体" w:hAnsi="Franklin Gothic Demi"/>
        <w:noProof/>
        <w:color w:val="FFFFFF" w:themeColor="background1"/>
        <w:sz w:val="28"/>
      </w:rPr>
      <mc:AlternateContent>
        <mc:Choice Requires="wps">
          <w:drawing>
            <wp:anchor distT="45720" distB="45720" distL="114300" distR="114300" simplePos="0" relativeHeight="251658240" behindDoc="0" locked="0" layoutInCell="1" allowOverlap="1">
              <wp:simplePos x="0" y="0"/>
              <wp:positionH relativeFrom="margin">
                <wp:posOffset>-5715</wp:posOffset>
              </wp:positionH>
              <wp:positionV relativeFrom="paragraph">
                <wp:posOffset>-248285</wp:posOffset>
              </wp:positionV>
              <wp:extent cx="6143625" cy="356870"/>
              <wp:effectExtent l="0" t="0" r="0" b="5080"/>
              <wp:wrapSquare wrapText="bothSides"/>
              <wp:docPr id="48" name="Text Box 2"/>
              <wp:cNvGraphicFramePr/>
              <a:graphic xmlns:a="http://schemas.openxmlformats.org/drawingml/2006/main">
                <a:graphicData uri="http://schemas.microsoft.com/office/word/2010/wordprocessingShape">
                  <wps:wsp xmlns:wps="http://schemas.microsoft.com/office/word/2010/wordprocessingShape"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6143625" cy="356870"/>
                      </a:xfrm>
                      <a:prstGeom prst="rect">
                        <a:avLst/>
                      </a:prstGeom>
                      <a:noFill/>
                      <a:ln w="9525">
                        <a:noFill/>
                        <a:miter lim="800000"/>
                        <a:headEnd/>
                        <a:tailEnd/>
                      </a:ln>
                      <a:effectLst/>
                    </wps:spPr>
                    <wps:txbx>
                      <w:txbxContent>
                        <w:p w:rsidR="0075537C" w:rsidRPr="00607E32" w:rsidP="003C5FCD" w14:textId="478D3AF6">
                          <w:pPr>
                            <w:spacing w:line="0" w:lineRule="atLeast"/>
                            <w:jc w:val="center"/>
                            <w:rPr>
                              <w:rFonts w:cs="宋体"/>
                              <w:b/>
                              <w:color w:val="000000" w:themeColor="text1"/>
                            </w:rPr>
                          </w:pPr>
                          <w:r w:rsidRPr="00D81D3D">
                            <w:rPr>
                              <w:rFonts w:cs="Calibri" w:hint="eastAsia"/>
                              <w:b/>
                              <w:color w:val="000000" w:themeColor="text1"/>
                            </w:rPr>
                            <w:t>2024</w:t>
                          </w:r>
                          <w:r w:rsidRPr="00D81D3D">
                            <w:rPr>
                              <w:rFonts w:cs="Calibri" w:hint="eastAsia"/>
                              <w:b/>
                              <w:color w:val="000000" w:themeColor="text1"/>
                            </w:rPr>
                            <w:t>年东南亚</w:t>
                          </w:r>
                          <w:r w:rsidRPr="00D81D3D">
                            <w:rPr>
                              <w:rFonts w:cs="Calibri" w:hint="eastAsia"/>
                              <w:b/>
                              <w:color w:val="000000" w:themeColor="text1"/>
                            </w:rPr>
                            <w:t>电子式热分配表(HCA)</w:t>
                          </w:r>
                          <w:r w:rsidRPr="00D81D3D">
                            <w:rPr>
                              <w:rFonts w:cs="Calibri" w:hint="eastAsia"/>
                              <w:b/>
                              <w:color w:val="000000" w:themeColor="text1"/>
                            </w:rPr>
                            <w:t>市场深度研究及预测报告</w:t>
                          </w:r>
                        </w:p>
                      </w:txbxContent>
                    </wps:txbx>
                    <wps:bodyPr rot="0" vert="horz" wrap="square" lIns="91440" tIns="45720" rIns="91440" bIns="45720" anchor="ctr" anchorCtr="0"/>
                  </wps:wsp>
                </a:graphicData>
              </a:graphic>
              <wp14:sizeRelH relativeFrom="margin">
                <wp14:pctWidth>0</wp14:pctWidth>
              </wp14:sizeRelH>
              <wp14:sizeRelV relativeFrom="margin">
                <wp14:pctHeight>0</wp14:pctHeight>
              </wp14:sizeRelV>
            </wp:anchor>
          </w:drawing>
        </mc:Choice>
        <mc:Fallback>
          <w:pict>
            <v:shapetype id="_x0000_t202" coordsize="21600,21600" o:spt="202" path="m,l,21600r21600,l21600,xe">
              <v:stroke joinstyle="miter"/>
              <v:path gradientshapeok="t" o:connecttype="rect"/>
            </v:shapetype>
            <v:shape id="Text Box 2" o:spid="_x0000_s2049" type="#_x0000_t202" style="width:483.75pt;height:28.1pt;margin-top:-19.55pt;margin-left:-0.45pt;mso-height-percent:0;mso-height-relative:margin;mso-position-horizontal-relative:margin;mso-width-percent:0;mso-width-relative:margin;mso-wrap-distance-bottom:3.6pt;mso-wrap-distance-left:9pt;mso-wrap-distance-right:9pt;mso-wrap-distance-top:3.6pt;mso-wrap-style:square;position:absolute;visibility:visible;v-text-anchor:middle;z-index:251659264" filled="f" stroked="f">
              <v:textbox>
                <w:txbxContent>
                  <w:p w:rsidR="0075537C" w:rsidRPr="00607E32" w:rsidP="003C5FCD" w14:paraId="459CBB36" w14:textId="478D3AF6">
                    <w:pPr>
                      <w:spacing w:line="0" w:lineRule="atLeast"/>
                      <w:jc w:val="center"/>
                      <w:rPr>
                        <w:rFonts w:cs="宋体"/>
                        <w:b/>
                        <w:color w:val="000000" w:themeColor="text1"/>
                      </w:rPr>
                    </w:pPr>
                    <w:r w:rsidRPr="00D81D3D">
                      <w:rPr>
                        <w:rFonts w:cs="Calibri" w:hint="eastAsia"/>
                        <w:b/>
                        <w:color w:val="000000" w:themeColor="text1"/>
                      </w:rPr>
                      <w:t>2024</w:t>
                    </w:r>
                    <w:r w:rsidRPr="00D81D3D">
                      <w:rPr>
                        <w:rFonts w:cs="Calibri" w:hint="eastAsia"/>
                        <w:b/>
                        <w:color w:val="000000" w:themeColor="text1"/>
                      </w:rPr>
                      <w:t>年东南亚</w:t>
                    </w:r>
                    <w:r w:rsidRPr="00D81D3D">
                      <w:rPr>
                        <w:rFonts w:cs="Calibri" w:hint="eastAsia"/>
                        <w:b/>
                        <w:color w:val="000000" w:themeColor="text1"/>
                      </w:rPr>
                      <w:t>电子式热分配表(HCA)</w:t>
                    </w:r>
                    <w:r w:rsidRPr="00D81D3D">
                      <w:rPr>
                        <w:rFonts w:cs="Calibri" w:hint="eastAsia"/>
                        <w:b/>
                        <w:color w:val="000000" w:themeColor="text1"/>
                      </w:rPr>
                      <w:t>市场深度研究及预测报告</w:t>
                    </w:r>
                  </w:p>
                </w:txbxContent>
              </v:textbox>
              <w10:wrap type="square"/>
            </v:shape>
          </w:pict>
        </mc:Fallback>
      </mc:AlternateContent>
    </w:r>
    <w:r w:rsidRPr="005B7229">
      <w:rPr>
        <w:rFonts w:ascii="Franklin Gothic Demi" w:eastAsia="黑体" w:hAnsi="Franklin Gothic Demi"/>
        <w:noProof/>
        <w:color w:val="FFFFFF" w:themeColor="background1"/>
        <w:sz w:val="28"/>
      </w:rPr>
      <mc:AlternateContent>
        <mc:Choice Requires="wps">
          <w:drawing>
            <wp:anchor distT="0" distB="0" distL="114300" distR="114300" simplePos="0" relativeHeight="251660288" behindDoc="0" locked="0" layoutInCell="1" allowOverlap="1">
              <wp:simplePos x="0" y="0"/>
              <wp:positionH relativeFrom="column">
                <wp:posOffset>-67945</wp:posOffset>
              </wp:positionH>
              <wp:positionV relativeFrom="paragraph">
                <wp:posOffset>128743</wp:posOffset>
              </wp:positionV>
              <wp:extent cx="6315740" cy="4342"/>
              <wp:effectExtent l="0" t="0" r="27940" b="34290"/>
              <wp:wrapNone/>
              <wp:docPr id="47" name="直接连接符 47"/>
              <wp:cNvGraphicFramePr/>
              <a:graphic xmlns:a="http://schemas.openxmlformats.org/drawingml/2006/main">
                <a:graphicData uri="http://schemas.microsoft.com/office/word/2010/wordprocessingShape">
                  <wps:wsp xmlns:wps="http://schemas.microsoft.com/office/word/2010/wordprocessingShape">
                    <wps:cNvCnPr/>
                    <wps:spPr>
                      <a:xfrm flipV="1">
                        <a:off x="0" y="0"/>
                        <a:ext cx="6315740" cy="4342"/>
                      </a:xfrm>
                      <a:prstGeom prst="line">
                        <a:avLst/>
                      </a:prstGeom>
                      <a:ln w="9525">
                        <a:solidFill>
                          <a:srgbClr val="EE3123"/>
                        </a:solidFill>
                      </a:ln>
                    </wps:spPr>
                    <wps:style>
                      <a:lnRef idx="1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tx1"/>
                      </a:fontRef>
                    </wps:style>
                    <wps:bodyPr/>
                  </wps:wsp>
                </a:graphicData>
              </a:graphic>
              <wp14:sizeRelH relativeFrom="margin">
                <wp14:pctWidth>0</wp14:pctWidth>
              </wp14:sizeRelH>
            </wp:anchor>
          </w:drawing>
        </mc:Choice>
        <mc:Fallback>
          <w:pict>
            <v:line id="直接连接符 47" o:spid="_x0000_s2050" style="flip:y;mso-width-percent:0;mso-width-relative:margin;mso-wrap-distance-bottom:0;mso-wrap-distance-left:9pt;mso-wrap-distance-right:9pt;mso-wrap-distance-top:0;mso-wrap-style:square;position:absolute;visibility:visible;z-index:251661312" from="-5.35pt,10.15pt" to="491.95pt,10.5pt" strokecolor="#ee3123">
              <v:stroke joinstyle="miter"/>
            </v:line>
          </w:pict>
        </mc:Fallback>
      </mc:AlternateContent>
    </w:r>
    <w:bookmarkEnd w:id="16"/>
    <w:bookmarkEnd w:id="17"/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ps="http://schemas.microsoft.com/office/word/2010/wordprocessingShape" mc:Ignorable="w14 w15 wp14 w16se w16cid">
  <w:p w:rsidR="0075537C" w:rsidRPr="005B7229" w:rsidP="00B61075" w14:textId="674E8224">
    <w:pPr>
      <w:pStyle w:val="Normal0"/>
      <w:rPr>
        <w:rFonts w:eastAsia="黑体"/>
      </w:rPr>
    </w:pPr>
    <w:bookmarkStart w:id="18" w:name="_Hlk39682313_0"/>
    <w:bookmarkStart w:id="19" w:name="_Hlk39682314_0"/>
    <w:r w:rsidRPr="005B7229">
      <w:rPr>
        <w:rFonts w:ascii="Franklin Gothic Demi" w:eastAsia="黑体" w:hAnsi="Franklin Gothic Demi"/>
        <w:noProof/>
        <w:color w:val="FFFFFF" w:themeColor="background1"/>
        <w:sz w:val="28"/>
      </w:rPr>
      <mc:AlternateContent>
        <mc:Choice Requires="wps">
          <w:drawing>
            <wp:anchor distT="45720" distB="45720" distL="114300" distR="114300" simplePos="0" relativeHeight="251663360" behindDoc="0" locked="0" layoutInCell="1" allowOverlap="1">
              <wp:simplePos x="0" y="0"/>
              <wp:positionH relativeFrom="margin">
                <wp:posOffset>-5715</wp:posOffset>
              </wp:positionH>
              <wp:positionV relativeFrom="paragraph">
                <wp:posOffset>-248285</wp:posOffset>
              </wp:positionV>
              <wp:extent cx="6143625" cy="356870"/>
              <wp:effectExtent l="0" t="0" r="0" b="5080"/>
              <wp:wrapSquare wrapText="bothSides"/>
              <wp:docPr id="1992485624" name="Text Box 2"/>
              <wp:cNvGraphicFramePr/>
              <a:graphic xmlns:a="http://schemas.openxmlformats.org/drawingml/2006/main">
                <a:graphicData uri="http://schemas.microsoft.com/office/word/2010/wordprocessingShape">
                  <wps:wsp xmlns:wps="http://schemas.microsoft.com/office/word/2010/wordprocessingShape"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6143625" cy="356870"/>
                      </a:xfrm>
                      <a:prstGeom prst="rect">
                        <a:avLst/>
                      </a:prstGeom>
                      <a:noFill/>
                      <a:ln w="9525">
                        <a:noFill/>
                        <a:miter lim="800000"/>
                        <a:headEnd/>
                        <a:tailEnd/>
                      </a:ln>
                      <a:effectLst/>
                    </wps:spPr>
                    <wps:txbx>
                      <w:txbxContent>
                        <w:p w:rsidR="0075537C" w:rsidRPr="00607E32" w:rsidP="003C5FCD" w14:textId="478D3AF6">
                          <w:pPr>
                            <w:pStyle w:val="Normal0"/>
                            <w:spacing w:line="0" w:lineRule="atLeast"/>
                            <w:jc w:val="center"/>
                            <w:rPr>
                              <w:rFonts w:cs="宋体"/>
                              <w:b/>
                              <w:color w:val="000000" w:themeColor="text1"/>
                            </w:rPr>
                          </w:pPr>
                          <w:r w:rsidRPr="00D81D3D">
                            <w:rPr>
                              <w:rFonts w:cs="Calibri" w:hint="eastAsia"/>
                              <w:b/>
                              <w:color w:val="000000" w:themeColor="text1"/>
                            </w:rPr>
                            <w:t>2024</w:t>
                          </w:r>
                          <w:r w:rsidRPr="00D81D3D">
                            <w:rPr>
                              <w:rFonts w:cs="Calibri" w:hint="eastAsia"/>
                              <w:b/>
                              <w:color w:val="000000" w:themeColor="text1"/>
                            </w:rPr>
                            <w:t>年东南亚</w:t>
                          </w:r>
                          <w:r w:rsidRPr="00D81D3D">
                            <w:rPr>
                              <w:rFonts w:cs="Calibri" w:hint="eastAsia"/>
                              <w:b/>
                              <w:color w:val="000000" w:themeColor="text1"/>
                            </w:rPr>
                            <w:t>电子式热分配表(HCA)</w:t>
                          </w:r>
                          <w:r w:rsidRPr="00D81D3D">
                            <w:rPr>
                              <w:rFonts w:cs="Calibri" w:hint="eastAsia"/>
                              <w:b/>
                              <w:color w:val="000000" w:themeColor="text1"/>
                            </w:rPr>
                            <w:t>市场深度研究及预测报告</w:t>
                          </w:r>
                        </w:p>
                      </w:txbxContent>
                    </wps:txbx>
                    <wps:bodyPr rot="0" vert="horz" wrap="square" lIns="91440" tIns="45720" rIns="91440" bIns="45720" anchor="ctr" anchorCtr="0"/>
                  </wps:wsp>
                </a:graphicData>
              </a:graphic>
              <wp14:sizeRelH relativeFrom="margin">
                <wp14:pctWidth>0</wp14:pctWidth>
              </wp14:sizeRelH>
              <wp14:sizeRelV relativeFrom="margin">
                <wp14:pctHeight>0</wp14:pctHeight>
              </wp14:sizeRelV>
            </wp:anchor>
          </w:drawing>
        </mc:Choice>
        <mc:Fallback>
          <w:pict>
            <v:shapetype id="_x0000_t202" coordsize="21600,21600" o:spt="202" path="m,l,21600r21600,l21600,xe">
              <v:stroke joinstyle="miter"/>
              <v:path gradientshapeok="t" o:connecttype="rect"/>
            </v:shapetype>
            <v:shape id="Text Box 2" o:spid="_x0000_s2053" type="#_x0000_t202" style="width:483.75pt;height:28.1pt;margin-top:-19.55pt;margin-left:-0.45pt;mso-height-percent:0;mso-height-relative:margin;mso-position-horizontal-relative:margin;mso-width-percent:0;mso-width-relative:margin;mso-wrap-distance-bottom:3.6pt;mso-wrap-distance-left:9pt;mso-wrap-distance-right:9pt;mso-wrap-distance-top:3.6pt;position:absolute;v-text-anchor:middle;z-index:251662336" filled="f" fillcolor="this" stroked="f" strokeweight="0.75pt">
              <v:textbox>
                <w:txbxContent>
                  <w:p w:rsidR="0075537C" w:rsidRPr="00607E32" w:rsidP="003C5FCD" w14:textId="478D3AF6">
                    <w:pPr>
                      <w:pStyle w:val="Normal0"/>
                      <w:spacing w:line="0" w:lineRule="atLeast"/>
                      <w:jc w:val="center"/>
                      <w:rPr>
                        <w:rFonts w:cs="宋体"/>
                        <w:b/>
                        <w:color w:val="000000" w:themeColor="text1"/>
                      </w:rPr>
                    </w:pPr>
                    <w:r w:rsidRPr="00D81D3D">
                      <w:rPr>
                        <w:rFonts w:cs="Calibri" w:hint="eastAsia"/>
                        <w:b/>
                        <w:color w:val="000000" w:themeColor="text1"/>
                      </w:rPr>
                      <w:t>2024</w:t>
                    </w:r>
                    <w:r w:rsidRPr="00D81D3D">
                      <w:rPr>
                        <w:rFonts w:cs="Calibri" w:hint="eastAsia"/>
                        <w:b/>
                        <w:color w:val="000000" w:themeColor="text1"/>
                      </w:rPr>
                      <w:t>年东南亚</w:t>
                    </w:r>
                    <w:r w:rsidRPr="00D81D3D">
                      <w:rPr>
                        <w:rFonts w:cs="Calibri" w:hint="eastAsia"/>
                        <w:b/>
                        <w:color w:val="000000" w:themeColor="text1"/>
                      </w:rPr>
                      <w:t>电子式热分配表(HCA)</w:t>
                    </w:r>
                    <w:r w:rsidRPr="00D81D3D">
                      <w:rPr>
                        <w:rFonts w:cs="Calibri" w:hint="eastAsia"/>
                        <w:b/>
                        <w:color w:val="000000" w:themeColor="text1"/>
                      </w:rPr>
                      <w:t>市场深度研究及预测报告</w:t>
                    </w:r>
                  </w:p>
                </w:txbxContent>
              </v:textbox>
              <w10:wrap type="square"/>
            </v:shape>
          </w:pict>
        </mc:Fallback>
      </mc:AlternateContent>
    </w:r>
    <w:r w:rsidRPr="005B7229">
      <w:rPr>
        <w:rFonts w:ascii="Franklin Gothic Demi" w:eastAsia="黑体" w:hAnsi="Franklin Gothic Demi"/>
        <w:noProof/>
        <w:color w:val="FFFFFF" w:themeColor="background1"/>
        <w:sz w:val="28"/>
      </w:rPr>
      <mc:AlternateContent>
        <mc:Choice Requires="wps">
          <w:drawing>
            <wp:anchor distT="0" distB="0" distL="114300" distR="114300" simplePos="0" relativeHeight="251665408" behindDoc="0" locked="0" layoutInCell="1" allowOverlap="1">
              <wp:simplePos x="0" y="0"/>
              <wp:positionH relativeFrom="column">
                <wp:posOffset>-67945</wp:posOffset>
              </wp:positionH>
              <wp:positionV relativeFrom="paragraph">
                <wp:posOffset>128743</wp:posOffset>
              </wp:positionV>
              <wp:extent cx="6315740" cy="4342"/>
              <wp:effectExtent l="0" t="0" r="27940" b="34290"/>
              <wp:wrapNone/>
              <wp:docPr id="1466029121" name="直接连接符 47"/>
              <wp:cNvGraphicFramePr/>
              <a:graphic xmlns:a="http://schemas.openxmlformats.org/drawingml/2006/main">
                <a:graphicData uri="http://schemas.microsoft.com/office/word/2010/wordprocessingShape">
                  <wps:wsp xmlns:wps="http://schemas.microsoft.com/office/word/2010/wordprocessingShape">
                    <wps:cNvCnPr/>
                    <wps:spPr>
                      <a:xfrm flipV="1">
                        <a:off x="0" y="0"/>
                        <a:ext cx="6315740" cy="4342"/>
                      </a:xfrm>
                      <a:prstGeom prst="line">
                        <a:avLst/>
                      </a:prstGeom>
                      <a:ln w="9525">
                        <a:solidFill>
                          <a:srgbClr val="EE3123"/>
                        </a:solidFill>
                      </a:ln>
                    </wps:spPr>
                    <wps:style>
                      <a:lnRef idx="1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tx1"/>
                      </a:fontRef>
                    </wps:style>
                    <wps:bodyPr/>
                  </wps:wsp>
                </a:graphicData>
              </a:graphic>
              <wp14:sizeRelH relativeFrom="margin">
                <wp14:pctWidth>0</wp14:pctWidth>
              </wp14:sizeRelH>
            </wp:anchor>
          </w:drawing>
        </mc:Choice>
        <mc:Fallback>
          <w:pict>
            <v:line id="直接连接符 47" o:spid="_x0000_s2054" style="flip:y;mso-width-percent:0;mso-width-relative:margin;mso-wrap-distance-bottom:0;mso-wrap-distance-left:9pt;mso-wrap-distance-right:9pt;mso-wrap-distance-top:0;position:absolute;v-text-anchor:top;z-index:251664384" from="-5.35pt,10.15pt" to="491.95pt,10.5pt" fillcolor="this" stroked="t" strokecolor="#ee3123" strokeweight="0.75pt"/>
          </w:pict>
        </mc:Fallback>
      </mc:AlternateContent>
    </w:r>
    <w:bookmarkEnd w:id="18"/>
    <w:bookmarkEnd w:id="19"/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ps="http://schemas.microsoft.com/office/word/2010/wordprocessingShape" mc:Ignorable="w14 w15 wp14 w16se w16cid">
  <w:abstractNum w:abstractNumId="0">
    <w:nsid w:val="009C7DEC"/>
    <w:multiLevelType w:val="hybridMultilevel"/>
    <w:tmpl w:val="194CEDEA"/>
    <w:lvl w:ilvl="0">
      <w:start w:val="1"/>
      <w:numFmt w:val="bullet"/>
      <w:lvlText w:val=""/>
      <w:lvlJc w:val="left"/>
      <w:pPr>
        <w:ind w:left="420" w:hanging="420"/>
      </w:pPr>
      <w:rPr>
        <w:rFonts w:ascii="Wingdings" w:hAnsi="Wingdings" w:hint="default"/>
        <w:color w:val="EE3123"/>
      </w:rPr>
    </w:lvl>
    <w:lvl w:ilvl="1">
      <w:start w:val="1"/>
      <w:numFmt w:val="bullet"/>
      <w:lvlText w:val=""/>
      <w:lvlJc w:val="left"/>
      <w:pPr>
        <w:ind w:left="840" w:hanging="420"/>
      </w:pPr>
      <w:rPr>
        <w:rFonts w:ascii="Wingdings" w:hAnsi="Wingdings" w:hint="default"/>
        <w:color w:val="002060"/>
      </w:rPr>
    </w:lvl>
    <w:lvl w:ilvl="2" w:tentative="1">
      <w:start w:val="1"/>
      <w:numFmt w:val="bullet"/>
      <w:lvlText w:val=""/>
      <w:lvlJc w:val="left"/>
      <w:pPr>
        <w:ind w:left="1260" w:hanging="420"/>
      </w:pPr>
      <w:rPr>
        <w:rFonts w:ascii="Wingdings" w:hAnsi="Wingdings" w:hint="default"/>
      </w:rPr>
    </w:lvl>
    <w:lvl w:ilvl="3" w:tentative="1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 w:tentative="1">
      <w:start w:val="1"/>
      <w:numFmt w:val="bullet"/>
      <w:lvlText w:val=""/>
      <w:lvlJc w:val="left"/>
      <w:pPr>
        <w:ind w:left="2100" w:hanging="420"/>
      </w:pPr>
      <w:rPr>
        <w:rFonts w:ascii="Wingdings" w:hAnsi="Wingdings" w:hint="default"/>
      </w:rPr>
    </w:lvl>
    <w:lvl w:ilvl="5" w:tentative="1">
      <w:start w:val="1"/>
      <w:numFmt w:val="bullet"/>
      <w:lvlText w:val=""/>
      <w:lvlJc w:val="left"/>
      <w:pPr>
        <w:ind w:left="2520" w:hanging="420"/>
      </w:pPr>
      <w:rPr>
        <w:rFonts w:ascii="Wingdings" w:hAnsi="Wingdings" w:hint="default"/>
      </w:rPr>
    </w:lvl>
    <w:lvl w:ilvl="6" w:tentative="1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 w:tentative="1">
      <w:start w:val="1"/>
      <w:numFmt w:val="bullet"/>
      <w:lvlText w:val=""/>
      <w:lvlJc w:val="left"/>
      <w:pPr>
        <w:ind w:left="3360" w:hanging="420"/>
      </w:pPr>
      <w:rPr>
        <w:rFonts w:ascii="Wingdings" w:hAnsi="Wingdings" w:hint="default"/>
      </w:rPr>
    </w:lvl>
    <w:lvl w:ilvl="8" w:tentative="1">
      <w:start w:val="1"/>
      <w:numFmt w:val="bullet"/>
      <w:lvlText w:val=""/>
      <w:lvlJc w:val="left"/>
      <w:pPr>
        <w:ind w:left="3780" w:hanging="420"/>
      </w:pPr>
      <w:rPr>
        <w:rFonts w:ascii="Wingdings" w:hAnsi="Wingdings" w:hint="default"/>
      </w:rPr>
    </w:lvl>
  </w:abstractNum>
  <w:abstractNum w:abstractNumId="1">
    <w:nsid w:val="06BA3B6B"/>
    <w:multiLevelType w:val="hybridMultilevel"/>
    <w:tmpl w:val="64C8AF72"/>
    <w:lvl w:ilvl="0">
      <w:start w:val="0"/>
      <w:numFmt w:val="bullet"/>
      <w:lvlText w:val=""/>
      <w:lvlJc w:val="left"/>
      <w:pPr>
        <w:ind w:left="840" w:hanging="420"/>
      </w:pPr>
      <w:rPr>
        <w:rFonts w:ascii="Wingdings" w:eastAsia="宋体" w:hAnsi="Wingdings" w:cs="Wingdings" w:hint="default"/>
        <w:color w:val="FF8200"/>
        <w:w w:val="102"/>
        <w:sz w:val="19"/>
        <w:szCs w:val="19"/>
      </w:rPr>
    </w:lvl>
    <w:lvl w:ilvl="1" w:tentative="1">
      <w:start w:val="1"/>
      <w:numFmt w:val="bullet"/>
      <w:lvlText w:val=""/>
      <w:lvlJc w:val="left"/>
      <w:pPr>
        <w:ind w:left="1260" w:hanging="420"/>
      </w:pPr>
      <w:rPr>
        <w:rFonts w:ascii="Wingdings" w:hAnsi="Wingdings" w:hint="default"/>
      </w:rPr>
    </w:lvl>
    <w:lvl w:ilvl="2" w:tentative="1">
      <w:start w:val="1"/>
      <w:numFmt w:val="bullet"/>
      <w:lvlText w:val=""/>
      <w:lvlJc w:val="left"/>
      <w:pPr>
        <w:ind w:left="1680" w:hanging="420"/>
      </w:pPr>
      <w:rPr>
        <w:rFonts w:ascii="Wingdings" w:hAnsi="Wingdings" w:hint="default"/>
      </w:rPr>
    </w:lvl>
    <w:lvl w:ilvl="3" w:tentative="1">
      <w:start w:val="1"/>
      <w:numFmt w:val="bullet"/>
      <w:lvlText w:val=""/>
      <w:lvlJc w:val="left"/>
      <w:pPr>
        <w:ind w:left="2100" w:hanging="420"/>
      </w:pPr>
      <w:rPr>
        <w:rFonts w:ascii="Wingdings" w:hAnsi="Wingdings" w:hint="default"/>
      </w:rPr>
    </w:lvl>
    <w:lvl w:ilvl="4" w:tentative="1">
      <w:start w:val="1"/>
      <w:numFmt w:val="bullet"/>
      <w:lvlText w:val=""/>
      <w:lvlJc w:val="left"/>
      <w:pPr>
        <w:ind w:left="2520" w:hanging="420"/>
      </w:pPr>
      <w:rPr>
        <w:rFonts w:ascii="Wingdings" w:hAnsi="Wingdings" w:hint="default"/>
      </w:rPr>
    </w:lvl>
    <w:lvl w:ilvl="5" w:tentative="1">
      <w:start w:val="1"/>
      <w:numFmt w:val="bullet"/>
      <w:lvlText w:val=""/>
      <w:lvlJc w:val="left"/>
      <w:pPr>
        <w:ind w:left="2940" w:hanging="420"/>
      </w:pPr>
      <w:rPr>
        <w:rFonts w:ascii="Wingdings" w:hAnsi="Wingdings" w:hint="default"/>
      </w:rPr>
    </w:lvl>
    <w:lvl w:ilvl="6" w:tentative="1">
      <w:start w:val="1"/>
      <w:numFmt w:val="bullet"/>
      <w:lvlText w:val=""/>
      <w:lvlJc w:val="left"/>
      <w:pPr>
        <w:ind w:left="3360" w:hanging="420"/>
      </w:pPr>
      <w:rPr>
        <w:rFonts w:ascii="Wingdings" w:hAnsi="Wingdings" w:hint="default"/>
      </w:rPr>
    </w:lvl>
    <w:lvl w:ilvl="7" w:tentative="1">
      <w:start w:val="1"/>
      <w:numFmt w:val="bullet"/>
      <w:lvlText w:val=""/>
      <w:lvlJc w:val="left"/>
      <w:pPr>
        <w:ind w:left="3780" w:hanging="420"/>
      </w:pPr>
      <w:rPr>
        <w:rFonts w:ascii="Wingdings" w:hAnsi="Wingdings" w:hint="default"/>
      </w:rPr>
    </w:lvl>
    <w:lvl w:ilvl="8" w:tentative="1">
      <w:start w:val="1"/>
      <w:numFmt w:val="bullet"/>
      <w:lvlText w:val=""/>
      <w:lvlJc w:val="left"/>
      <w:pPr>
        <w:ind w:left="4200" w:hanging="420"/>
      </w:pPr>
      <w:rPr>
        <w:rFonts w:ascii="Wingdings" w:hAnsi="Wingdings" w:hint="default"/>
      </w:rPr>
    </w:lvl>
  </w:abstractNum>
  <w:abstractNum w:abstractNumId="2">
    <w:nsid w:val="0A2A2F5A"/>
    <w:multiLevelType w:val="multilevel"/>
    <w:tmpl w:val="BC9C405C"/>
    <w:lvl w:ilvl="0">
      <w:start w:val="0"/>
      <w:numFmt w:val="bullet"/>
      <w:lvlText w:val="▪"/>
      <w:lvlJc w:val="left"/>
      <w:pPr>
        <w:tabs>
          <w:tab w:val="num" w:pos="170"/>
        </w:tabs>
        <w:ind w:left="420" w:hanging="420"/>
      </w:pPr>
      <w:rPr>
        <w:rFonts w:ascii="Microsoft Sans Serif" w:eastAsia="宋体" w:hAnsi="Microsoft Sans Serif" w:cs="Microsoft Sans Serif" w:hint="default"/>
        <w:spacing w:val="-20"/>
        <w:w w:val="138"/>
        <w:sz w:val="14"/>
        <w:szCs w:val="14"/>
      </w:rPr>
    </w:lvl>
    <w:lvl w:ilvl="1">
      <w:start w:val="1"/>
      <w:numFmt w:val="bullet"/>
      <w:lvlText w:val=""/>
      <w:lvlJc w:val="left"/>
      <w:pPr>
        <w:ind w:left="840" w:hanging="420"/>
      </w:pPr>
      <w:rPr>
        <w:rFonts w:ascii="Wingdings" w:hAnsi="Wingdings" w:hint="default"/>
      </w:rPr>
    </w:lvl>
    <w:lvl w:ilvl="2">
      <w:start w:val="1"/>
      <w:numFmt w:val="bullet"/>
      <w:lvlText w:val=""/>
      <w:lvlJc w:val="left"/>
      <w:pPr>
        <w:ind w:left="1260" w:hanging="420"/>
      </w:pPr>
      <w:rPr>
        <w:rFonts w:ascii="Wingdings" w:hAnsi="Wingdings" w:hint="default"/>
      </w:rPr>
    </w:lvl>
    <w:lvl w:ilvl="3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>
      <w:start w:val="1"/>
      <w:numFmt w:val="bullet"/>
      <w:lvlText w:val=""/>
      <w:lvlJc w:val="left"/>
      <w:pPr>
        <w:ind w:left="2100" w:hanging="420"/>
      </w:pPr>
      <w:rPr>
        <w:rFonts w:ascii="Wingdings" w:hAnsi="Wingdings" w:hint="default"/>
      </w:rPr>
    </w:lvl>
    <w:lvl w:ilvl="5">
      <w:start w:val="1"/>
      <w:numFmt w:val="bullet"/>
      <w:lvlText w:val=""/>
      <w:lvlJc w:val="left"/>
      <w:pPr>
        <w:ind w:left="2520" w:hanging="420"/>
      </w:pPr>
      <w:rPr>
        <w:rFonts w:ascii="Wingdings" w:hAnsi="Wingdings" w:hint="default"/>
      </w:rPr>
    </w:lvl>
    <w:lvl w:ilvl="6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>
      <w:start w:val="1"/>
      <w:numFmt w:val="bullet"/>
      <w:lvlText w:val=""/>
      <w:lvlJc w:val="left"/>
      <w:pPr>
        <w:ind w:left="3360" w:hanging="420"/>
      </w:pPr>
      <w:rPr>
        <w:rFonts w:ascii="Wingdings" w:hAnsi="Wingdings" w:hint="default"/>
      </w:rPr>
    </w:lvl>
    <w:lvl w:ilvl="8">
      <w:start w:val="1"/>
      <w:numFmt w:val="bullet"/>
      <w:lvlText w:val=""/>
      <w:lvlJc w:val="left"/>
      <w:pPr>
        <w:ind w:left="3780" w:hanging="420"/>
      </w:pPr>
      <w:rPr>
        <w:rFonts w:ascii="Wingdings" w:hAnsi="Wingdings" w:hint="default"/>
      </w:rPr>
    </w:lvl>
  </w:abstractNum>
  <w:abstractNum w:abstractNumId="3">
    <w:nsid w:val="125F0C85"/>
    <w:multiLevelType w:val="multilevel"/>
    <w:tmpl w:val="600AF972"/>
    <w:lvl w:ilvl="0">
      <w:start w:val="1"/>
      <w:numFmt w:val="decimal"/>
      <w:pStyle w:val="FigureStyle"/>
      <w:suff w:val="nothing"/>
      <w:lvlText w:val="图 %1："/>
      <w:lvlJc w:val="left"/>
      <w:pPr>
        <w:ind w:left="0" w:firstLine="0"/>
      </w:pPr>
      <w:rPr>
        <w:rFonts w:ascii="Times New Roman" w:eastAsia="宋体" w:hAnsi="Times New Roman" w:hint="default"/>
        <w:b/>
        <w:i w:val="0"/>
        <w:color w:val="FFA300"/>
        <w:sz w:val="24"/>
      </w:rPr>
    </w:lvl>
    <w:lvl w:ilvl="1">
      <w:start w:val="1"/>
      <w:numFmt w:val="lowerLetter"/>
      <w:lvlText w:val="%2)"/>
      <w:lvlJc w:val="left"/>
      <w:pPr>
        <w:ind w:left="840" w:hanging="420"/>
      </w:pPr>
      <w:rPr>
        <w:rFonts w:hint="eastAsia"/>
      </w:rPr>
    </w:lvl>
    <w:lvl w:ilvl="2">
      <w:start w:val="1"/>
      <w:numFmt w:val="lowerRoman"/>
      <w:lvlText w:val="%3."/>
      <w:lvlJc w:val="right"/>
      <w:pPr>
        <w:ind w:left="1260" w:hanging="420"/>
      </w:pPr>
      <w:rPr>
        <w:rFonts w:hint="eastAsia"/>
      </w:rPr>
    </w:lvl>
    <w:lvl w:ilvl="3">
      <w:start w:val="1"/>
      <w:numFmt w:val="decimal"/>
      <w:lvlText w:val="%4."/>
      <w:lvlJc w:val="left"/>
      <w:pPr>
        <w:ind w:left="1680" w:hanging="420"/>
      </w:pPr>
      <w:rPr>
        <w:rFonts w:hint="eastAsia"/>
      </w:rPr>
    </w:lvl>
    <w:lvl w:ilvl="4">
      <w:start w:val="1"/>
      <w:numFmt w:val="lowerLetter"/>
      <w:lvlText w:val="%5)"/>
      <w:lvlJc w:val="left"/>
      <w:pPr>
        <w:ind w:left="2100" w:hanging="420"/>
      </w:pPr>
      <w:rPr>
        <w:rFonts w:hint="eastAsia"/>
      </w:rPr>
    </w:lvl>
    <w:lvl w:ilvl="5">
      <w:start w:val="1"/>
      <w:numFmt w:val="lowerRoman"/>
      <w:lvlText w:val="%6."/>
      <w:lvlJc w:val="right"/>
      <w:pPr>
        <w:ind w:left="2520" w:hanging="420"/>
      </w:pPr>
      <w:rPr>
        <w:rFonts w:hint="eastAsia"/>
      </w:rPr>
    </w:lvl>
    <w:lvl w:ilvl="6">
      <w:start w:val="1"/>
      <w:numFmt w:val="decimal"/>
      <w:lvlText w:val="%7."/>
      <w:lvlJc w:val="left"/>
      <w:pPr>
        <w:ind w:left="2940" w:hanging="420"/>
      </w:pPr>
      <w:rPr>
        <w:rFonts w:hint="eastAsia"/>
      </w:rPr>
    </w:lvl>
    <w:lvl w:ilvl="7">
      <w:start w:val="1"/>
      <w:numFmt w:val="lowerLetter"/>
      <w:lvlText w:val="%8)"/>
      <w:lvlJc w:val="left"/>
      <w:pPr>
        <w:ind w:left="3360" w:hanging="420"/>
      </w:pPr>
      <w:rPr>
        <w:rFonts w:hint="eastAsia"/>
      </w:rPr>
    </w:lvl>
    <w:lvl w:ilvl="8">
      <w:start w:val="1"/>
      <w:numFmt w:val="lowerRoman"/>
      <w:lvlText w:val="%9."/>
      <w:lvlJc w:val="right"/>
      <w:pPr>
        <w:ind w:left="3780" w:hanging="420"/>
      </w:pPr>
      <w:rPr>
        <w:rFonts w:hint="eastAsia"/>
      </w:rPr>
    </w:lvl>
  </w:abstractNum>
  <w:abstractNum w:abstractNumId="4">
    <w:nsid w:val="15D12010"/>
    <w:multiLevelType w:val="hybridMultilevel"/>
    <w:tmpl w:val="65969720"/>
    <w:lvl w:ilvl="0">
      <w:start w:val="0"/>
      <w:numFmt w:val="bullet"/>
      <w:lvlText w:val=""/>
      <w:lvlJc w:val="left"/>
      <w:pPr>
        <w:ind w:left="840" w:hanging="420"/>
      </w:pPr>
      <w:rPr>
        <w:rFonts w:ascii="Calibri" w:eastAsia="宋体" w:hAnsi="Calibri" w:cs="Wingdings" w:hint="default"/>
        <w:color w:val="FF8200"/>
        <w:w w:val="102"/>
        <w:sz w:val="19"/>
        <w:szCs w:val="19"/>
      </w:rPr>
    </w:lvl>
    <w:lvl w:ilvl="1" w:tentative="1">
      <w:start w:val="1"/>
      <w:numFmt w:val="bullet"/>
      <w:lvlText w:val=""/>
      <w:lvlJc w:val="left"/>
      <w:pPr>
        <w:ind w:left="1260" w:hanging="420"/>
      </w:pPr>
      <w:rPr>
        <w:rFonts w:ascii="Wingdings" w:hAnsi="Wingdings" w:hint="default"/>
      </w:rPr>
    </w:lvl>
    <w:lvl w:ilvl="2" w:tentative="1">
      <w:start w:val="1"/>
      <w:numFmt w:val="bullet"/>
      <w:lvlText w:val=""/>
      <w:lvlJc w:val="left"/>
      <w:pPr>
        <w:ind w:left="1680" w:hanging="420"/>
      </w:pPr>
      <w:rPr>
        <w:rFonts w:ascii="Wingdings" w:hAnsi="Wingdings" w:hint="default"/>
      </w:rPr>
    </w:lvl>
    <w:lvl w:ilvl="3" w:tentative="1">
      <w:start w:val="1"/>
      <w:numFmt w:val="bullet"/>
      <w:lvlText w:val=""/>
      <w:lvlJc w:val="left"/>
      <w:pPr>
        <w:ind w:left="2100" w:hanging="420"/>
      </w:pPr>
      <w:rPr>
        <w:rFonts w:ascii="Wingdings" w:hAnsi="Wingdings" w:hint="default"/>
      </w:rPr>
    </w:lvl>
    <w:lvl w:ilvl="4" w:tentative="1">
      <w:start w:val="1"/>
      <w:numFmt w:val="bullet"/>
      <w:lvlText w:val=""/>
      <w:lvlJc w:val="left"/>
      <w:pPr>
        <w:ind w:left="2520" w:hanging="420"/>
      </w:pPr>
      <w:rPr>
        <w:rFonts w:ascii="Wingdings" w:hAnsi="Wingdings" w:hint="default"/>
      </w:rPr>
    </w:lvl>
    <w:lvl w:ilvl="5" w:tentative="1">
      <w:start w:val="1"/>
      <w:numFmt w:val="bullet"/>
      <w:lvlText w:val=""/>
      <w:lvlJc w:val="left"/>
      <w:pPr>
        <w:ind w:left="2940" w:hanging="420"/>
      </w:pPr>
      <w:rPr>
        <w:rFonts w:ascii="Wingdings" w:hAnsi="Wingdings" w:hint="default"/>
      </w:rPr>
    </w:lvl>
    <w:lvl w:ilvl="6" w:tentative="1">
      <w:start w:val="1"/>
      <w:numFmt w:val="bullet"/>
      <w:lvlText w:val=""/>
      <w:lvlJc w:val="left"/>
      <w:pPr>
        <w:ind w:left="3360" w:hanging="420"/>
      </w:pPr>
      <w:rPr>
        <w:rFonts w:ascii="Wingdings" w:hAnsi="Wingdings" w:hint="default"/>
      </w:rPr>
    </w:lvl>
    <w:lvl w:ilvl="7" w:tentative="1">
      <w:start w:val="1"/>
      <w:numFmt w:val="bullet"/>
      <w:lvlText w:val=""/>
      <w:lvlJc w:val="left"/>
      <w:pPr>
        <w:ind w:left="3780" w:hanging="420"/>
      </w:pPr>
      <w:rPr>
        <w:rFonts w:ascii="Wingdings" w:hAnsi="Wingdings" w:hint="default"/>
      </w:rPr>
    </w:lvl>
    <w:lvl w:ilvl="8" w:tentative="1">
      <w:start w:val="1"/>
      <w:numFmt w:val="bullet"/>
      <w:lvlText w:val=""/>
      <w:lvlJc w:val="left"/>
      <w:pPr>
        <w:ind w:left="4200" w:hanging="420"/>
      </w:pPr>
      <w:rPr>
        <w:rFonts w:ascii="Wingdings" w:hAnsi="Wingdings" w:hint="default"/>
      </w:rPr>
    </w:lvl>
  </w:abstractNum>
  <w:abstractNum w:abstractNumId="5">
    <w:nsid w:val="165DA0F2"/>
    <w:multiLevelType w:val="multilevel"/>
    <w:tmpl w:val="600AF972"/>
    <w:lvl w:ilvl="0">
      <w:start w:val="1"/>
      <w:numFmt w:val="decimal"/>
      <w:pStyle w:val="FigureStyle00"/>
      <w:suff w:val="nothing"/>
      <w:lvlText w:val="图 %1："/>
      <w:lvlJc w:val="left"/>
      <w:pPr>
        <w:ind w:left="0" w:firstLine="0"/>
      </w:pPr>
      <w:rPr>
        <w:rFonts w:ascii="Times New Roman" w:eastAsia="宋体" w:hAnsi="Times New Roman" w:hint="default"/>
        <w:b/>
        <w:i w:val="0"/>
        <w:color w:val="FFA300"/>
        <w:sz w:val="24"/>
      </w:rPr>
    </w:lvl>
    <w:lvl w:ilvl="1">
      <w:start w:val="1"/>
      <w:numFmt w:val="lowerLetter"/>
      <w:lvlText w:val="%2)"/>
      <w:lvlJc w:val="left"/>
      <w:pPr>
        <w:ind w:left="840" w:hanging="420"/>
      </w:pPr>
      <w:rPr>
        <w:rFonts w:hint="eastAsia"/>
      </w:rPr>
    </w:lvl>
    <w:lvl w:ilvl="2">
      <w:start w:val="1"/>
      <w:numFmt w:val="lowerRoman"/>
      <w:lvlText w:val="%3."/>
      <w:lvlJc w:val="right"/>
      <w:pPr>
        <w:ind w:left="1260" w:hanging="420"/>
      </w:pPr>
      <w:rPr>
        <w:rFonts w:hint="eastAsia"/>
      </w:rPr>
    </w:lvl>
    <w:lvl w:ilvl="3">
      <w:start w:val="1"/>
      <w:numFmt w:val="decimal"/>
      <w:lvlText w:val="%4."/>
      <w:lvlJc w:val="left"/>
      <w:pPr>
        <w:ind w:left="1680" w:hanging="420"/>
      </w:pPr>
      <w:rPr>
        <w:rFonts w:hint="eastAsia"/>
      </w:rPr>
    </w:lvl>
    <w:lvl w:ilvl="4">
      <w:start w:val="1"/>
      <w:numFmt w:val="lowerLetter"/>
      <w:lvlText w:val="%5)"/>
      <w:lvlJc w:val="left"/>
      <w:pPr>
        <w:ind w:left="2100" w:hanging="420"/>
      </w:pPr>
      <w:rPr>
        <w:rFonts w:hint="eastAsia"/>
      </w:rPr>
    </w:lvl>
    <w:lvl w:ilvl="5">
      <w:start w:val="1"/>
      <w:numFmt w:val="lowerRoman"/>
      <w:lvlText w:val="%6."/>
      <w:lvlJc w:val="right"/>
      <w:pPr>
        <w:ind w:left="2520" w:hanging="420"/>
      </w:pPr>
      <w:rPr>
        <w:rFonts w:hint="eastAsia"/>
      </w:rPr>
    </w:lvl>
    <w:lvl w:ilvl="6">
      <w:start w:val="1"/>
      <w:numFmt w:val="decimal"/>
      <w:lvlText w:val="%7."/>
      <w:lvlJc w:val="left"/>
      <w:pPr>
        <w:ind w:left="2940" w:hanging="420"/>
      </w:pPr>
      <w:rPr>
        <w:rFonts w:hint="eastAsia"/>
      </w:rPr>
    </w:lvl>
    <w:lvl w:ilvl="7">
      <w:start w:val="1"/>
      <w:numFmt w:val="lowerLetter"/>
      <w:lvlText w:val="%8)"/>
      <w:lvlJc w:val="left"/>
      <w:pPr>
        <w:ind w:left="3360" w:hanging="420"/>
      </w:pPr>
      <w:rPr>
        <w:rFonts w:hint="eastAsia"/>
      </w:rPr>
    </w:lvl>
    <w:lvl w:ilvl="8">
      <w:start w:val="1"/>
      <w:numFmt w:val="lowerRoman"/>
      <w:lvlText w:val="%9."/>
      <w:lvlJc w:val="right"/>
      <w:pPr>
        <w:ind w:left="3780" w:hanging="420"/>
      </w:pPr>
      <w:rPr>
        <w:rFonts w:hint="eastAsia"/>
      </w:rPr>
    </w:lvl>
  </w:abstractNum>
  <w:abstractNum w:abstractNumId="6">
    <w:nsid w:val="19726073"/>
    <w:multiLevelType w:val="multilevel"/>
    <w:tmpl w:val="C1B285C4"/>
    <w:lvl w:ilvl="0">
      <w:start w:val="1"/>
      <w:numFmt w:val="decimal"/>
      <w:pStyle w:val="TableStyle"/>
      <w:suff w:val="nothing"/>
      <w:lvlText w:val="表 %1："/>
      <w:lvlJc w:val="left"/>
      <w:pPr>
        <w:ind w:left="357" w:hanging="357"/>
      </w:pPr>
      <w:rPr>
        <w:rFonts w:ascii="Times New Roman" w:eastAsia="手头" w:hAnsi="Times New Roman" w:hint="default"/>
        <w:b/>
        <w:i w:val="0"/>
        <w:color w:val="FFA300"/>
      </w:rPr>
    </w:lvl>
    <w:lvl w:ilvl="1">
      <w:start w:val="1"/>
      <w:numFmt w:val="lowerLetter"/>
      <w:lvlText w:val="%2)"/>
      <w:lvlJc w:val="left"/>
      <w:pPr>
        <w:ind w:left="840" w:hanging="420"/>
      </w:pPr>
      <w:rPr>
        <w:rFonts w:hint="eastAsia"/>
      </w:rPr>
    </w:lvl>
    <w:lvl w:ilvl="2">
      <w:start w:val="1"/>
      <w:numFmt w:val="lowerRoman"/>
      <w:lvlText w:val="%3."/>
      <w:lvlJc w:val="right"/>
      <w:pPr>
        <w:ind w:left="1260" w:hanging="420"/>
      </w:pPr>
      <w:rPr>
        <w:rFonts w:hint="eastAsia"/>
        <w:b w:val="0"/>
        <w:bCs w:val="0"/>
        <w:i w:val="0"/>
        <w:iCs w:val="0"/>
        <w:caps w:val="0"/>
        <w:smallCaps w:val="0"/>
        <w:strike w:val="0"/>
        <w:dstrike w:val="0"/>
        <w:outline w:val="0"/>
        <w:shadow w:val="0"/>
        <w:emboss w:val="0"/>
        <w:imprint w:val="0"/>
        <w:noProof w:val="0"/>
        <w:vanish w:val="0"/>
        <w:spacing w:val="0"/>
        <w:position w:val="0"/>
        <w:u w:val="none"/>
        <w:effect w:val="none"/>
        <w:vertAlign w:val="baseline"/>
        <w:specVanish w:val="0"/>
        <w14:glow w14:rad="0">
          <w14:srgbClr w14:val="000000"/>
        </w14:glow>
        <w14:shadow w14:blurRad="0" w14:dist="0" w14:dir="0" w14:sx="0" w14:sy="0" w14:kx="0" w14:ky="0" w14:algn="none">
          <w14:srgbClr w14:val="000000"/>
        </w14:shadow>
        <w14:reflection w14:blurRad="0" w14:stA="0" w14:stPos="0" w14:endA="0" w14:endPos="0" w14:dist="0" w14:dir="0" w14:fadeDir="0" w14:sx="0" w14:sy="0" w14:kx="0" w14:ky="0" w14:algn="none"/>
        <w14:textOutline w14:w="0" w14:cap="rnd">
          <w14:noFill/>
          <w14:prstDash w14:val="solid"/>
          <w14:bevel/>
        </w14:textOutline>
        <w14:scene3d>
          <w14:camera w14:prst="orthographicFront"/>
          <w14:lightRig w14:rig="threePt" w14:dir="t">
            <w14:rot w14:lat="0" w14:lon="0" w14:rev="0"/>
          </w14:lightRig>
        </w14:scene3d>
        <w14:props3d/>
        <w14:ligatures w14:val="none"/>
        <w14:numForm w14:val="default"/>
        <w14:numSpacing w14:val="default"/>
        <w14:stylisticSets xmlns:w14="http://schemas.microsoft.com/office/word/2010/wordml"/>
        <w14:cntxtAlts w14:val="0"/>
      </w:rPr>
    </w:lvl>
    <w:lvl w:ilvl="3">
      <w:start w:val="1"/>
      <w:numFmt w:val="decimal"/>
      <w:lvlText w:val="%4."/>
      <w:lvlJc w:val="left"/>
      <w:pPr>
        <w:ind w:left="1680" w:hanging="420"/>
      </w:pPr>
      <w:rPr>
        <w:rFonts w:hint="eastAsia"/>
      </w:rPr>
    </w:lvl>
    <w:lvl w:ilvl="4">
      <w:start w:val="1"/>
      <w:numFmt w:val="lowerLetter"/>
      <w:lvlText w:val="%5)"/>
      <w:lvlJc w:val="left"/>
      <w:pPr>
        <w:ind w:left="2100" w:hanging="420"/>
      </w:pPr>
      <w:rPr>
        <w:rFonts w:hint="eastAsia"/>
      </w:rPr>
    </w:lvl>
    <w:lvl w:ilvl="5">
      <w:start w:val="1"/>
      <w:numFmt w:val="lowerRoman"/>
      <w:lvlText w:val="%6."/>
      <w:lvlJc w:val="right"/>
      <w:pPr>
        <w:ind w:left="2520" w:hanging="420"/>
      </w:pPr>
      <w:rPr>
        <w:rFonts w:hint="eastAsia"/>
      </w:rPr>
    </w:lvl>
    <w:lvl w:ilvl="6">
      <w:start w:val="1"/>
      <w:numFmt w:val="decimal"/>
      <w:lvlText w:val="%7."/>
      <w:lvlJc w:val="left"/>
      <w:pPr>
        <w:ind w:left="2940" w:hanging="420"/>
      </w:pPr>
      <w:rPr>
        <w:rFonts w:hint="eastAsia"/>
      </w:rPr>
    </w:lvl>
    <w:lvl w:ilvl="7">
      <w:start w:val="1"/>
      <w:numFmt w:val="lowerLetter"/>
      <w:lvlText w:val="%8)"/>
      <w:lvlJc w:val="left"/>
      <w:pPr>
        <w:ind w:left="3360" w:hanging="420"/>
      </w:pPr>
      <w:rPr>
        <w:rFonts w:hint="eastAsia"/>
      </w:rPr>
    </w:lvl>
    <w:lvl w:ilvl="8">
      <w:start w:val="1"/>
      <w:numFmt w:val="lowerRoman"/>
      <w:lvlText w:val="%9."/>
      <w:lvlJc w:val="right"/>
      <w:pPr>
        <w:ind w:left="3780" w:hanging="420"/>
      </w:pPr>
      <w:rPr>
        <w:rFonts w:hint="eastAsia"/>
      </w:rPr>
    </w:lvl>
  </w:abstractNum>
  <w:abstractNum w:abstractNumId="7">
    <w:nsid w:val="35E714D7"/>
    <w:multiLevelType w:val="multilevel"/>
    <w:tmpl w:val="592C71DC"/>
    <w:lvl w:ilvl="0">
      <w:start w:val="0"/>
      <w:numFmt w:val="bullet"/>
      <w:lvlText w:val="▪"/>
      <w:lvlJc w:val="left"/>
      <w:pPr>
        <w:tabs>
          <w:tab w:val="num" w:pos="170"/>
        </w:tabs>
        <w:ind w:left="420" w:hanging="420"/>
      </w:pPr>
      <w:rPr>
        <w:rFonts w:ascii="Microsoft Sans Serif" w:eastAsia="宋体" w:hAnsi="Microsoft Sans Serif" w:cs="Microsoft Sans Serif" w:hint="default"/>
        <w:spacing w:val="-20"/>
        <w:w w:val="138"/>
        <w:sz w:val="14"/>
        <w:szCs w:val="14"/>
      </w:rPr>
    </w:lvl>
    <w:lvl w:ilvl="1">
      <w:start w:val="1"/>
      <w:numFmt w:val="bullet"/>
      <w:lvlText w:val=""/>
      <w:lvlJc w:val="left"/>
      <w:pPr>
        <w:ind w:left="840" w:hanging="420"/>
      </w:pPr>
      <w:rPr>
        <w:rFonts w:ascii="Wingdings" w:hAnsi="Wingdings" w:hint="default"/>
      </w:rPr>
    </w:lvl>
    <w:lvl w:ilvl="2">
      <w:start w:val="1"/>
      <w:numFmt w:val="bullet"/>
      <w:lvlText w:val=""/>
      <w:lvlJc w:val="left"/>
      <w:pPr>
        <w:ind w:left="1260" w:hanging="420"/>
      </w:pPr>
      <w:rPr>
        <w:rFonts w:ascii="Wingdings" w:hAnsi="Wingdings" w:hint="default"/>
      </w:rPr>
    </w:lvl>
    <w:lvl w:ilvl="3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>
      <w:start w:val="1"/>
      <w:numFmt w:val="bullet"/>
      <w:lvlText w:val=""/>
      <w:lvlJc w:val="left"/>
      <w:pPr>
        <w:ind w:left="2100" w:hanging="420"/>
      </w:pPr>
      <w:rPr>
        <w:rFonts w:ascii="Wingdings" w:hAnsi="Wingdings" w:hint="default"/>
      </w:rPr>
    </w:lvl>
    <w:lvl w:ilvl="5">
      <w:start w:val="1"/>
      <w:numFmt w:val="bullet"/>
      <w:lvlText w:val=""/>
      <w:lvlJc w:val="left"/>
      <w:pPr>
        <w:ind w:left="2520" w:hanging="420"/>
      </w:pPr>
      <w:rPr>
        <w:rFonts w:ascii="Wingdings" w:hAnsi="Wingdings" w:hint="default"/>
      </w:rPr>
    </w:lvl>
    <w:lvl w:ilvl="6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>
      <w:start w:val="1"/>
      <w:numFmt w:val="bullet"/>
      <w:lvlText w:val=""/>
      <w:lvlJc w:val="left"/>
      <w:pPr>
        <w:ind w:left="3360" w:hanging="420"/>
      </w:pPr>
      <w:rPr>
        <w:rFonts w:ascii="Wingdings" w:hAnsi="Wingdings" w:hint="default"/>
      </w:rPr>
    </w:lvl>
    <w:lvl w:ilvl="8">
      <w:start w:val="1"/>
      <w:numFmt w:val="bullet"/>
      <w:lvlText w:val=""/>
      <w:lvlJc w:val="left"/>
      <w:pPr>
        <w:ind w:left="3780" w:hanging="420"/>
      </w:pPr>
      <w:rPr>
        <w:rFonts w:ascii="Wingdings" w:hAnsi="Wingdings" w:hint="default"/>
      </w:rPr>
    </w:lvl>
  </w:abstractNum>
  <w:abstractNum w:abstractNumId="8">
    <w:nsid w:val="3AD82925"/>
    <w:multiLevelType w:val="hybridMultilevel"/>
    <w:tmpl w:val="209ECFBE"/>
    <w:lvl w:ilvl="0">
      <w:start w:val="1"/>
      <w:numFmt w:val="bullet"/>
      <w:lvlText w:val=""/>
      <w:lvlJc w:val="left"/>
      <w:pPr>
        <w:ind w:left="420" w:hanging="420"/>
      </w:pPr>
      <w:rPr>
        <w:rFonts w:ascii="Wingdings" w:hAnsi="Wingdings" w:hint="default"/>
      </w:rPr>
    </w:lvl>
    <w:lvl w:ilvl="1">
      <w:start w:val="1"/>
      <w:numFmt w:val="bullet"/>
      <w:lvlText w:val=""/>
      <w:lvlJc w:val="left"/>
      <w:pPr>
        <w:ind w:left="840" w:hanging="420"/>
      </w:pPr>
      <w:rPr>
        <w:rFonts w:ascii="Wingdings" w:hAnsi="Wingdings" w:hint="default"/>
      </w:rPr>
    </w:lvl>
    <w:lvl w:ilvl="2" w:tentative="1">
      <w:start w:val="1"/>
      <w:numFmt w:val="bullet"/>
      <w:lvlText w:val=""/>
      <w:lvlJc w:val="left"/>
      <w:pPr>
        <w:ind w:left="1260" w:hanging="420"/>
      </w:pPr>
      <w:rPr>
        <w:rFonts w:ascii="Wingdings" w:hAnsi="Wingdings" w:hint="default"/>
      </w:rPr>
    </w:lvl>
    <w:lvl w:ilvl="3" w:tentative="1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 w:tentative="1">
      <w:start w:val="1"/>
      <w:numFmt w:val="bullet"/>
      <w:lvlText w:val=""/>
      <w:lvlJc w:val="left"/>
      <w:pPr>
        <w:ind w:left="2100" w:hanging="420"/>
      </w:pPr>
      <w:rPr>
        <w:rFonts w:ascii="Wingdings" w:hAnsi="Wingdings" w:hint="default"/>
      </w:rPr>
    </w:lvl>
    <w:lvl w:ilvl="5" w:tentative="1">
      <w:start w:val="1"/>
      <w:numFmt w:val="bullet"/>
      <w:lvlText w:val=""/>
      <w:lvlJc w:val="left"/>
      <w:pPr>
        <w:ind w:left="2520" w:hanging="420"/>
      </w:pPr>
      <w:rPr>
        <w:rFonts w:ascii="Wingdings" w:hAnsi="Wingdings" w:hint="default"/>
      </w:rPr>
    </w:lvl>
    <w:lvl w:ilvl="6" w:tentative="1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 w:tentative="1">
      <w:start w:val="1"/>
      <w:numFmt w:val="bullet"/>
      <w:lvlText w:val=""/>
      <w:lvlJc w:val="left"/>
      <w:pPr>
        <w:ind w:left="3360" w:hanging="420"/>
      </w:pPr>
      <w:rPr>
        <w:rFonts w:ascii="Wingdings" w:hAnsi="Wingdings" w:hint="default"/>
      </w:rPr>
    </w:lvl>
    <w:lvl w:ilvl="8" w:tentative="1">
      <w:start w:val="1"/>
      <w:numFmt w:val="bullet"/>
      <w:lvlText w:val=""/>
      <w:lvlJc w:val="left"/>
      <w:pPr>
        <w:ind w:left="3780" w:hanging="420"/>
      </w:pPr>
      <w:rPr>
        <w:rFonts w:ascii="Wingdings" w:hAnsi="Wingdings" w:hint="default"/>
      </w:rPr>
    </w:lvl>
  </w:abstractNum>
  <w:abstractNum w:abstractNumId="9">
    <w:nsid w:val="47CB77BE"/>
    <w:multiLevelType w:val="hybridMultilevel"/>
    <w:tmpl w:val="0C9C0A84"/>
    <w:lvl w:ilvl="0">
      <w:start w:val="1"/>
      <w:numFmt w:val="bullet"/>
      <w:lvlText w:val=""/>
      <w:lvlJc w:val="left"/>
      <w:pPr>
        <w:ind w:left="420" w:hanging="420"/>
      </w:pPr>
      <w:rPr>
        <w:rFonts w:ascii="Wingdings" w:hAnsi="Wingdings" w:hint="default"/>
        <w:color w:val="EE3123"/>
      </w:rPr>
    </w:lvl>
    <w:lvl w:ilvl="1">
      <w:start w:val="1"/>
      <w:numFmt w:val="bullet"/>
      <w:lvlText w:val=""/>
      <w:lvlJc w:val="left"/>
      <w:pPr>
        <w:ind w:left="840" w:hanging="420"/>
      </w:pPr>
      <w:rPr>
        <w:rFonts w:ascii="Wingdings" w:hAnsi="Wingdings" w:hint="default"/>
      </w:rPr>
    </w:lvl>
    <w:lvl w:ilvl="2" w:tentative="1">
      <w:start w:val="1"/>
      <w:numFmt w:val="bullet"/>
      <w:lvlText w:val=""/>
      <w:lvlJc w:val="left"/>
      <w:pPr>
        <w:ind w:left="1260" w:hanging="420"/>
      </w:pPr>
      <w:rPr>
        <w:rFonts w:ascii="Wingdings" w:hAnsi="Wingdings" w:hint="default"/>
      </w:rPr>
    </w:lvl>
    <w:lvl w:ilvl="3" w:tentative="1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 w:tentative="1">
      <w:start w:val="1"/>
      <w:numFmt w:val="bullet"/>
      <w:lvlText w:val=""/>
      <w:lvlJc w:val="left"/>
      <w:pPr>
        <w:ind w:left="2100" w:hanging="420"/>
      </w:pPr>
      <w:rPr>
        <w:rFonts w:ascii="Wingdings" w:hAnsi="Wingdings" w:hint="default"/>
      </w:rPr>
    </w:lvl>
    <w:lvl w:ilvl="5" w:tentative="1">
      <w:start w:val="1"/>
      <w:numFmt w:val="bullet"/>
      <w:lvlText w:val=""/>
      <w:lvlJc w:val="left"/>
      <w:pPr>
        <w:ind w:left="2520" w:hanging="420"/>
      </w:pPr>
      <w:rPr>
        <w:rFonts w:ascii="Wingdings" w:hAnsi="Wingdings" w:hint="default"/>
      </w:rPr>
    </w:lvl>
    <w:lvl w:ilvl="6" w:tentative="1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 w:tentative="1">
      <w:start w:val="1"/>
      <w:numFmt w:val="bullet"/>
      <w:lvlText w:val=""/>
      <w:lvlJc w:val="left"/>
      <w:pPr>
        <w:ind w:left="3360" w:hanging="420"/>
      </w:pPr>
      <w:rPr>
        <w:rFonts w:ascii="Wingdings" w:hAnsi="Wingdings" w:hint="default"/>
      </w:rPr>
    </w:lvl>
    <w:lvl w:ilvl="8" w:tentative="1">
      <w:start w:val="1"/>
      <w:numFmt w:val="bullet"/>
      <w:lvlText w:val=""/>
      <w:lvlJc w:val="left"/>
      <w:pPr>
        <w:ind w:left="3780" w:hanging="420"/>
      </w:pPr>
      <w:rPr>
        <w:rFonts w:ascii="Wingdings" w:hAnsi="Wingdings" w:hint="default"/>
      </w:rPr>
    </w:lvl>
  </w:abstractNum>
  <w:abstractNum w:abstractNumId="10">
    <w:nsid w:val="4B430FAC"/>
    <w:multiLevelType w:val="hybridMultilevel"/>
    <w:tmpl w:val="0C6A9BA4"/>
    <w:lvl w:ilvl="0">
      <w:start w:val="1"/>
      <w:numFmt w:val="bullet"/>
      <w:lvlText w:val=""/>
      <w:lvlJc w:val="left"/>
      <w:pPr>
        <w:ind w:left="840" w:hanging="420"/>
      </w:pPr>
      <w:rPr>
        <w:rFonts w:ascii="Wingdings" w:hAnsi="Wingdings" w:hint="default"/>
        <w:color w:val="000080"/>
        <w:w w:val="102"/>
        <w:sz w:val="19"/>
        <w:szCs w:val="19"/>
      </w:rPr>
    </w:lvl>
    <w:lvl w:ilvl="1">
      <w:start w:val="1"/>
      <w:numFmt w:val="bullet"/>
      <w:lvlText w:val=""/>
      <w:lvlJc w:val="left"/>
      <w:pPr>
        <w:ind w:left="1280" w:hanging="440"/>
      </w:pPr>
      <w:rPr>
        <w:rFonts w:ascii="Wingdings" w:hAnsi="Wingdings" w:hint="default"/>
        <w:color w:val="000080"/>
      </w:rPr>
    </w:lvl>
    <w:lvl w:ilvl="2" w:tentative="1">
      <w:start w:val="1"/>
      <w:numFmt w:val="bullet"/>
      <w:lvlText w:val=""/>
      <w:lvlJc w:val="left"/>
      <w:pPr>
        <w:ind w:left="1680" w:hanging="420"/>
      </w:pPr>
      <w:rPr>
        <w:rFonts w:ascii="Wingdings" w:hAnsi="Wingdings" w:hint="default"/>
      </w:rPr>
    </w:lvl>
    <w:lvl w:ilvl="3" w:tentative="1">
      <w:start w:val="1"/>
      <w:numFmt w:val="bullet"/>
      <w:lvlText w:val=""/>
      <w:lvlJc w:val="left"/>
      <w:pPr>
        <w:ind w:left="2100" w:hanging="420"/>
      </w:pPr>
      <w:rPr>
        <w:rFonts w:ascii="Wingdings" w:hAnsi="Wingdings" w:hint="default"/>
      </w:rPr>
    </w:lvl>
    <w:lvl w:ilvl="4" w:tentative="1">
      <w:start w:val="1"/>
      <w:numFmt w:val="bullet"/>
      <w:lvlText w:val=""/>
      <w:lvlJc w:val="left"/>
      <w:pPr>
        <w:ind w:left="2520" w:hanging="420"/>
      </w:pPr>
      <w:rPr>
        <w:rFonts w:ascii="Wingdings" w:hAnsi="Wingdings" w:hint="default"/>
      </w:rPr>
    </w:lvl>
    <w:lvl w:ilvl="5" w:tentative="1">
      <w:start w:val="1"/>
      <w:numFmt w:val="bullet"/>
      <w:lvlText w:val=""/>
      <w:lvlJc w:val="left"/>
      <w:pPr>
        <w:ind w:left="2940" w:hanging="420"/>
      </w:pPr>
      <w:rPr>
        <w:rFonts w:ascii="Wingdings" w:hAnsi="Wingdings" w:hint="default"/>
      </w:rPr>
    </w:lvl>
    <w:lvl w:ilvl="6" w:tentative="1">
      <w:start w:val="1"/>
      <w:numFmt w:val="bullet"/>
      <w:lvlText w:val=""/>
      <w:lvlJc w:val="left"/>
      <w:pPr>
        <w:ind w:left="3360" w:hanging="420"/>
      </w:pPr>
      <w:rPr>
        <w:rFonts w:ascii="Wingdings" w:hAnsi="Wingdings" w:hint="default"/>
      </w:rPr>
    </w:lvl>
    <w:lvl w:ilvl="7" w:tentative="1">
      <w:start w:val="1"/>
      <w:numFmt w:val="bullet"/>
      <w:lvlText w:val=""/>
      <w:lvlJc w:val="left"/>
      <w:pPr>
        <w:ind w:left="3780" w:hanging="420"/>
      </w:pPr>
      <w:rPr>
        <w:rFonts w:ascii="Wingdings" w:hAnsi="Wingdings" w:hint="default"/>
      </w:rPr>
    </w:lvl>
    <w:lvl w:ilvl="8" w:tentative="1">
      <w:start w:val="1"/>
      <w:numFmt w:val="bullet"/>
      <w:lvlText w:val=""/>
      <w:lvlJc w:val="left"/>
      <w:pPr>
        <w:ind w:left="4200" w:hanging="420"/>
      </w:pPr>
      <w:rPr>
        <w:rFonts w:ascii="Wingdings" w:hAnsi="Wingdings" w:hint="default"/>
      </w:rPr>
    </w:lvl>
  </w:abstractNum>
  <w:abstractNum w:abstractNumId="11">
    <w:nsid w:val="4F275A44"/>
    <w:multiLevelType w:val="hybridMultilevel"/>
    <w:tmpl w:val="18B412EA"/>
    <w:lvl w:ilvl="0">
      <w:start w:val="1"/>
      <w:numFmt w:val="bullet"/>
      <w:lvlText w:val=""/>
      <w:lvlJc w:val="left"/>
      <w:pPr>
        <w:ind w:left="840" w:hanging="420"/>
      </w:pPr>
      <w:rPr>
        <w:rFonts w:ascii="Wingdings" w:hAnsi="Wingdings" w:hint="default"/>
        <w:color w:val="FF8200"/>
        <w:w w:val="102"/>
        <w:sz w:val="19"/>
        <w:szCs w:val="19"/>
      </w:rPr>
    </w:lvl>
    <w:lvl w:ilvl="1" w:tentative="1">
      <w:start w:val="1"/>
      <w:numFmt w:val="bullet"/>
      <w:lvlText w:val=""/>
      <w:lvlJc w:val="left"/>
      <w:pPr>
        <w:ind w:left="1260" w:hanging="420"/>
      </w:pPr>
      <w:rPr>
        <w:rFonts w:ascii="Wingdings" w:hAnsi="Wingdings" w:hint="default"/>
      </w:rPr>
    </w:lvl>
    <w:lvl w:ilvl="2" w:tentative="1">
      <w:start w:val="1"/>
      <w:numFmt w:val="bullet"/>
      <w:lvlText w:val=""/>
      <w:lvlJc w:val="left"/>
      <w:pPr>
        <w:ind w:left="1680" w:hanging="420"/>
      </w:pPr>
      <w:rPr>
        <w:rFonts w:ascii="Wingdings" w:hAnsi="Wingdings" w:hint="default"/>
      </w:rPr>
    </w:lvl>
    <w:lvl w:ilvl="3" w:tentative="1">
      <w:start w:val="1"/>
      <w:numFmt w:val="bullet"/>
      <w:lvlText w:val=""/>
      <w:lvlJc w:val="left"/>
      <w:pPr>
        <w:ind w:left="2100" w:hanging="420"/>
      </w:pPr>
      <w:rPr>
        <w:rFonts w:ascii="Wingdings" w:hAnsi="Wingdings" w:hint="default"/>
      </w:rPr>
    </w:lvl>
    <w:lvl w:ilvl="4" w:tentative="1">
      <w:start w:val="1"/>
      <w:numFmt w:val="bullet"/>
      <w:lvlText w:val=""/>
      <w:lvlJc w:val="left"/>
      <w:pPr>
        <w:ind w:left="2520" w:hanging="420"/>
      </w:pPr>
      <w:rPr>
        <w:rFonts w:ascii="Wingdings" w:hAnsi="Wingdings" w:hint="default"/>
      </w:rPr>
    </w:lvl>
    <w:lvl w:ilvl="5" w:tentative="1">
      <w:start w:val="1"/>
      <w:numFmt w:val="bullet"/>
      <w:lvlText w:val=""/>
      <w:lvlJc w:val="left"/>
      <w:pPr>
        <w:ind w:left="2940" w:hanging="420"/>
      </w:pPr>
      <w:rPr>
        <w:rFonts w:ascii="Wingdings" w:hAnsi="Wingdings" w:hint="default"/>
      </w:rPr>
    </w:lvl>
    <w:lvl w:ilvl="6" w:tentative="1">
      <w:start w:val="1"/>
      <w:numFmt w:val="bullet"/>
      <w:lvlText w:val=""/>
      <w:lvlJc w:val="left"/>
      <w:pPr>
        <w:ind w:left="3360" w:hanging="420"/>
      </w:pPr>
      <w:rPr>
        <w:rFonts w:ascii="Wingdings" w:hAnsi="Wingdings" w:hint="default"/>
      </w:rPr>
    </w:lvl>
    <w:lvl w:ilvl="7" w:tentative="1">
      <w:start w:val="1"/>
      <w:numFmt w:val="bullet"/>
      <w:lvlText w:val=""/>
      <w:lvlJc w:val="left"/>
      <w:pPr>
        <w:ind w:left="3780" w:hanging="420"/>
      </w:pPr>
      <w:rPr>
        <w:rFonts w:ascii="Wingdings" w:hAnsi="Wingdings" w:hint="default"/>
      </w:rPr>
    </w:lvl>
    <w:lvl w:ilvl="8" w:tentative="1">
      <w:start w:val="1"/>
      <w:numFmt w:val="bullet"/>
      <w:lvlText w:val=""/>
      <w:lvlJc w:val="left"/>
      <w:pPr>
        <w:ind w:left="4200" w:hanging="420"/>
      </w:pPr>
      <w:rPr>
        <w:rFonts w:ascii="Wingdings" w:hAnsi="Wingdings" w:hint="default"/>
      </w:rPr>
    </w:lvl>
  </w:abstractNum>
  <w:abstractNum w:abstractNumId="12">
    <w:nsid w:val="4F4C6978"/>
    <w:multiLevelType w:val="multilevel"/>
    <w:tmpl w:val="C1B285C4"/>
    <w:lvl w:ilvl="0">
      <w:start w:val="1"/>
      <w:numFmt w:val="decimal"/>
      <w:pStyle w:val="TableStyle0"/>
      <w:suff w:val="nothing"/>
      <w:lvlText w:val="表 %1："/>
      <w:lvlJc w:val="left"/>
      <w:pPr>
        <w:ind w:left="357" w:hanging="357"/>
      </w:pPr>
      <w:rPr>
        <w:rFonts w:ascii="Times New Roman" w:eastAsia="手头" w:hAnsi="Times New Roman" w:hint="default"/>
        <w:b/>
        <w:i w:val="0"/>
        <w:color w:val="FFA300"/>
      </w:rPr>
    </w:lvl>
    <w:lvl w:ilvl="1">
      <w:start w:val="1"/>
      <w:numFmt w:val="lowerLetter"/>
      <w:lvlText w:val="%2)"/>
      <w:lvlJc w:val="left"/>
      <w:pPr>
        <w:ind w:left="840" w:hanging="420"/>
      </w:pPr>
      <w:rPr>
        <w:rFonts w:hint="eastAsia"/>
      </w:rPr>
    </w:lvl>
    <w:lvl w:ilvl="2">
      <w:start w:val="1"/>
      <w:numFmt w:val="lowerRoman"/>
      <w:lvlText w:val="%3."/>
      <w:lvlJc w:val="right"/>
      <w:pPr>
        <w:ind w:left="1260" w:hanging="420"/>
      </w:pPr>
      <w:rPr>
        <w:rFonts w:hint="eastAsia"/>
        <w:b w:val="0"/>
        <w:bCs w:val="0"/>
        <w:i w:val="0"/>
        <w:iCs w:val="0"/>
        <w:caps w:val="0"/>
        <w:smallCaps w:val="0"/>
        <w:strike w:val="0"/>
        <w:dstrike w:val="0"/>
        <w:outline w:val="0"/>
        <w:shadow w:val="0"/>
        <w:emboss w:val="0"/>
        <w:imprint w:val="0"/>
        <w:noProof w:val="0"/>
        <w:vanish w:val="0"/>
        <w:spacing w:val="0"/>
        <w:position w:val="0"/>
        <w:u w:val="none"/>
        <w:effect w:val="none"/>
        <w:vertAlign w:val="baseline"/>
        <w:specVanish w:val="0"/>
        <w14:glow w14:rad="0">
          <w14:srgbClr w14:val="000000"/>
        </w14:glow>
        <w14:shadow w14:blurRad="0" w14:dist="0" w14:dir="0" w14:sx="0" w14:sy="0" w14:kx="0" w14:ky="0" w14:algn="none">
          <w14:srgbClr w14:val="000000"/>
        </w14:shadow>
        <w14:reflection w14:blurRad="0" w14:stA="0" w14:stPos="0" w14:endA="0" w14:endPos="0" w14:dist="0" w14:dir="0" w14:fadeDir="0" w14:sx="0" w14:sy="0" w14:kx="0" w14:ky="0" w14:algn="none"/>
        <w14:textOutline w14:w="0" w14:cap="rnd">
          <w14:noFill/>
          <w14:prstDash w14:val="solid"/>
          <w14:bevel/>
        </w14:textOutline>
        <w14:scene3d>
          <w14:camera w14:prst="orthographicFront"/>
          <w14:lightRig w14:rig="threePt" w14:dir="t">
            <w14:rot w14:lat="0" w14:lon="0" w14:rev="0"/>
          </w14:lightRig>
        </w14:scene3d>
        <w14:props3d/>
        <w14:ligatures w14:val="none"/>
        <w14:numForm w14:val="default"/>
        <w14:numSpacing w14:val="default"/>
        <w14:stylisticSets xmlns:w14="http://schemas.microsoft.com/office/word/2010/wordml"/>
        <w14:cntxtAlts w14:val="0"/>
      </w:rPr>
    </w:lvl>
    <w:lvl w:ilvl="3">
      <w:start w:val="1"/>
      <w:numFmt w:val="decimal"/>
      <w:lvlText w:val="%4."/>
      <w:lvlJc w:val="left"/>
      <w:pPr>
        <w:ind w:left="1680" w:hanging="420"/>
      </w:pPr>
      <w:rPr>
        <w:rFonts w:hint="eastAsia"/>
      </w:rPr>
    </w:lvl>
    <w:lvl w:ilvl="4">
      <w:start w:val="1"/>
      <w:numFmt w:val="lowerLetter"/>
      <w:lvlText w:val="%5)"/>
      <w:lvlJc w:val="left"/>
      <w:pPr>
        <w:ind w:left="2100" w:hanging="420"/>
      </w:pPr>
      <w:rPr>
        <w:rFonts w:hint="eastAsia"/>
      </w:rPr>
    </w:lvl>
    <w:lvl w:ilvl="5">
      <w:start w:val="1"/>
      <w:numFmt w:val="lowerRoman"/>
      <w:lvlText w:val="%6."/>
      <w:lvlJc w:val="right"/>
      <w:pPr>
        <w:ind w:left="2520" w:hanging="420"/>
      </w:pPr>
      <w:rPr>
        <w:rFonts w:hint="eastAsia"/>
      </w:rPr>
    </w:lvl>
    <w:lvl w:ilvl="6">
      <w:start w:val="1"/>
      <w:numFmt w:val="decimal"/>
      <w:lvlText w:val="%7."/>
      <w:lvlJc w:val="left"/>
      <w:pPr>
        <w:ind w:left="2940" w:hanging="420"/>
      </w:pPr>
      <w:rPr>
        <w:rFonts w:hint="eastAsia"/>
      </w:rPr>
    </w:lvl>
    <w:lvl w:ilvl="7">
      <w:start w:val="1"/>
      <w:numFmt w:val="lowerLetter"/>
      <w:lvlText w:val="%8)"/>
      <w:lvlJc w:val="left"/>
      <w:pPr>
        <w:ind w:left="3360" w:hanging="420"/>
      </w:pPr>
      <w:rPr>
        <w:rFonts w:hint="eastAsia"/>
      </w:rPr>
    </w:lvl>
    <w:lvl w:ilvl="8">
      <w:start w:val="1"/>
      <w:numFmt w:val="lowerRoman"/>
      <w:lvlText w:val="%9."/>
      <w:lvlJc w:val="right"/>
      <w:pPr>
        <w:ind w:left="3780" w:hanging="420"/>
      </w:pPr>
      <w:rPr>
        <w:rFonts w:hint="eastAsia"/>
      </w:rPr>
    </w:lvl>
  </w:abstractNum>
  <w:abstractNum w:abstractNumId="13">
    <w:nsid w:val="51086C2F"/>
    <w:multiLevelType w:val="hybridMultilevel"/>
    <w:tmpl w:val="2C1CA060"/>
    <w:lvl w:ilvl="0">
      <w:start w:val="1"/>
      <w:numFmt w:val="bullet"/>
      <w:lvlText w:val=""/>
      <w:lvlJc w:val="left"/>
      <w:pPr>
        <w:ind w:left="840" w:hanging="420"/>
      </w:pPr>
      <w:rPr>
        <w:rFonts w:ascii="Wingdings" w:hAnsi="Wingdings" w:hint="default"/>
        <w:color w:val="000080"/>
        <w:w w:val="102"/>
        <w:sz w:val="19"/>
        <w:szCs w:val="19"/>
      </w:rPr>
    </w:lvl>
    <w:lvl w:ilvl="1">
      <w:start w:val="1"/>
      <w:numFmt w:val="bullet"/>
      <w:lvlText w:val=""/>
      <w:lvlJc w:val="left"/>
      <w:pPr>
        <w:ind w:left="1260" w:hanging="420"/>
      </w:pPr>
      <w:rPr>
        <w:rFonts w:ascii="Wingdings" w:hAnsi="Wingdings" w:hint="default"/>
      </w:rPr>
    </w:lvl>
    <w:lvl w:ilvl="2" w:tentative="1">
      <w:start w:val="1"/>
      <w:numFmt w:val="bullet"/>
      <w:lvlText w:val=""/>
      <w:lvlJc w:val="left"/>
      <w:pPr>
        <w:ind w:left="1680" w:hanging="420"/>
      </w:pPr>
      <w:rPr>
        <w:rFonts w:ascii="Wingdings" w:hAnsi="Wingdings" w:hint="default"/>
      </w:rPr>
    </w:lvl>
    <w:lvl w:ilvl="3" w:tentative="1">
      <w:start w:val="1"/>
      <w:numFmt w:val="bullet"/>
      <w:lvlText w:val=""/>
      <w:lvlJc w:val="left"/>
      <w:pPr>
        <w:ind w:left="2100" w:hanging="420"/>
      </w:pPr>
      <w:rPr>
        <w:rFonts w:ascii="Wingdings" w:hAnsi="Wingdings" w:hint="default"/>
      </w:rPr>
    </w:lvl>
    <w:lvl w:ilvl="4" w:tentative="1">
      <w:start w:val="1"/>
      <w:numFmt w:val="bullet"/>
      <w:lvlText w:val=""/>
      <w:lvlJc w:val="left"/>
      <w:pPr>
        <w:ind w:left="2520" w:hanging="420"/>
      </w:pPr>
      <w:rPr>
        <w:rFonts w:ascii="Wingdings" w:hAnsi="Wingdings" w:hint="default"/>
      </w:rPr>
    </w:lvl>
    <w:lvl w:ilvl="5" w:tentative="1">
      <w:start w:val="1"/>
      <w:numFmt w:val="bullet"/>
      <w:lvlText w:val=""/>
      <w:lvlJc w:val="left"/>
      <w:pPr>
        <w:ind w:left="2940" w:hanging="420"/>
      </w:pPr>
      <w:rPr>
        <w:rFonts w:ascii="Wingdings" w:hAnsi="Wingdings" w:hint="default"/>
      </w:rPr>
    </w:lvl>
    <w:lvl w:ilvl="6" w:tentative="1">
      <w:start w:val="1"/>
      <w:numFmt w:val="bullet"/>
      <w:lvlText w:val=""/>
      <w:lvlJc w:val="left"/>
      <w:pPr>
        <w:ind w:left="3360" w:hanging="420"/>
      </w:pPr>
      <w:rPr>
        <w:rFonts w:ascii="Wingdings" w:hAnsi="Wingdings" w:hint="default"/>
      </w:rPr>
    </w:lvl>
    <w:lvl w:ilvl="7" w:tentative="1">
      <w:start w:val="1"/>
      <w:numFmt w:val="bullet"/>
      <w:lvlText w:val=""/>
      <w:lvlJc w:val="left"/>
      <w:pPr>
        <w:ind w:left="3780" w:hanging="420"/>
      </w:pPr>
      <w:rPr>
        <w:rFonts w:ascii="Wingdings" w:hAnsi="Wingdings" w:hint="default"/>
      </w:rPr>
    </w:lvl>
    <w:lvl w:ilvl="8" w:tentative="1">
      <w:start w:val="1"/>
      <w:numFmt w:val="bullet"/>
      <w:lvlText w:val=""/>
      <w:lvlJc w:val="left"/>
      <w:pPr>
        <w:ind w:left="4200" w:hanging="420"/>
      </w:pPr>
      <w:rPr>
        <w:rFonts w:ascii="Wingdings" w:hAnsi="Wingdings" w:hint="default"/>
      </w:rPr>
    </w:lvl>
  </w:abstractNum>
  <w:abstractNum w:abstractNumId="14">
    <w:nsid w:val="53D73376"/>
    <w:multiLevelType w:val="multilevel"/>
    <w:tmpl w:val="52609C2C"/>
    <w:lvl w:ilvl="0">
      <w:start w:val="1"/>
      <w:numFmt w:val="decimal"/>
      <w:pStyle w:val="Heading1"/>
      <w:suff w:val="space"/>
      <w:lvlText w:val="%1"/>
      <w:lvlJc w:val="left"/>
      <w:pPr>
        <w:ind w:left="0" w:firstLine="0"/>
      </w:pPr>
      <w:rPr>
        <w:rFonts w:hint="eastAsia"/>
      </w:rPr>
    </w:lvl>
    <w:lvl w:ilvl="1">
      <w:start w:val="1"/>
      <w:numFmt w:val="decimal"/>
      <w:pStyle w:val="Heading2"/>
      <w:suff w:val="space"/>
      <w:lvlText w:val="%1.%2"/>
      <w:lvlJc w:val="left"/>
      <w:pPr>
        <w:ind w:left="0" w:firstLine="0"/>
      </w:pPr>
      <w:rPr>
        <w:rFonts w:hint="default"/>
      </w:rPr>
    </w:lvl>
    <w:lvl w:ilvl="2">
      <w:start w:val="1"/>
      <w:numFmt w:val="decimal"/>
      <w:pStyle w:val="Heading3"/>
      <w:suff w:val="space"/>
      <w:lvlText w:val="%1.%2.%3"/>
      <w:lvlJc w:val="left"/>
      <w:pPr>
        <w:ind w:left="0" w:firstLine="0"/>
      </w:pPr>
      <w:rPr>
        <w:rFonts w:hint="default"/>
      </w:rPr>
    </w:lvl>
    <w:lvl w:ilvl="3">
      <w:start w:val="1"/>
      <w:numFmt w:val="decimal"/>
      <w:pStyle w:val="Heading4"/>
      <w:suff w:val="space"/>
      <w:lvlText w:val="%1.%2.%3.%4 "/>
      <w:lvlJc w:val="left"/>
      <w:pPr>
        <w:ind w:left="0" w:firstLine="0"/>
      </w:pPr>
      <w:rPr>
        <w:rFonts w:hint="default"/>
      </w:rPr>
    </w:lvl>
    <w:lvl w:ilvl="4">
      <w:start w:val="1"/>
      <w:numFmt w:val="decimal"/>
      <w:pStyle w:val="Heading5"/>
      <w:suff w:val="space"/>
      <w:lvlText w:val="%1.%2.%3.%4.%5   "/>
      <w:lvlJc w:val="left"/>
      <w:pPr>
        <w:ind w:left="0" w:firstLine="0"/>
      </w:pPr>
      <w:rPr>
        <w:rFonts w:hint="default"/>
      </w:rPr>
    </w:lvl>
    <w:lvl w:ilvl="5">
      <w:start w:val="1"/>
      <w:numFmt w:val="decimal"/>
      <w:suff w:val="space"/>
      <w:lvlText w:val="%1.%2.%3.%4.%5.%6"/>
      <w:lvlJc w:val="left"/>
      <w:pPr>
        <w:ind w:left="0" w:firstLine="0"/>
      </w:pPr>
      <w:rPr>
        <w:rFonts w:hint="default"/>
      </w:rPr>
    </w:lvl>
    <w:lvl w:ilvl="6">
      <w:start w:val="1"/>
      <w:numFmt w:val="decimal"/>
      <w:suff w:val="space"/>
      <w:lvlText w:val="%1.%2.%3.%4.%5.%6.%7"/>
      <w:lvlJc w:val="left"/>
      <w:pPr>
        <w:ind w:left="0" w:firstLine="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tabs>
          <w:tab w:val="num" w:pos="1134"/>
        </w:tabs>
        <w:ind w:left="0" w:firstLine="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tabs>
          <w:tab w:val="num" w:pos="1134"/>
        </w:tabs>
        <w:ind w:left="0" w:firstLine="0"/>
      </w:pPr>
      <w:rPr>
        <w:rFonts w:hint="default"/>
      </w:rPr>
    </w:lvl>
  </w:abstractNum>
  <w:abstractNum w:abstractNumId="15">
    <w:nsid w:val="62C73CE7"/>
    <w:multiLevelType w:val="multilevel"/>
    <w:tmpl w:val="3730AD30"/>
    <w:lvl w:ilvl="0">
      <w:start w:val="0"/>
      <w:numFmt w:val="bullet"/>
      <w:lvlText w:val="▪"/>
      <w:lvlJc w:val="left"/>
      <w:pPr>
        <w:tabs>
          <w:tab w:val="num" w:pos="170"/>
        </w:tabs>
        <w:ind w:left="420" w:hanging="420"/>
      </w:pPr>
      <w:rPr>
        <w:rFonts w:ascii="Microsoft Sans Serif" w:eastAsia="宋体" w:hAnsi="Microsoft Sans Serif" w:cs="Microsoft Sans Serif" w:hint="default"/>
        <w:spacing w:val="-20"/>
        <w:w w:val="138"/>
        <w:sz w:val="14"/>
        <w:szCs w:val="14"/>
      </w:rPr>
    </w:lvl>
    <w:lvl w:ilvl="1">
      <w:start w:val="1"/>
      <w:numFmt w:val="bullet"/>
      <w:lvlText w:val=""/>
      <w:lvlJc w:val="left"/>
      <w:pPr>
        <w:ind w:left="840" w:hanging="420"/>
      </w:pPr>
      <w:rPr>
        <w:rFonts w:ascii="Wingdings" w:hAnsi="Wingdings" w:hint="default"/>
      </w:rPr>
    </w:lvl>
    <w:lvl w:ilvl="2">
      <w:start w:val="1"/>
      <w:numFmt w:val="bullet"/>
      <w:lvlText w:val=""/>
      <w:lvlJc w:val="left"/>
      <w:pPr>
        <w:ind w:left="1260" w:hanging="420"/>
      </w:pPr>
      <w:rPr>
        <w:rFonts w:ascii="Wingdings" w:hAnsi="Wingdings" w:hint="default"/>
      </w:rPr>
    </w:lvl>
    <w:lvl w:ilvl="3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>
      <w:start w:val="1"/>
      <w:numFmt w:val="bullet"/>
      <w:lvlText w:val=""/>
      <w:lvlJc w:val="left"/>
      <w:pPr>
        <w:ind w:left="2100" w:hanging="420"/>
      </w:pPr>
      <w:rPr>
        <w:rFonts w:ascii="Wingdings" w:hAnsi="Wingdings" w:hint="default"/>
      </w:rPr>
    </w:lvl>
    <w:lvl w:ilvl="5">
      <w:start w:val="1"/>
      <w:numFmt w:val="bullet"/>
      <w:lvlText w:val=""/>
      <w:lvlJc w:val="left"/>
      <w:pPr>
        <w:ind w:left="2520" w:hanging="420"/>
      </w:pPr>
      <w:rPr>
        <w:rFonts w:ascii="Wingdings" w:hAnsi="Wingdings" w:hint="default"/>
      </w:rPr>
    </w:lvl>
    <w:lvl w:ilvl="6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>
      <w:start w:val="1"/>
      <w:numFmt w:val="bullet"/>
      <w:lvlText w:val=""/>
      <w:lvlJc w:val="left"/>
      <w:pPr>
        <w:ind w:left="3360" w:hanging="420"/>
      </w:pPr>
      <w:rPr>
        <w:rFonts w:ascii="Wingdings" w:hAnsi="Wingdings" w:hint="default"/>
      </w:rPr>
    </w:lvl>
    <w:lvl w:ilvl="8">
      <w:start w:val="1"/>
      <w:numFmt w:val="bullet"/>
      <w:lvlText w:val=""/>
      <w:lvlJc w:val="left"/>
      <w:pPr>
        <w:ind w:left="3780" w:hanging="420"/>
      </w:pPr>
      <w:rPr>
        <w:rFonts w:ascii="Wingdings" w:hAnsi="Wingdings" w:hint="default"/>
      </w:rPr>
    </w:lvl>
  </w:abstractNum>
  <w:abstractNum w:abstractNumId="16">
    <w:nsid w:val="641E1654"/>
    <w:multiLevelType w:val="hybridMultilevel"/>
    <w:tmpl w:val="EC60D60E"/>
    <w:lvl w:ilvl="0">
      <w:start w:val="1"/>
      <w:numFmt w:val="bullet"/>
      <w:lvlText w:val=""/>
      <w:lvlJc w:val="left"/>
      <w:pPr>
        <w:ind w:left="420" w:hanging="420"/>
      </w:pPr>
      <w:rPr>
        <w:rFonts w:ascii="Wingdings" w:hAnsi="Wingdings" w:hint="default"/>
        <w:color w:val="EE3123"/>
      </w:rPr>
    </w:lvl>
    <w:lvl w:ilvl="1">
      <w:start w:val="1"/>
      <w:numFmt w:val="bullet"/>
      <w:lvlText w:val=""/>
      <w:lvlJc w:val="left"/>
      <w:pPr>
        <w:ind w:left="840" w:hanging="420"/>
      </w:pPr>
      <w:rPr>
        <w:rFonts w:ascii="Wingdings" w:hAnsi="Wingdings" w:hint="default"/>
        <w:color w:val="000080"/>
      </w:rPr>
    </w:lvl>
    <w:lvl w:ilvl="2" w:tentative="1">
      <w:start w:val="1"/>
      <w:numFmt w:val="bullet"/>
      <w:lvlText w:val=""/>
      <w:lvlJc w:val="left"/>
      <w:pPr>
        <w:ind w:left="1260" w:hanging="420"/>
      </w:pPr>
      <w:rPr>
        <w:rFonts w:ascii="Wingdings" w:hAnsi="Wingdings" w:hint="default"/>
      </w:rPr>
    </w:lvl>
    <w:lvl w:ilvl="3" w:tentative="1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 w:tentative="1">
      <w:start w:val="1"/>
      <w:numFmt w:val="bullet"/>
      <w:lvlText w:val=""/>
      <w:lvlJc w:val="left"/>
      <w:pPr>
        <w:ind w:left="2100" w:hanging="420"/>
      </w:pPr>
      <w:rPr>
        <w:rFonts w:ascii="Wingdings" w:hAnsi="Wingdings" w:hint="default"/>
      </w:rPr>
    </w:lvl>
    <w:lvl w:ilvl="5" w:tentative="1">
      <w:start w:val="1"/>
      <w:numFmt w:val="bullet"/>
      <w:lvlText w:val=""/>
      <w:lvlJc w:val="left"/>
      <w:pPr>
        <w:ind w:left="2520" w:hanging="420"/>
      </w:pPr>
      <w:rPr>
        <w:rFonts w:ascii="Wingdings" w:hAnsi="Wingdings" w:hint="default"/>
      </w:rPr>
    </w:lvl>
    <w:lvl w:ilvl="6" w:tentative="1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 w:tentative="1">
      <w:start w:val="1"/>
      <w:numFmt w:val="bullet"/>
      <w:lvlText w:val=""/>
      <w:lvlJc w:val="left"/>
      <w:pPr>
        <w:ind w:left="3360" w:hanging="420"/>
      </w:pPr>
      <w:rPr>
        <w:rFonts w:ascii="Wingdings" w:hAnsi="Wingdings" w:hint="default"/>
      </w:rPr>
    </w:lvl>
    <w:lvl w:ilvl="8" w:tentative="1">
      <w:start w:val="1"/>
      <w:numFmt w:val="bullet"/>
      <w:lvlText w:val=""/>
      <w:lvlJc w:val="left"/>
      <w:pPr>
        <w:ind w:left="3780" w:hanging="420"/>
      </w:pPr>
      <w:rPr>
        <w:rFonts w:ascii="Wingdings" w:hAnsi="Wingdings" w:hint="default"/>
      </w:rPr>
    </w:lvl>
  </w:abstractNum>
  <w:abstractNum w:abstractNumId="17">
    <w:nsid w:val="68013A6C"/>
    <w:multiLevelType w:val="multilevel"/>
    <w:tmpl w:val="04BA916E"/>
    <w:lvl w:ilvl="0">
      <w:start w:val="0"/>
      <w:numFmt w:val="bullet"/>
      <w:lvlText w:val="▪"/>
      <w:lvlJc w:val="left"/>
      <w:pPr>
        <w:tabs>
          <w:tab w:val="num" w:pos="170"/>
        </w:tabs>
        <w:ind w:left="420" w:hanging="420"/>
      </w:pPr>
      <w:rPr>
        <w:rFonts w:ascii="Microsoft Sans Serif" w:hAnsi="Microsoft Sans Serif" w:hint="default"/>
        <w:spacing w:val="-20"/>
        <w:w w:val="138"/>
        <w:sz w:val="14"/>
      </w:rPr>
    </w:lvl>
    <w:lvl w:ilvl="1">
      <w:start w:val="1"/>
      <w:numFmt w:val="bullet"/>
      <w:lvlText w:val=""/>
      <w:lvlJc w:val="left"/>
      <w:pPr>
        <w:ind w:left="840" w:hanging="420"/>
      </w:pPr>
      <w:rPr>
        <w:rFonts w:ascii="Wingdings" w:hAnsi="Wingdings" w:hint="default"/>
      </w:rPr>
    </w:lvl>
    <w:lvl w:ilvl="2">
      <w:start w:val="1"/>
      <w:numFmt w:val="bullet"/>
      <w:lvlText w:val=""/>
      <w:lvlJc w:val="left"/>
      <w:pPr>
        <w:ind w:left="1260" w:hanging="420"/>
      </w:pPr>
      <w:rPr>
        <w:rFonts w:ascii="Wingdings" w:hAnsi="Wingdings" w:hint="default"/>
      </w:rPr>
    </w:lvl>
    <w:lvl w:ilvl="3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>
      <w:start w:val="1"/>
      <w:numFmt w:val="bullet"/>
      <w:lvlText w:val=""/>
      <w:lvlJc w:val="left"/>
      <w:pPr>
        <w:ind w:left="2100" w:hanging="420"/>
      </w:pPr>
      <w:rPr>
        <w:rFonts w:ascii="Wingdings" w:hAnsi="Wingdings" w:hint="default"/>
      </w:rPr>
    </w:lvl>
    <w:lvl w:ilvl="5">
      <w:start w:val="1"/>
      <w:numFmt w:val="bullet"/>
      <w:lvlText w:val=""/>
      <w:lvlJc w:val="left"/>
      <w:pPr>
        <w:ind w:left="2520" w:hanging="420"/>
      </w:pPr>
      <w:rPr>
        <w:rFonts w:ascii="Wingdings" w:hAnsi="Wingdings" w:hint="default"/>
      </w:rPr>
    </w:lvl>
    <w:lvl w:ilvl="6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>
      <w:start w:val="1"/>
      <w:numFmt w:val="bullet"/>
      <w:lvlText w:val=""/>
      <w:lvlJc w:val="left"/>
      <w:pPr>
        <w:ind w:left="3360" w:hanging="420"/>
      </w:pPr>
      <w:rPr>
        <w:rFonts w:ascii="Wingdings" w:hAnsi="Wingdings" w:hint="default"/>
      </w:rPr>
    </w:lvl>
    <w:lvl w:ilvl="8">
      <w:start w:val="1"/>
      <w:numFmt w:val="bullet"/>
      <w:lvlText w:val=""/>
      <w:lvlJc w:val="left"/>
      <w:pPr>
        <w:ind w:left="3780" w:hanging="420"/>
      </w:pPr>
      <w:rPr>
        <w:rFonts w:ascii="Wingdings" w:hAnsi="Wingdings" w:hint="default"/>
      </w:rPr>
    </w:lvl>
  </w:abstractNum>
  <w:abstractNum w:abstractNumId="18">
    <w:nsid w:val="6D664157"/>
    <w:multiLevelType w:val="hybridMultilevel"/>
    <w:tmpl w:val="BF8C162A"/>
    <w:lvl w:ilvl="0">
      <w:start w:val="0"/>
      <w:numFmt w:val="bullet"/>
      <w:lvlText w:val=""/>
      <w:lvlJc w:val="left"/>
      <w:pPr>
        <w:ind w:left="840" w:hanging="420"/>
      </w:pPr>
      <w:rPr>
        <w:rFonts w:ascii="Wingdings" w:eastAsia="宋体" w:hAnsi="Wingdings" w:cs="Wingdings" w:hint="default"/>
        <w:color w:val="FF8200"/>
        <w:w w:val="102"/>
        <w:sz w:val="19"/>
        <w:szCs w:val="19"/>
      </w:rPr>
    </w:lvl>
    <w:lvl w:ilvl="1" w:tentative="1">
      <w:start w:val="1"/>
      <w:numFmt w:val="bullet"/>
      <w:lvlText w:val=""/>
      <w:lvlJc w:val="left"/>
      <w:pPr>
        <w:ind w:left="1260" w:hanging="420"/>
      </w:pPr>
      <w:rPr>
        <w:rFonts w:ascii="Wingdings" w:hAnsi="Wingdings" w:hint="default"/>
      </w:rPr>
    </w:lvl>
    <w:lvl w:ilvl="2" w:tentative="1">
      <w:start w:val="1"/>
      <w:numFmt w:val="bullet"/>
      <w:lvlText w:val=""/>
      <w:lvlJc w:val="left"/>
      <w:pPr>
        <w:ind w:left="1680" w:hanging="420"/>
      </w:pPr>
      <w:rPr>
        <w:rFonts w:ascii="Wingdings" w:hAnsi="Wingdings" w:hint="default"/>
      </w:rPr>
    </w:lvl>
    <w:lvl w:ilvl="3" w:tentative="1">
      <w:start w:val="1"/>
      <w:numFmt w:val="bullet"/>
      <w:lvlText w:val=""/>
      <w:lvlJc w:val="left"/>
      <w:pPr>
        <w:ind w:left="2100" w:hanging="420"/>
      </w:pPr>
      <w:rPr>
        <w:rFonts w:ascii="Wingdings" w:hAnsi="Wingdings" w:hint="default"/>
      </w:rPr>
    </w:lvl>
    <w:lvl w:ilvl="4" w:tentative="1">
      <w:start w:val="1"/>
      <w:numFmt w:val="bullet"/>
      <w:lvlText w:val=""/>
      <w:lvlJc w:val="left"/>
      <w:pPr>
        <w:ind w:left="2520" w:hanging="420"/>
      </w:pPr>
      <w:rPr>
        <w:rFonts w:ascii="Wingdings" w:hAnsi="Wingdings" w:hint="default"/>
      </w:rPr>
    </w:lvl>
    <w:lvl w:ilvl="5" w:tentative="1">
      <w:start w:val="1"/>
      <w:numFmt w:val="bullet"/>
      <w:lvlText w:val=""/>
      <w:lvlJc w:val="left"/>
      <w:pPr>
        <w:ind w:left="2940" w:hanging="420"/>
      </w:pPr>
      <w:rPr>
        <w:rFonts w:ascii="Wingdings" w:hAnsi="Wingdings" w:hint="default"/>
      </w:rPr>
    </w:lvl>
    <w:lvl w:ilvl="6" w:tentative="1">
      <w:start w:val="1"/>
      <w:numFmt w:val="bullet"/>
      <w:lvlText w:val=""/>
      <w:lvlJc w:val="left"/>
      <w:pPr>
        <w:ind w:left="3360" w:hanging="420"/>
      </w:pPr>
      <w:rPr>
        <w:rFonts w:ascii="Wingdings" w:hAnsi="Wingdings" w:hint="default"/>
      </w:rPr>
    </w:lvl>
    <w:lvl w:ilvl="7" w:tentative="1">
      <w:start w:val="1"/>
      <w:numFmt w:val="bullet"/>
      <w:lvlText w:val=""/>
      <w:lvlJc w:val="left"/>
      <w:pPr>
        <w:ind w:left="3780" w:hanging="420"/>
      </w:pPr>
      <w:rPr>
        <w:rFonts w:ascii="Wingdings" w:hAnsi="Wingdings" w:hint="default"/>
      </w:rPr>
    </w:lvl>
    <w:lvl w:ilvl="8" w:tentative="1">
      <w:start w:val="1"/>
      <w:numFmt w:val="bullet"/>
      <w:lvlText w:val=""/>
      <w:lvlJc w:val="left"/>
      <w:pPr>
        <w:ind w:left="4200" w:hanging="420"/>
      </w:pPr>
      <w:rPr>
        <w:rFonts w:ascii="Wingdings" w:hAnsi="Wingdings" w:hint="default"/>
      </w:rPr>
    </w:lvl>
  </w:abstractNum>
  <w:abstractNum w:abstractNumId="19">
    <w:nsid w:val="74AD4A1C"/>
    <w:multiLevelType w:val="multilevel"/>
    <w:tmpl w:val="52609C2C"/>
    <w:lvl w:ilvl="0">
      <w:start w:val="1"/>
      <w:numFmt w:val="decimal"/>
      <w:pStyle w:val="Heading10"/>
      <w:suff w:val="space"/>
      <w:lvlText w:val="%1"/>
      <w:lvlJc w:val="left"/>
      <w:pPr>
        <w:ind w:left="0" w:firstLine="0"/>
      </w:pPr>
      <w:rPr>
        <w:rFonts w:hint="eastAsia"/>
      </w:rPr>
    </w:lvl>
    <w:lvl w:ilvl="1">
      <w:start w:val="1"/>
      <w:numFmt w:val="decimal"/>
      <w:pStyle w:val="Heading20"/>
      <w:suff w:val="space"/>
      <w:lvlText w:val="%1.%2"/>
      <w:lvlJc w:val="left"/>
      <w:pPr>
        <w:ind w:left="0" w:firstLine="0"/>
      </w:pPr>
      <w:rPr>
        <w:rFonts w:hint="default"/>
      </w:rPr>
    </w:lvl>
    <w:lvl w:ilvl="2">
      <w:start w:val="1"/>
      <w:numFmt w:val="decimal"/>
      <w:pStyle w:val="Heading30"/>
      <w:suff w:val="space"/>
      <w:lvlText w:val="%1.%2.%3"/>
      <w:lvlJc w:val="left"/>
      <w:pPr>
        <w:ind w:left="0" w:firstLine="0"/>
      </w:pPr>
      <w:rPr>
        <w:rFonts w:hint="default"/>
      </w:rPr>
    </w:lvl>
    <w:lvl w:ilvl="3">
      <w:start w:val="1"/>
      <w:numFmt w:val="decimal"/>
      <w:pStyle w:val="Heading40"/>
      <w:suff w:val="space"/>
      <w:lvlText w:val="%1.%2.%3.%4 "/>
      <w:lvlJc w:val="left"/>
      <w:pPr>
        <w:ind w:left="0" w:firstLine="0"/>
      </w:pPr>
      <w:rPr>
        <w:rFonts w:hint="default"/>
      </w:rPr>
    </w:lvl>
    <w:lvl w:ilvl="4">
      <w:start w:val="1"/>
      <w:numFmt w:val="decimal"/>
      <w:pStyle w:val="Heading50"/>
      <w:suff w:val="space"/>
      <w:lvlText w:val="%1.%2.%3.%4.%5   "/>
      <w:lvlJc w:val="left"/>
      <w:pPr>
        <w:ind w:left="0" w:firstLine="0"/>
      </w:pPr>
      <w:rPr>
        <w:rFonts w:hint="default"/>
      </w:rPr>
    </w:lvl>
    <w:lvl w:ilvl="5">
      <w:start w:val="1"/>
      <w:numFmt w:val="decimal"/>
      <w:suff w:val="space"/>
      <w:lvlText w:val="%1.%2.%3.%4.%5.%6"/>
      <w:lvlJc w:val="left"/>
      <w:pPr>
        <w:ind w:left="0" w:firstLine="0"/>
      </w:pPr>
      <w:rPr>
        <w:rFonts w:hint="default"/>
      </w:rPr>
    </w:lvl>
    <w:lvl w:ilvl="6">
      <w:start w:val="1"/>
      <w:numFmt w:val="decimal"/>
      <w:suff w:val="space"/>
      <w:lvlText w:val="%1.%2.%3.%4.%5.%6.%7"/>
      <w:lvlJc w:val="left"/>
      <w:pPr>
        <w:ind w:left="0" w:firstLine="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tabs>
          <w:tab w:val="num" w:pos="1134"/>
        </w:tabs>
        <w:ind w:left="0" w:firstLine="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tabs>
          <w:tab w:val="num" w:pos="1134"/>
        </w:tabs>
        <w:ind w:left="0" w:firstLine="0"/>
      </w:pPr>
      <w:rPr>
        <w:rFonts w:hint="default"/>
      </w:rPr>
    </w:lvl>
  </w:abstractNum>
  <w:abstractNum w:abstractNumId="20">
    <w:nsid w:val="775840DB"/>
    <w:multiLevelType w:val="hybridMultilevel"/>
    <w:tmpl w:val="BE5C70A6"/>
    <w:lvl w:ilvl="0">
      <w:start w:val="1"/>
      <w:numFmt w:val="bullet"/>
      <w:lvlText w:val=""/>
      <w:lvlJc w:val="left"/>
      <w:pPr>
        <w:ind w:left="420" w:hanging="420"/>
      </w:pPr>
      <w:rPr>
        <w:rFonts w:ascii="Wingdings" w:hAnsi="Wingdings" w:hint="default"/>
        <w:color w:val="EE3123"/>
      </w:rPr>
    </w:lvl>
    <w:lvl w:ilvl="1">
      <w:start w:val="1"/>
      <w:numFmt w:val="bullet"/>
      <w:lvlText w:val=""/>
      <w:lvlJc w:val="left"/>
      <w:pPr>
        <w:ind w:left="840" w:hanging="420"/>
      </w:pPr>
      <w:rPr>
        <w:rFonts w:ascii="Calibri" w:eastAsia="宋体" w:hAnsi="Calibri" w:hint="default"/>
        <w:color w:val="EE3123"/>
      </w:rPr>
    </w:lvl>
    <w:lvl w:ilvl="2" w:tentative="1">
      <w:start w:val="1"/>
      <w:numFmt w:val="bullet"/>
      <w:lvlText w:val=""/>
      <w:lvlJc w:val="left"/>
      <w:pPr>
        <w:ind w:left="1260" w:hanging="420"/>
      </w:pPr>
      <w:rPr>
        <w:rFonts w:ascii="Wingdings" w:hAnsi="Wingdings" w:hint="default"/>
      </w:rPr>
    </w:lvl>
    <w:lvl w:ilvl="3" w:tentative="1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 w:tentative="1">
      <w:start w:val="1"/>
      <w:numFmt w:val="bullet"/>
      <w:lvlText w:val=""/>
      <w:lvlJc w:val="left"/>
      <w:pPr>
        <w:ind w:left="2100" w:hanging="420"/>
      </w:pPr>
      <w:rPr>
        <w:rFonts w:ascii="Wingdings" w:hAnsi="Wingdings" w:hint="default"/>
      </w:rPr>
    </w:lvl>
    <w:lvl w:ilvl="5" w:tentative="1">
      <w:start w:val="1"/>
      <w:numFmt w:val="bullet"/>
      <w:lvlText w:val=""/>
      <w:lvlJc w:val="left"/>
      <w:pPr>
        <w:ind w:left="2520" w:hanging="420"/>
      </w:pPr>
      <w:rPr>
        <w:rFonts w:ascii="Wingdings" w:hAnsi="Wingdings" w:hint="default"/>
      </w:rPr>
    </w:lvl>
    <w:lvl w:ilvl="6" w:tentative="1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 w:tentative="1">
      <w:start w:val="1"/>
      <w:numFmt w:val="bullet"/>
      <w:lvlText w:val=""/>
      <w:lvlJc w:val="left"/>
      <w:pPr>
        <w:ind w:left="3360" w:hanging="420"/>
      </w:pPr>
      <w:rPr>
        <w:rFonts w:ascii="Wingdings" w:hAnsi="Wingdings" w:hint="default"/>
      </w:rPr>
    </w:lvl>
    <w:lvl w:ilvl="8" w:tentative="1">
      <w:start w:val="1"/>
      <w:numFmt w:val="bullet"/>
      <w:lvlText w:val=""/>
      <w:lvlJc w:val="left"/>
      <w:pPr>
        <w:ind w:left="3780" w:hanging="420"/>
      </w:pPr>
      <w:rPr>
        <w:rFonts w:ascii="Wingdings" w:hAnsi="Wingdings" w:hint="default"/>
      </w:rPr>
    </w:lvl>
  </w:abstractNum>
  <w:abstractNum w:abstractNumId="21">
    <w:nsid w:val="7D0A4463"/>
    <w:multiLevelType w:val="hybridMultilevel"/>
    <w:tmpl w:val="7B04B818"/>
    <w:lvl w:ilvl="0">
      <w:start w:val="1"/>
      <w:numFmt w:val="bullet"/>
      <w:lvlText w:val=""/>
      <w:lvlJc w:val="left"/>
      <w:pPr>
        <w:ind w:left="420" w:hanging="420"/>
      </w:pPr>
      <w:rPr>
        <w:rFonts w:ascii="Wingdings" w:hAnsi="Wingdings" w:hint="default"/>
        <w:color w:val="EE3123"/>
      </w:rPr>
    </w:lvl>
    <w:lvl w:ilvl="1">
      <w:start w:val="1"/>
      <w:numFmt w:val="bullet"/>
      <w:lvlText w:val=""/>
      <w:lvlJc w:val="left"/>
      <w:pPr>
        <w:ind w:left="840" w:hanging="420"/>
      </w:pPr>
      <w:rPr>
        <w:rFonts w:ascii="Wingdings" w:hAnsi="Wingdings" w:hint="default"/>
        <w:color w:val="EE3123"/>
      </w:rPr>
    </w:lvl>
    <w:lvl w:ilvl="2" w:tentative="1">
      <w:start w:val="1"/>
      <w:numFmt w:val="bullet"/>
      <w:lvlText w:val=""/>
      <w:lvlJc w:val="left"/>
      <w:pPr>
        <w:ind w:left="1260" w:hanging="420"/>
      </w:pPr>
      <w:rPr>
        <w:rFonts w:ascii="Wingdings" w:hAnsi="Wingdings" w:hint="default"/>
      </w:rPr>
    </w:lvl>
    <w:lvl w:ilvl="3" w:tentative="1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 w:tentative="1">
      <w:start w:val="1"/>
      <w:numFmt w:val="bullet"/>
      <w:lvlText w:val=""/>
      <w:lvlJc w:val="left"/>
      <w:pPr>
        <w:ind w:left="2100" w:hanging="420"/>
      </w:pPr>
      <w:rPr>
        <w:rFonts w:ascii="Wingdings" w:hAnsi="Wingdings" w:hint="default"/>
      </w:rPr>
    </w:lvl>
    <w:lvl w:ilvl="5" w:tentative="1">
      <w:start w:val="1"/>
      <w:numFmt w:val="bullet"/>
      <w:lvlText w:val=""/>
      <w:lvlJc w:val="left"/>
      <w:pPr>
        <w:ind w:left="2520" w:hanging="420"/>
      </w:pPr>
      <w:rPr>
        <w:rFonts w:ascii="Wingdings" w:hAnsi="Wingdings" w:hint="default"/>
      </w:rPr>
    </w:lvl>
    <w:lvl w:ilvl="6" w:tentative="1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 w:tentative="1">
      <w:start w:val="1"/>
      <w:numFmt w:val="bullet"/>
      <w:lvlText w:val=""/>
      <w:lvlJc w:val="left"/>
      <w:pPr>
        <w:ind w:left="3360" w:hanging="420"/>
      </w:pPr>
      <w:rPr>
        <w:rFonts w:ascii="Wingdings" w:hAnsi="Wingdings" w:hint="default"/>
      </w:rPr>
    </w:lvl>
    <w:lvl w:ilvl="8" w:tentative="1">
      <w:start w:val="1"/>
      <w:numFmt w:val="bullet"/>
      <w:lvlText w:val=""/>
      <w:lvlJc w:val="left"/>
      <w:pPr>
        <w:ind w:left="3780" w:hanging="420"/>
      </w:pPr>
      <w:rPr>
        <w:rFonts w:ascii="Wingdings" w:hAnsi="Wingdings" w:hint="default"/>
      </w:rPr>
    </w:lvl>
  </w:abstractNum>
  <w:abstractNum w:abstractNumId="22">
    <w:nsid w:val="7D0A4464"/>
    <w:multiLevelType w:val="hybridMultilevel"/>
    <w:tmpl w:val="0C6A9BA4"/>
    <w:lvl w:ilvl="0">
      <w:start w:val="1"/>
      <w:numFmt w:val="bullet"/>
      <w:lvlText w:val=""/>
      <w:lvlJc w:val="left"/>
      <w:pPr>
        <w:ind w:left="840" w:hanging="420"/>
      </w:pPr>
      <w:rPr>
        <w:rFonts w:ascii="Wingdings" w:hAnsi="Wingdings" w:hint="default"/>
        <w:color w:val="000080"/>
        <w:w w:val="102"/>
        <w:sz w:val="19"/>
        <w:szCs w:val="19"/>
      </w:rPr>
    </w:lvl>
    <w:lvl w:ilvl="1">
      <w:start w:val="1"/>
      <w:numFmt w:val="bullet"/>
      <w:lvlText w:val=""/>
      <w:lvlJc w:val="left"/>
      <w:pPr>
        <w:ind w:left="1280" w:hanging="440"/>
      </w:pPr>
      <w:rPr>
        <w:rFonts w:ascii="Wingdings" w:hAnsi="Wingdings" w:hint="default"/>
        <w:color w:val="000080"/>
      </w:rPr>
    </w:lvl>
    <w:lvl w:ilvl="2" w:tentative="1">
      <w:start w:val="1"/>
      <w:numFmt w:val="bullet"/>
      <w:lvlText w:val=""/>
      <w:lvlJc w:val="left"/>
      <w:pPr>
        <w:ind w:left="1680" w:hanging="420"/>
      </w:pPr>
      <w:rPr>
        <w:rFonts w:ascii="Wingdings" w:hAnsi="Wingdings" w:hint="default"/>
      </w:rPr>
    </w:lvl>
    <w:lvl w:ilvl="3" w:tentative="1">
      <w:start w:val="1"/>
      <w:numFmt w:val="bullet"/>
      <w:lvlText w:val=""/>
      <w:lvlJc w:val="left"/>
      <w:pPr>
        <w:ind w:left="2100" w:hanging="420"/>
      </w:pPr>
      <w:rPr>
        <w:rFonts w:ascii="Wingdings" w:hAnsi="Wingdings" w:hint="default"/>
      </w:rPr>
    </w:lvl>
    <w:lvl w:ilvl="4" w:tentative="1">
      <w:start w:val="1"/>
      <w:numFmt w:val="bullet"/>
      <w:lvlText w:val=""/>
      <w:lvlJc w:val="left"/>
      <w:pPr>
        <w:ind w:left="2520" w:hanging="420"/>
      </w:pPr>
      <w:rPr>
        <w:rFonts w:ascii="Wingdings" w:hAnsi="Wingdings" w:hint="default"/>
      </w:rPr>
    </w:lvl>
    <w:lvl w:ilvl="5" w:tentative="1">
      <w:start w:val="1"/>
      <w:numFmt w:val="bullet"/>
      <w:lvlText w:val=""/>
      <w:lvlJc w:val="left"/>
      <w:pPr>
        <w:ind w:left="2940" w:hanging="420"/>
      </w:pPr>
      <w:rPr>
        <w:rFonts w:ascii="Wingdings" w:hAnsi="Wingdings" w:hint="default"/>
      </w:rPr>
    </w:lvl>
    <w:lvl w:ilvl="6" w:tentative="1">
      <w:start w:val="1"/>
      <w:numFmt w:val="bullet"/>
      <w:lvlText w:val=""/>
      <w:lvlJc w:val="left"/>
      <w:pPr>
        <w:ind w:left="3360" w:hanging="420"/>
      </w:pPr>
      <w:rPr>
        <w:rFonts w:ascii="Wingdings" w:hAnsi="Wingdings" w:hint="default"/>
      </w:rPr>
    </w:lvl>
    <w:lvl w:ilvl="7" w:tentative="1">
      <w:start w:val="1"/>
      <w:numFmt w:val="bullet"/>
      <w:lvlText w:val=""/>
      <w:lvlJc w:val="left"/>
      <w:pPr>
        <w:ind w:left="3780" w:hanging="420"/>
      </w:pPr>
      <w:rPr>
        <w:rFonts w:ascii="Wingdings" w:hAnsi="Wingdings" w:hint="default"/>
      </w:rPr>
    </w:lvl>
    <w:lvl w:ilvl="8" w:tentative="1">
      <w:start w:val="1"/>
      <w:numFmt w:val="bullet"/>
      <w:lvlText w:val=""/>
      <w:lvlJc w:val="left"/>
      <w:pPr>
        <w:ind w:left="4200" w:hanging="420"/>
      </w:pPr>
      <w:rPr>
        <w:rFonts w:ascii="Wingdings" w:hAnsi="Wingdings" w:hint="default"/>
      </w:rPr>
    </w:lvl>
  </w:abstractNum>
  <w:num w:numId="1" w16cid:durableId="518005654">
    <w:abstractNumId w:val="3"/>
  </w:num>
  <w:num w:numId="2" w16cid:durableId="1661806245">
    <w:abstractNumId w:val="6"/>
  </w:num>
  <w:num w:numId="3" w16cid:durableId="86269035">
    <w:abstractNumId w:val="14"/>
  </w:num>
  <w:num w:numId="4" w16cid:durableId="1169562750">
    <w:abstractNumId w:val="8"/>
  </w:num>
  <w:num w:numId="5" w16cid:durableId="583222043">
    <w:abstractNumId w:val="17"/>
  </w:num>
  <w:num w:numId="6" w16cid:durableId="675574624">
    <w:abstractNumId w:val="7"/>
  </w:num>
  <w:num w:numId="7" w16cid:durableId="1193766317">
    <w:abstractNumId w:val="2"/>
  </w:num>
  <w:num w:numId="8" w16cid:durableId="2128965787">
    <w:abstractNumId w:val="15"/>
  </w:num>
  <w:num w:numId="9" w16cid:durableId="1146046838">
    <w:abstractNumId w:val="18"/>
  </w:num>
  <w:num w:numId="10" w16cid:durableId="120003709">
    <w:abstractNumId w:val="4"/>
  </w:num>
  <w:num w:numId="11" w16cid:durableId="2023312802">
    <w:abstractNumId w:val="1"/>
  </w:num>
  <w:num w:numId="12" w16cid:durableId="586351250">
    <w:abstractNumId w:val="11"/>
  </w:num>
  <w:num w:numId="13" w16cid:durableId="2020303409">
    <w:abstractNumId w:val="13"/>
  </w:num>
  <w:num w:numId="14" w16cid:durableId="1027415062">
    <w:abstractNumId w:val="16"/>
  </w:num>
  <w:num w:numId="15" w16cid:durableId="1996489347">
    <w:abstractNumId w:val="10"/>
  </w:num>
  <w:num w:numId="16" w16cid:durableId="355233093">
    <w:abstractNumId w:val="9"/>
  </w:num>
  <w:num w:numId="17" w16cid:durableId="511182471">
    <w:abstractNumId w:val="20"/>
  </w:num>
  <w:num w:numId="18" w16cid:durableId="15235965">
    <w:abstractNumId w:val="21"/>
  </w:num>
  <w:num w:numId="19" w16cid:durableId="1158572570">
    <w:abstractNumId w:val="0"/>
  </w:num>
  <w:num w:numId="20">
    <w:abstractNumId w:val="22"/>
  </w:num>
  <w:num w:numId="21">
    <w:abstractNumId w:val="19"/>
  </w:num>
  <w:num w:numId="22">
    <w:abstractNumId w:val="5"/>
  </w:num>
  <w:num w:numId="23">
    <w:abstractNumId w:val="12"/>
  </w:num>
  <w:numIdMacAtCleanup w:val="4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bordersDoNotSurroundHeader/>
  <w:bordersDoNotSurroundFooter/>
  <w:stylePaneFormatFilter w:val="1724" w:allStyles="0" w:alternateStyleNames="0" w:clearFormatting="1" w:customStyles="0" w:directFormattingOnNumbering="1" w:directFormattingOnParagraphs="1" w:directFormattingOnRuns="1" w:directFormattingOnTables="0" w:headingStyles="1" w:latentStyles="1" w:numberingStyles="0" w:stylesInUse="0" w:tableStyles="0" w:top3HeadingStyles="0" w:visibleStyles="0"/>
  <w:documentProtection w:edit="readOnly" w:enforcement="0"/>
  <w:defaultTabStop w:val="420"/>
  <w:defaultTableStyle w:val="ListTable2Accent2"/>
  <w:drawingGridHorizontalSpacing w:val="105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  <w:compatSetting w:name="differentiateMultirowTableHeaders" w:uri="http://schemas.microsoft.com/office/word" w:val="1"/>
  </w:compat>
  <w:rsids>
    <w:rsidRoot w:val="00D33EE2"/>
    <w:rsid w:val="00000106"/>
    <w:rsid w:val="000002E5"/>
    <w:rsid w:val="0000037A"/>
    <w:rsid w:val="0000040F"/>
    <w:rsid w:val="0000064D"/>
    <w:rsid w:val="00000877"/>
    <w:rsid w:val="00000A89"/>
    <w:rsid w:val="000016E1"/>
    <w:rsid w:val="00001917"/>
    <w:rsid w:val="00001B99"/>
    <w:rsid w:val="000021D3"/>
    <w:rsid w:val="000025E0"/>
    <w:rsid w:val="0000269D"/>
    <w:rsid w:val="000027A8"/>
    <w:rsid w:val="00002869"/>
    <w:rsid w:val="000029F3"/>
    <w:rsid w:val="00002B4B"/>
    <w:rsid w:val="00002BBA"/>
    <w:rsid w:val="0000329B"/>
    <w:rsid w:val="00003397"/>
    <w:rsid w:val="0000349A"/>
    <w:rsid w:val="00003700"/>
    <w:rsid w:val="00003782"/>
    <w:rsid w:val="000038D0"/>
    <w:rsid w:val="000039AF"/>
    <w:rsid w:val="00003B42"/>
    <w:rsid w:val="00003CC3"/>
    <w:rsid w:val="00003CF9"/>
    <w:rsid w:val="00003FB0"/>
    <w:rsid w:val="00004960"/>
    <w:rsid w:val="000049FF"/>
    <w:rsid w:val="00004BF2"/>
    <w:rsid w:val="00005239"/>
    <w:rsid w:val="000052C4"/>
    <w:rsid w:val="000055DF"/>
    <w:rsid w:val="000059EA"/>
    <w:rsid w:val="00005BB1"/>
    <w:rsid w:val="00005DAE"/>
    <w:rsid w:val="00006267"/>
    <w:rsid w:val="00006302"/>
    <w:rsid w:val="0000642F"/>
    <w:rsid w:val="000065D5"/>
    <w:rsid w:val="000067A6"/>
    <w:rsid w:val="000068DD"/>
    <w:rsid w:val="00006B33"/>
    <w:rsid w:val="00006C3C"/>
    <w:rsid w:val="0000715E"/>
    <w:rsid w:val="0000731E"/>
    <w:rsid w:val="00007431"/>
    <w:rsid w:val="0000744D"/>
    <w:rsid w:val="00007489"/>
    <w:rsid w:val="000076C8"/>
    <w:rsid w:val="00007BF8"/>
    <w:rsid w:val="00007CA0"/>
    <w:rsid w:val="00007DB0"/>
    <w:rsid w:val="00007ED7"/>
    <w:rsid w:val="00007EE2"/>
    <w:rsid w:val="00007F66"/>
    <w:rsid w:val="00007FAA"/>
    <w:rsid w:val="0001018A"/>
    <w:rsid w:val="000103CB"/>
    <w:rsid w:val="00010481"/>
    <w:rsid w:val="0001077A"/>
    <w:rsid w:val="00010845"/>
    <w:rsid w:val="000108AE"/>
    <w:rsid w:val="000109CC"/>
    <w:rsid w:val="00010BB3"/>
    <w:rsid w:val="00010D85"/>
    <w:rsid w:val="00011200"/>
    <w:rsid w:val="000114D1"/>
    <w:rsid w:val="0001185E"/>
    <w:rsid w:val="000119D3"/>
    <w:rsid w:val="00011A71"/>
    <w:rsid w:val="00011AA6"/>
    <w:rsid w:val="00011E33"/>
    <w:rsid w:val="000120F7"/>
    <w:rsid w:val="000120F9"/>
    <w:rsid w:val="00012326"/>
    <w:rsid w:val="0001244D"/>
    <w:rsid w:val="000128D9"/>
    <w:rsid w:val="00012B3C"/>
    <w:rsid w:val="00012BC1"/>
    <w:rsid w:val="00012DE2"/>
    <w:rsid w:val="00012FDB"/>
    <w:rsid w:val="00013017"/>
    <w:rsid w:val="000132EE"/>
    <w:rsid w:val="00013635"/>
    <w:rsid w:val="00013659"/>
    <w:rsid w:val="000136A7"/>
    <w:rsid w:val="00013731"/>
    <w:rsid w:val="00013823"/>
    <w:rsid w:val="00013969"/>
    <w:rsid w:val="00013D27"/>
    <w:rsid w:val="00013D7F"/>
    <w:rsid w:val="000141F9"/>
    <w:rsid w:val="0001421D"/>
    <w:rsid w:val="00014244"/>
    <w:rsid w:val="0001432F"/>
    <w:rsid w:val="00014432"/>
    <w:rsid w:val="000145C2"/>
    <w:rsid w:val="00014605"/>
    <w:rsid w:val="0001485D"/>
    <w:rsid w:val="00014897"/>
    <w:rsid w:val="00014AA7"/>
    <w:rsid w:val="00014BB9"/>
    <w:rsid w:val="00014D34"/>
    <w:rsid w:val="00014F30"/>
    <w:rsid w:val="000153E4"/>
    <w:rsid w:val="000156AC"/>
    <w:rsid w:val="00015713"/>
    <w:rsid w:val="00015818"/>
    <w:rsid w:val="00015864"/>
    <w:rsid w:val="00015A7B"/>
    <w:rsid w:val="00015CBB"/>
    <w:rsid w:val="00015E10"/>
    <w:rsid w:val="00015E99"/>
    <w:rsid w:val="00015FDD"/>
    <w:rsid w:val="00016171"/>
    <w:rsid w:val="0001617D"/>
    <w:rsid w:val="0001619B"/>
    <w:rsid w:val="000167EE"/>
    <w:rsid w:val="000167EF"/>
    <w:rsid w:val="000167F2"/>
    <w:rsid w:val="00016D28"/>
    <w:rsid w:val="00016EE0"/>
    <w:rsid w:val="000173DA"/>
    <w:rsid w:val="00017AF5"/>
    <w:rsid w:val="00017B00"/>
    <w:rsid w:val="00017B34"/>
    <w:rsid w:val="00017B67"/>
    <w:rsid w:val="00017D8A"/>
    <w:rsid w:val="00020010"/>
    <w:rsid w:val="0002003A"/>
    <w:rsid w:val="00020334"/>
    <w:rsid w:val="00020389"/>
    <w:rsid w:val="000203BB"/>
    <w:rsid w:val="000203CA"/>
    <w:rsid w:val="000204FF"/>
    <w:rsid w:val="0002064A"/>
    <w:rsid w:val="00020861"/>
    <w:rsid w:val="0002086E"/>
    <w:rsid w:val="000208D2"/>
    <w:rsid w:val="000208F4"/>
    <w:rsid w:val="0002097B"/>
    <w:rsid w:val="00020C1E"/>
    <w:rsid w:val="00020D26"/>
    <w:rsid w:val="0002133B"/>
    <w:rsid w:val="000213EE"/>
    <w:rsid w:val="000214F8"/>
    <w:rsid w:val="000215AD"/>
    <w:rsid w:val="00021B83"/>
    <w:rsid w:val="00022072"/>
    <w:rsid w:val="0002211E"/>
    <w:rsid w:val="000227F4"/>
    <w:rsid w:val="0002286A"/>
    <w:rsid w:val="00022BF6"/>
    <w:rsid w:val="0002322C"/>
    <w:rsid w:val="0002380E"/>
    <w:rsid w:val="00023A63"/>
    <w:rsid w:val="00023A89"/>
    <w:rsid w:val="00023AE3"/>
    <w:rsid w:val="00023EFD"/>
    <w:rsid w:val="0002439F"/>
    <w:rsid w:val="000245F3"/>
    <w:rsid w:val="000249B5"/>
    <w:rsid w:val="00024A90"/>
    <w:rsid w:val="00024AB2"/>
    <w:rsid w:val="00024D77"/>
    <w:rsid w:val="00024E50"/>
    <w:rsid w:val="000250A5"/>
    <w:rsid w:val="00025159"/>
    <w:rsid w:val="000252AE"/>
    <w:rsid w:val="00025557"/>
    <w:rsid w:val="000258F2"/>
    <w:rsid w:val="00025ACB"/>
    <w:rsid w:val="00025B09"/>
    <w:rsid w:val="00025C6C"/>
    <w:rsid w:val="00025EFE"/>
    <w:rsid w:val="00026590"/>
    <w:rsid w:val="000265D9"/>
    <w:rsid w:val="000266A1"/>
    <w:rsid w:val="000268BE"/>
    <w:rsid w:val="00026A10"/>
    <w:rsid w:val="00026D2A"/>
    <w:rsid w:val="000271CF"/>
    <w:rsid w:val="00027396"/>
    <w:rsid w:val="000273D0"/>
    <w:rsid w:val="000275CD"/>
    <w:rsid w:val="00027709"/>
    <w:rsid w:val="000279C8"/>
    <w:rsid w:val="00027A24"/>
    <w:rsid w:val="00027C3E"/>
    <w:rsid w:val="00027FE5"/>
    <w:rsid w:val="0003028C"/>
    <w:rsid w:val="00030747"/>
    <w:rsid w:val="000309FC"/>
    <w:rsid w:val="00030D82"/>
    <w:rsid w:val="00030FF1"/>
    <w:rsid w:val="00031562"/>
    <w:rsid w:val="00031955"/>
    <w:rsid w:val="00031AAD"/>
    <w:rsid w:val="00031C5A"/>
    <w:rsid w:val="00033169"/>
    <w:rsid w:val="00033204"/>
    <w:rsid w:val="00033548"/>
    <w:rsid w:val="000335CD"/>
    <w:rsid w:val="00033657"/>
    <w:rsid w:val="000336E7"/>
    <w:rsid w:val="0003397E"/>
    <w:rsid w:val="00033A47"/>
    <w:rsid w:val="00033AF8"/>
    <w:rsid w:val="00034139"/>
    <w:rsid w:val="0003418C"/>
    <w:rsid w:val="000341AC"/>
    <w:rsid w:val="000343CD"/>
    <w:rsid w:val="0003490B"/>
    <w:rsid w:val="00034B41"/>
    <w:rsid w:val="00034E67"/>
    <w:rsid w:val="00034EEB"/>
    <w:rsid w:val="00034F97"/>
    <w:rsid w:val="00035858"/>
    <w:rsid w:val="00035A85"/>
    <w:rsid w:val="00035DD2"/>
    <w:rsid w:val="000361AA"/>
    <w:rsid w:val="00036235"/>
    <w:rsid w:val="00036338"/>
    <w:rsid w:val="00036399"/>
    <w:rsid w:val="0003650F"/>
    <w:rsid w:val="00036630"/>
    <w:rsid w:val="00036873"/>
    <w:rsid w:val="00036884"/>
    <w:rsid w:val="00036AD7"/>
    <w:rsid w:val="00036B57"/>
    <w:rsid w:val="00036CD1"/>
    <w:rsid w:val="00036E7D"/>
    <w:rsid w:val="00037161"/>
    <w:rsid w:val="0003756E"/>
    <w:rsid w:val="000377BD"/>
    <w:rsid w:val="00037875"/>
    <w:rsid w:val="0003790B"/>
    <w:rsid w:val="00037C40"/>
    <w:rsid w:val="00037EAF"/>
    <w:rsid w:val="00040146"/>
    <w:rsid w:val="000401E4"/>
    <w:rsid w:val="000406A0"/>
    <w:rsid w:val="000406BF"/>
    <w:rsid w:val="0004091E"/>
    <w:rsid w:val="00040984"/>
    <w:rsid w:val="00040A05"/>
    <w:rsid w:val="00040AEF"/>
    <w:rsid w:val="00040C44"/>
    <w:rsid w:val="000410B0"/>
    <w:rsid w:val="000413FA"/>
    <w:rsid w:val="00041419"/>
    <w:rsid w:val="00041742"/>
    <w:rsid w:val="000418E0"/>
    <w:rsid w:val="00041969"/>
    <w:rsid w:val="00042176"/>
    <w:rsid w:val="0004225A"/>
    <w:rsid w:val="000422FC"/>
    <w:rsid w:val="0004261F"/>
    <w:rsid w:val="000426DE"/>
    <w:rsid w:val="00042A07"/>
    <w:rsid w:val="00042A43"/>
    <w:rsid w:val="00042B36"/>
    <w:rsid w:val="00042B50"/>
    <w:rsid w:val="00042DFF"/>
    <w:rsid w:val="00042EE2"/>
    <w:rsid w:val="00042EF0"/>
    <w:rsid w:val="00043152"/>
    <w:rsid w:val="000431A1"/>
    <w:rsid w:val="00043A38"/>
    <w:rsid w:val="000440AA"/>
    <w:rsid w:val="000444F2"/>
    <w:rsid w:val="0004455F"/>
    <w:rsid w:val="0004471B"/>
    <w:rsid w:val="00044970"/>
    <w:rsid w:val="00044A74"/>
    <w:rsid w:val="00044C25"/>
    <w:rsid w:val="00044DED"/>
    <w:rsid w:val="0004517E"/>
    <w:rsid w:val="000451B3"/>
    <w:rsid w:val="000451CE"/>
    <w:rsid w:val="000454AB"/>
    <w:rsid w:val="00045BA2"/>
    <w:rsid w:val="00045DAC"/>
    <w:rsid w:val="00045E3B"/>
    <w:rsid w:val="00045EE5"/>
    <w:rsid w:val="0004604A"/>
    <w:rsid w:val="0004684F"/>
    <w:rsid w:val="00046B63"/>
    <w:rsid w:val="00046C6E"/>
    <w:rsid w:val="00046DE0"/>
    <w:rsid w:val="00046FA9"/>
    <w:rsid w:val="00046FC5"/>
    <w:rsid w:val="000476B0"/>
    <w:rsid w:val="0004799F"/>
    <w:rsid w:val="00047A3A"/>
    <w:rsid w:val="00047C16"/>
    <w:rsid w:val="00050358"/>
    <w:rsid w:val="000505B3"/>
    <w:rsid w:val="00050754"/>
    <w:rsid w:val="00050C02"/>
    <w:rsid w:val="00050D18"/>
    <w:rsid w:val="00050D36"/>
    <w:rsid w:val="00050D7B"/>
    <w:rsid w:val="00050E1E"/>
    <w:rsid w:val="0005117A"/>
    <w:rsid w:val="00051275"/>
    <w:rsid w:val="00051E47"/>
    <w:rsid w:val="00051E87"/>
    <w:rsid w:val="00051E9F"/>
    <w:rsid w:val="00051EA1"/>
    <w:rsid w:val="000520FB"/>
    <w:rsid w:val="0005213D"/>
    <w:rsid w:val="000526B0"/>
    <w:rsid w:val="00052ADC"/>
    <w:rsid w:val="00052B62"/>
    <w:rsid w:val="00052BA9"/>
    <w:rsid w:val="00052BEA"/>
    <w:rsid w:val="00052CEB"/>
    <w:rsid w:val="00052F03"/>
    <w:rsid w:val="00053155"/>
    <w:rsid w:val="000532AE"/>
    <w:rsid w:val="000533DC"/>
    <w:rsid w:val="00053B73"/>
    <w:rsid w:val="00053C81"/>
    <w:rsid w:val="00053DCE"/>
    <w:rsid w:val="000540C6"/>
    <w:rsid w:val="00054743"/>
    <w:rsid w:val="000547B8"/>
    <w:rsid w:val="00054A1D"/>
    <w:rsid w:val="00054CA2"/>
    <w:rsid w:val="00054DC1"/>
    <w:rsid w:val="00054EB2"/>
    <w:rsid w:val="00055048"/>
    <w:rsid w:val="000551A8"/>
    <w:rsid w:val="000551F6"/>
    <w:rsid w:val="0005571A"/>
    <w:rsid w:val="0005573C"/>
    <w:rsid w:val="000557A3"/>
    <w:rsid w:val="00055D4E"/>
    <w:rsid w:val="00055FDB"/>
    <w:rsid w:val="0005628E"/>
    <w:rsid w:val="00056418"/>
    <w:rsid w:val="00056B4D"/>
    <w:rsid w:val="00056BCB"/>
    <w:rsid w:val="00056CB8"/>
    <w:rsid w:val="00056F48"/>
    <w:rsid w:val="00056F7A"/>
    <w:rsid w:val="000570CD"/>
    <w:rsid w:val="00057760"/>
    <w:rsid w:val="00057958"/>
    <w:rsid w:val="00057B7B"/>
    <w:rsid w:val="00057CBE"/>
    <w:rsid w:val="00057D39"/>
    <w:rsid w:val="00057F4C"/>
    <w:rsid w:val="00057FAE"/>
    <w:rsid w:val="00060341"/>
    <w:rsid w:val="000603E9"/>
    <w:rsid w:val="0006049B"/>
    <w:rsid w:val="00060636"/>
    <w:rsid w:val="00060757"/>
    <w:rsid w:val="0006091D"/>
    <w:rsid w:val="0006091E"/>
    <w:rsid w:val="00060C07"/>
    <w:rsid w:val="00060CD5"/>
    <w:rsid w:val="00060E35"/>
    <w:rsid w:val="00061102"/>
    <w:rsid w:val="0006119C"/>
    <w:rsid w:val="0006133C"/>
    <w:rsid w:val="00061357"/>
    <w:rsid w:val="00061412"/>
    <w:rsid w:val="000614FD"/>
    <w:rsid w:val="000617AE"/>
    <w:rsid w:val="00061CB8"/>
    <w:rsid w:val="00061CCB"/>
    <w:rsid w:val="00061D15"/>
    <w:rsid w:val="00061E1D"/>
    <w:rsid w:val="00061F14"/>
    <w:rsid w:val="00062377"/>
    <w:rsid w:val="000623CA"/>
    <w:rsid w:val="00062452"/>
    <w:rsid w:val="000625B5"/>
    <w:rsid w:val="00062831"/>
    <w:rsid w:val="000628A0"/>
    <w:rsid w:val="000628CC"/>
    <w:rsid w:val="00062946"/>
    <w:rsid w:val="00062BC9"/>
    <w:rsid w:val="000630D1"/>
    <w:rsid w:val="00063574"/>
    <w:rsid w:val="00063906"/>
    <w:rsid w:val="00063D74"/>
    <w:rsid w:val="00063DC9"/>
    <w:rsid w:val="00063F63"/>
    <w:rsid w:val="00063FE7"/>
    <w:rsid w:val="00064398"/>
    <w:rsid w:val="0006458C"/>
    <w:rsid w:val="0006479F"/>
    <w:rsid w:val="00064D8D"/>
    <w:rsid w:val="0006577B"/>
    <w:rsid w:val="00065DC3"/>
    <w:rsid w:val="00065E59"/>
    <w:rsid w:val="000661AB"/>
    <w:rsid w:val="000662D4"/>
    <w:rsid w:val="000663BE"/>
    <w:rsid w:val="00066527"/>
    <w:rsid w:val="000669B0"/>
    <w:rsid w:val="00066A4C"/>
    <w:rsid w:val="00066AE7"/>
    <w:rsid w:val="00066D2A"/>
    <w:rsid w:val="00066D79"/>
    <w:rsid w:val="0006707F"/>
    <w:rsid w:val="000670C2"/>
    <w:rsid w:val="000673C9"/>
    <w:rsid w:val="00067559"/>
    <w:rsid w:val="000675BB"/>
    <w:rsid w:val="000675FB"/>
    <w:rsid w:val="00067F14"/>
    <w:rsid w:val="00067F5A"/>
    <w:rsid w:val="00067FAE"/>
    <w:rsid w:val="000701A1"/>
    <w:rsid w:val="0007057E"/>
    <w:rsid w:val="000707D9"/>
    <w:rsid w:val="00070D94"/>
    <w:rsid w:val="00071137"/>
    <w:rsid w:val="00071759"/>
    <w:rsid w:val="000717B2"/>
    <w:rsid w:val="00071914"/>
    <w:rsid w:val="0007197B"/>
    <w:rsid w:val="00072081"/>
    <w:rsid w:val="0007273D"/>
    <w:rsid w:val="00072769"/>
    <w:rsid w:val="00072A2A"/>
    <w:rsid w:val="00072A3E"/>
    <w:rsid w:val="00072C69"/>
    <w:rsid w:val="00072D13"/>
    <w:rsid w:val="00072DE7"/>
    <w:rsid w:val="00073567"/>
    <w:rsid w:val="000736FE"/>
    <w:rsid w:val="0007382E"/>
    <w:rsid w:val="000738CA"/>
    <w:rsid w:val="000738D7"/>
    <w:rsid w:val="00073D0A"/>
    <w:rsid w:val="00073D18"/>
    <w:rsid w:val="000745A7"/>
    <w:rsid w:val="00074777"/>
    <w:rsid w:val="00074D5F"/>
    <w:rsid w:val="00074E91"/>
    <w:rsid w:val="00074EBA"/>
    <w:rsid w:val="00075438"/>
    <w:rsid w:val="00075609"/>
    <w:rsid w:val="00075678"/>
    <w:rsid w:val="000758F1"/>
    <w:rsid w:val="00075973"/>
    <w:rsid w:val="00075A1D"/>
    <w:rsid w:val="00075C56"/>
    <w:rsid w:val="00076004"/>
    <w:rsid w:val="0007628F"/>
    <w:rsid w:val="00076381"/>
    <w:rsid w:val="00076738"/>
    <w:rsid w:val="0007687A"/>
    <w:rsid w:val="00076A76"/>
    <w:rsid w:val="00076CC4"/>
    <w:rsid w:val="00076D7D"/>
    <w:rsid w:val="00076DE7"/>
    <w:rsid w:val="0007705A"/>
    <w:rsid w:val="0007715D"/>
    <w:rsid w:val="00077246"/>
    <w:rsid w:val="00077774"/>
    <w:rsid w:val="00077888"/>
    <w:rsid w:val="000779EE"/>
    <w:rsid w:val="00077E70"/>
    <w:rsid w:val="00080816"/>
    <w:rsid w:val="00080CA5"/>
    <w:rsid w:val="00081510"/>
    <w:rsid w:val="00081765"/>
    <w:rsid w:val="00081894"/>
    <w:rsid w:val="000818C2"/>
    <w:rsid w:val="00081AF3"/>
    <w:rsid w:val="00081B5A"/>
    <w:rsid w:val="00081F8A"/>
    <w:rsid w:val="00081F94"/>
    <w:rsid w:val="000820AB"/>
    <w:rsid w:val="000822A2"/>
    <w:rsid w:val="00082515"/>
    <w:rsid w:val="00082CAC"/>
    <w:rsid w:val="00082D3E"/>
    <w:rsid w:val="00082EAE"/>
    <w:rsid w:val="0008345E"/>
    <w:rsid w:val="0008353C"/>
    <w:rsid w:val="00083794"/>
    <w:rsid w:val="000837BF"/>
    <w:rsid w:val="00083A84"/>
    <w:rsid w:val="00083BBA"/>
    <w:rsid w:val="00083D24"/>
    <w:rsid w:val="00083D9E"/>
    <w:rsid w:val="0008427D"/>
    <w:rsid w:val="000843AA"/>
    <w:rsid w:val="000845D0"/>
    <w:rsid w:val="00084739"/>
    <w:rsid w:val="00084C40"/>
    <w:rsid w:val="00084CE6"/>
    <w:rsid w:val="0008540C"/>
    <w:rsid w:val="0008591A"/>
    <w:rsid w:val="00085B65"/>
    <w:rsid w:val="00085D33"/>
    <w:rsid w:val="00085E8F"/>
    <w:rsid w:val="00085EA1"/>
    <w:rsid w:val="00085EDA"/>
    <w:rsid w:val="00086005"/>
    <w:rsid w:val="0008625C"/>
    <w:rsid w:val="00086395"/>
    <w:rsid w:val="0008643B"/>
    <w:rsid w:val="000864F4"/>
    <w:rsid w:val="0008678A"/>
    <w:rsid w:val="00086967"/>
    <w:rsid w:val="000869AA"/>
    <w:rsid w:val="00086B30"/>
    <w:rsid w:val="00086C39"/>
    <w:rsid w:val="00086CF6"/>
    <w:rsid w:val="00086F7A"/>
    <w:rsid w:val="00086FAB"/>
    <w:rsid w:val="0008742F"/>
    <w:rsid w:val="000877AC"/>
    <w:rsid w:val="000878FE"/>
    <w:rsid w:val="00087940"/>
    <w:rsid w:val="000879F3"/>
    <w:rsid w:val="000902B4"/>
    <w:rsid w:val="00090512"/>
    <w:rsid w:val="000906C1"/>
    <w:rsid w:val="00090770"/>
    <w:rsid w:val="00090892"/>
    <w:rsid w:val="00090A21"/>
    <w:rsid w:val="00090E77"/>
    <w:rsid w:val="00090F72"/>
    <w:rsid w:val="00090FF0"/>
    <w:rsid w:val="00091504"/>
    <w:rsid w:val="00091554"/>
    <w:rsid w:val="00091647"/>
    <w:rsid w:val="000917C2"/>
    <w:rsid w:val="0009183F"/>
    <w:rsid w:val="00091F46"/>
    <w:rsid w:val="00091F7D"/>
    <w:rsid w:val="00091F96"/>
    <w:rsid w:val="000920C3"/>
    <w:rsid w:val="0009210C"/>
    <w:rsid w:val="0009250F"/>
    <w:rsid w:val="000926D5"/>
    <w:rsid w:val="00092C83"/>
    <w:rsid w:val="00092D41"/>
    <w:rsid w:val="0009305C"/>
    <w:rsid w:val="0009308A"/>
    <w:rsid w:val="000930E7"/>
    <w:rsid w:val="00093149"/>
    <w:rsid w:val="00093611"/>
    <w:rsid w:val="00093719"/>
    <w:rsid w:val="000938F3"/>
    <w:rsid w:val="00093A0F"/>
    <w:rsid w:val="000943AD"/>
    <w:rsid w:val="0009461E"/>
    <w:rsid w:val="00094645"/>
    <w:rsid w:val="0009497F"/>
    <w:rsid w:val="000949AE"/>
    <w:rsid w:val="000949EE"/>
    <w:rsid w:val="00094A08"/>
    <w:rsid w:val="00094B61"/>
    <w:rsid w:val="00094CB3"/>
    <w:rsid w:val="00094FF9"/>
    <w:rsid w:val="000950D1"/>
    <w:rsid w:val="000951C9"/>
    <w:rsid w:val="0009530B"/>
    <w:rsid w:val="000954CD"/>
    <w:rsid w:val="000954FD"/>
    <w:rsid w:val="00095AA4"/>
    <w:rsid w:val="00095E4D"/>
    <w:rsid w:val="00095E55"/>
    <w:rsid w:val="00096130"/>
    <w:rsid w:val="0009618D"/>
    <w:rsid w:val="00096313"/>
    <w:rsid w:val="000963D8"/>
    <w:rsid w:val="000965AE"/>
    <w:rsid w:val="000965E8"/>
    <w:rsid w:val="000969C2"/>
    <w:rsid w:val="00096A9C"/>
    <w:rsid w:val="00096DF4"/>
    <w:rsid w:val="00096F6E"/>
    <w:rsid w:val="00097004"/>
    <w:rsid w:val="00097053"/>
    <w:rsid w:val="00097116"/>
    <w:rsid w:val="00097308"/>
    <w:rsid w:val="00097657"/>
    <w:rsid w:val="000977E2"/>
    <w:rsid w:val="000978CD"/>
    <w:rsid w:val="00097C01"/>
    <w:rsid w:val="00097C7C"/>
    <w:rsid w:val="00097DF1"/>
    <w:rsid w:val="00097FEF"/>
    <w:rsid w:val="000A0087"/>
    <w:rsid w:val="000A01F4"/>
    <w:rsid w:val="000A02AB"/>
    <w:rsid w:val="000A02D5"/>
    <w:rsid w:val="000A0459"/>
    <w:rsid w:val="000A0A86"/>
    <w:rsid w:val="000A0B20"/>
    <w:rsid w:val="000A0F28"/>
    <w:rsid w:val="000A10F7"/>
    <w:rsid w:val="000A1135"/>
    <w:rsid w:val="000A154C"/>
    <w:rsid w:val="000A16A6"/>
    <w:rsid w:val="000A1808"/>
    <w:rsid w:val="000A19DB"/>
    <w:rsid w:val="000A1FD0"/>
    <w:rsid w:val="000A212A"/>
    <w:rsid w:val="000A2581"/>
    <w:rsid w:val="000A2603"/>
    <w:rsid w:val="000A2CF5"/>
    <w:rsid w:val="000A3284"/>
    <w:rsid w:val="000A3415"/>
    <w:rsid w:val="000A3740"/>
    <w:rsid w:val="000A3952"/>
    <w:rsid w:val="000A3DAF"/>
    <w:rsid w:val="000A4134"/>
    <w:rsid w:val="000A44DE"/>
    <w:rsid w:val="000A4763"/>
    <w:rsid w:val="000A4996"/>
    <w:rsid w:val="000A4F02"/>
    <w:rsid w:val="000A50BF"/>
    <w:rsid w:val="000A569A"/>
    <w:rsid w:val="000A5953"/>
    <w:rsid w:val="000A5AAE"/>
    <w:rsid w:val="000A5CE2"/>
    <w:rsid w:val="000A5EF7"/>
    <w:rsid w:val="000A5FCB"/>
    <w:rsid w:val="000A6183"/>
    <w:rsid w:val="000A67F0"/>
    <w:rsid w:val="000A6A99"/>
    <w:rsid w:val="000A6CBC"/>
    <w:rsid w:val="000A6EAD"/>
    <w:rsid w:val="000A70D8"/>
    <w:rsid w:val="000A7252"/>
    <w:rsid w:val="000A739A"/>
    <w:rsid w:val="000A742F"/>
    <w:rsid w:val="000A7A5D"/>
    <w:rsid w:val="000A7D26"/>
    <w:rsid w:val="000A7E45"/>
    <w:rsid w:val="000B00FF"/>
    <w:rsid w:val="000B074A"/>
    <w:rsid w:val="000B081E"/>
    <w:rsid w:val="000B09BE"/>
    <w:rsid w:val="000B0AE3"/>
    <w:rsid w:val="000B0B87"/>
    <w:rsid w:val="000B0E2A"/>
    <w:rsid w:val="000B1490"/>
    <w:rsid w:val="000B14B0"/>
    <w:rsid w:val="000B152D"/>
    <w:rsid w:val="000B1621"/>
    <w:rsid w:val="000B16C2"/>
    <w:rsid w:val="000B18B5"/>
    <w:rsid w:val="000B1941"/>
    <w:rsid w:val="000B19AE"/>
    <w:rsid w:val="000B1B8F"/>
    <w:rsid w:val="000B1C38"/>
    <w:rsid w:val="000B1C7E"/>
    <w:rsid w:val="000B1C80"/>
    <w:rsid w:val="000B1F4B"/>
    <w:rsid w:val="000B21E0"/>
    <w:rsid w:val="000B2357"/>
    <w:rsid w:val="000B24D6"/>
    <w:rsid w:val="000B2548"/>
    <w:rsid w:val="000B263C"/>
    <w:rsid w:val="000B2797"/>
    <w:rsid w:val="000B2B1D"/>
    <w:rsid w:val="000B2D76"/>
    <w:rsid w:val="000B2D8A"/>
    <w:rsid w:val="000B2DE5"/>
    <w:rsid w:val="000B2F7A"/>
    <w:rsid w:val="000B2FF6"/>
    <w:rsid w:val="000B35A4"/>
    <w:rsid w:val="000B35B2"/>
    <w:rsid w:val="000B3608"/>
    <w:rsid w:val="000B3614"/>
    <w:rsid w:val="000B3884"/>
    <w:rsid w:val="000B38A8"/>
    <w:rsid w:val="000B391C"/>
    <w:rsid w:val="000B3DA0"/>
    <w:rsid w:val="000B3F33"/>
    <w:rsid w:val="000B4015"/>
    <w:rsid w:val="000B4061"/>
    <w:rsid w:val="000B446C"/>
    <w:rsid w:val="000B462D"/>
    <w:rsid w:val="000B4653"/>
    <w:rsid w:val="000B47A7"/>
    <w:rsid w:val="000B4865"/>
    <w:rsid w:val="000B493F"/>
    <w:rsid w:val="000B4A74"/>
    <w:rsid w:val="000B4AA7"/>
    <w:rsid w:val="000B4D7D"/>
    <w:rsid w:val="000B4DEB"/>
    <w:rsid w:val="000B4E10"/>
    <w:rsid w:val="000B4E44"/>
    <w:rsid w:val="000B5077"/>
    <w:rsid w:val="000B516C"/>
    <w:rsid w:val="000B51C8"/>
    <w:rsid w:val="000B5398"/>
    <w:rsid w:val="000B5548"/>
    <w:rsid w:val="000B5818"/>
    <w:rsid w:val="000B5A2B"/>
    <w:rsid w:val="000B5AF1"/>
    <w:rsid w:val="000B5BF3"/>
    <w:rsid w:val="000B5D72"/>
    <w:rsid w:val="000B6009"/>
    <w:rsid w:val="000B6275"/>
    <w:rsid w:val="000B65A5"/>
    <w:rsid w:val="000B6831"/>
    <w:rsid w:val="000B71D0"/>
    <w:rsid w:val="000B74B4"/>
    <w:rsid w:val="000B7731"/>
    <w:rsid w:val="000B7BF0"/>
    <w:rsid w:val="000C003D"/>
    <w:rsid w:val="000C0684"/>
    <w:rsid w:val="000C0901"/>
    <w:rsid w:val="000C0ACE"/>
    <w:rsid w:val="000C10B1"/>
    <w:rsid w:val="000C177B"/>
    <w:rsid w:val="000C1D38"/>
    <w:rsid w:val="000C1DDF"/>
    <w:rsid w:val="000C1E4E"/>
    <w:rsid w:val="000C28E2"/>
    <w:rsid w:val="000C2B78"/>
    <w:rsid w:val="000C2B90"/>
    <w:rsid w:val="000C2F47"/>
    <w:rsid w:val="000C32FA"/>
    <w:rsid w:val="000C368A"/>
    <w:rsid w:val="000C36FE"/>
    <w:rsid w:val="000C3754"/>
    <w:rsid w:val="000C381B"/>
    <w:rsid w:val="000C3907"/>
    <w:rsid w:val="000C396C"/>
    <w:rsid w:val="000C3C8A"/>
    <w:rsid w:val="000C3CC0"/>
    <w:rsid w:val="000C3CDD"/>
    <w:rsid w:val="000C3F3D"/>
    <w:rsid w:val="000C4090"/>
    <w:rsid w:val="000C41F9"/>
    <w:rsid w:val="000C4353"/>
    <w:rsid w:val="000C4681"/>
    <w:rsid w:val="000C471F"/>
    <w:rsid w:val="000C4891"/>
    <w:rsid w:val="000C4B91"/>
    <w:rsid w:val="000C4F50"/>
    <w:rsid w:val="000C5002"/>
    <w:rsid w:val="000C5358"/>
    <w:rsid w:val="000C5457"/>
    <w:rsid w:val="000C5498"/>
    <w:rsid w:val="000C57EF"/>
    <w:rsid w:val="000C58CD"/>
    <w:rsid w:val="000C58F0"/>
    <w:rsid w:val="000C5AD9"/>
    <w:rsid w:val="000C5EA0"/>
    <w:rsid w:val="000C5FD7"/>
    <w:rsid w:val="000C60EB"/>
    <w:rsid w:val="000C67EE"/>
    <w:rsid w:val="000C6FE4"/>
    <w:rsid w:val="000C7B81"/>
    <w:rsid w:val="000C7F08"/>
    <w:rsid w:val="000D00BA"/>
    <w:rsid w:val="000D0198"/>
    <w:rsid w:val="000D07CB"/>
    <w:rsid w:val="000D094C"/>
    <w:rsid w:val="000D0B37"/>
    <w:rsid w:val="000D0C7A"/>
    <w:rsid w:val="000D0CE9"/>
    <w:rsid w:val="000D0E1C"/>
    <w:rsid w:val="000D10BD"/>
    <w:rsid w:val="000D1361"/>
    <w:rsid w:val="000D16A2"/>
    <w:rsid w:val="000D1730"/>
    <w:rsid w:val="000D1B16"/>
    <w:rsid w:val="000D20A6"/>
    <w:rsid w:val="000D218B"/>
    <w:rsid w:val="000D2751"/>
    <w:rsid w:val="000D285D"/>
    <w:rsid w:val="000D2A32"/>
    <w:rsid w:val="000D2DDD"/>
    <w:rsid w:val="000D2DFC"/>
    <w:rsid w:val="000D2E10"/>
    <w:rsid w:val="000D329A"/>
    <w:rsid w:val="000D3C62"/>
    <w:rsid w:val="000D4BC2"/>
    <w:rsid w:val="000D4CE6"/>
    <w:rsid w:val="000D4D4C"/>
    <w:rsid w:val="000D4EC6"/>
    <w:rsid w:val="000D4F39"/>
    <w:rsid w:val="000D52C1"/>
    <w:rsid w:val="000D53F1"/>
    <w:rsid w:val="000D541E"/>
    <w:rsid w:val="000D580D"/>
    <w:rsid w:val="000D5920"/>
    <w:rsid w:val="000D5C69"/>
    <w:rsid w:val="000D5DB6"/>
    <w:rsid w:val="000D62C2"/>
    <w:rsid w:val="000D67BB"/>
    <w:rsid w:val="000D6B86"/>
    <w:rsid w:val="000D6CBE"/>
    <w:rsid w:val="000D6DDA"/>
    <w:rsid w:val="000D70F5"/>
    <w:rsid w:val="000D71BE"/>
    <w:rsid w:val="000D74C9"/>
    <w:rsid w:val="000D7739"/>
    <w:rsid w:val="000D79DF"/>
    <w:rsid w:val="000D7C84"/>
    <w:rsid w:val="000D7DDB"/>
    <w:rsid w:val="000D7FFD"/>
    <w:rsid w:val="000E0039"/>
    <w:rsid w:val="000E03DB"/>
    <w:rsid w:val="000E0647"/>
    <w:rsid w:val="000E066F"/>
    <w:rsid w:val="000E06E0"/>
    <w:rsid w:val="000E08A9"/>
    <w:rsid w:val="000E08AD"/>
    <w:rsid w:val="000E0A5C"/>
    <w:rsid w:val="000E0F94"/>
    <w:rsid w:val="000E1551"/>
    <w:rsid w:val="000E180B"/>
    <w:rsid w:val="000E183E"/>
    <w:rsid w:val="000E1AFA"/>
    <w:rsid w:val="000E1EB5"/>
    <w:rsid w:val="000E1ED4"/>
    <w:rsid w:val="000E1FC6"/>
    <w:rsid w:val="000E2741"/>
    <w:rsid w:val="000E278F"/>
    <w:rsid w:val="000E2986"/>
    <w:rsid w:val="000E2AA1"/>
    <w:rsid w:val="000E2AA9"/>
    <w:rsid w:val="000E2B8C"/>
    <w:rsid w:val="000E2D99"/>
    <w:rsid w:val="000E2F79"/>
    <w:rsid w:val="000E307E"/>
    <w:rsid w:val="000E3197"/>
    <w:rsid w:val="000E31E5"/>
    <w:rsid w:val="000E3223"/>
    <w:rsid w:val="000E32F3"/>
    <w:rsid w:val="000E334C"/>
    <w:rsid w:val="000E3358"/>
    <w:rsid w:val="000E3620"/>
    <w:rsid w:val="000E3634"/>
    <w:rsid w:val="000E3A0C"/>
    <w:rsid w:val="000E463C"/>
    <w:rsid w:val="000E4758"/>
    <w:rsid w:val="000E4925"/>
    <w:rsid w:val="000E4C65"/>
    <w:rsid w:val="000E5014"/>
    <w:rsid w:val="000E5230"/>
    <w:rsid w:val="000E526F"/>
    <w:rsid w:val="000E5597"/>
    <w:rsid w:val="000E56E5"/>
    <w:rsid w:val="000E5A50"/>
    <w:rsid w:val="000E5C8B"/>
    <w:rsid w:val="000E5DC9"/>
    <w:rsid w:val="000E5E2C"/>
    <w:rsid w:val="000E5FEC"/>
    <w:rsid w:val="000E64D4"/>
    <w:rsid w:val="000E684A"/>
    <w:rsid w:val="000E69C7"/>
    <w:rsid w:val="000E6C91"/>
    <w:rsid w:val="000E6E20"/>
    <w:rsid w:val="000E715B"/>
    <w:rsid w:val="000E735A"/>
    <w:rsid w:val="000E779B"/>
    <w:rsid w:val="000E7BFB"/>
    <w:rsid w:val="000F0197"/>
    <w:rsid w:val="000F0274"/>
    <w:rsid w:val="000F07F2"/>
    <w:rsid w:val="000F08CA"/>
    <w:rsid w:val="000F09D3"/>
    <w:rsid w:val="000F09DC"/>
    <w:rsid w:val="000F0A9F"/>
    <w:rsid w:val="000F0CD1"/>
    <w:rsid w:val="000F112D"/>
    <w:rsid w:val="000F1133"/>
    <w:rsid w:val="000F1245"/>
    <w:rsid w:val="000F1502"/>
    <w:rsid w:val="000F168C"/>
    <w:rsid w:val="000F16AF"/>
    <w:rsid w:val="000F1772"/>
    <w:rsid w:val="000F1A8C"/>
    <w:rsid w:val="000F1AC0"/>
    <w:rsid w:val="000F1B37"/>
    <w:rsid w:val="000F1C0A"/>
    <w:rsid w:val="000F27A1"/>
    <w:rsid w:val="000F2853"/>
    <w:rsid w:val="000F28DD"/>
    <w:rsid w:val="000F2BA7"/>
    <w:rsid w:val="000F2BC2"/>
    <w:rsid w:val="000F2CAB"/>
    <w:rsid w:val="000F2EAC"/>
    <w:rsid w:val="000F2ECA"/>
    <w:rsid w:val="000F33F1"/>
    <w:rsid w:val="000F34CF"/>
    <w:rsid w:val="000F3548"/>
    <w:rsid w:val="000F35FB"/>
    <w:rsid w:val="000F363E"/>
    <w:rsid w:val="000F3835"/>
    <w:rsid w:val="000F38CD"/>
    <w:rsid w:val="000F4599"/>
    <w:rsid w:val="000F45DB"/>
    <w:rsid w:val="000F4769"/>
    <w:rsid w:val="000F4987"/>
    <w:rsid w:val="000F4A1F"/>
    <w:rsid w:val="000F4B4C"/>
    <w:rsid w:val="000F4E94"/>
    <w:rsid w:val="000F4F90"/>
    <w:rsid w:val="000F4FF5"/>
    <w:rsid w:val="000F500E"/>
    <w:rsid w:val="000F5108"/>
    <w:rsid w:val="000F5218"/>
    <w:rsid w:val="000F5221"/>
    <w:rsid w:val="000F52A4"/>
    <w:rsid w:val="000F5314"/>
    <w:rsid w:val="000F5ADC"/>
    <w:rsid w:val="000F5BC7"/>
    <w:rsid w:val="000F5CBB"/>
    <w:rsid w:val="000F5E98"/>
    <w:rsid w:val="000F6732"/>
    <w:rsid w:val="000F697A"/>
    <w:rsid w:val="000F69A9"/>
    <w:rsid w:val="000F6E0D"/>
    <w:rsid w:val="000F6E7A"/>
    <w:rsid w:val="000F7740"/>
    <w:rsid w:val="000F788F"/>
    <w:rsid w:val="000F7C51"/>
    <w:rsid w:val="000F7E9E"/>
    <w:rsid w:val="000F7ED8"/>
    <w:rsid w:val="000F7F87"/>
    <w:rsid w:val="000F7FA9"/>
    <w:rsid w:val="00100106"/>
    <w:rsid w:val="00100681"/>
    <w:rsid w:val="001007DF"/>
    <w:rsid w:val="00100941"/>
    <w:rsid w:val="00100E63"/>
    <w:rsid w:val="00100EC6"/>
    <w:rsid w:val="001013D8"/>
    <w:rsid w:val="0010179E"/>
    <w:rsid w:val="001017A2"/>
    <w:rsid w:val="00101803"/>
    <w:rsid w:val="00101BDA"/>
    <w:rsid w:val="00101F4E"/>
    <w:rsid w:val="00102C5C"/>
    <w:rsid w:val="00102D21"/>
    <w:rsid w:val="00102DC8"/>
    <w:rsid w:val="00102EB2"/>
    <w:rsid w:val="001031E9"/>
    <w:rsid w:val="00103579"/>
    <w:rsid w:val="00103881"/>
    <w:rsid w:val="001039AB"/>
    <w:rsid w:val="00103CF4"/>
    <w:rsid w:val="00104164"/>
    <w:rsid w:val="0010432C"/>
    <w:rsid w:val="001047D0"/>
    <w:rsid w:val="0010494F"/>
    <w:rsid w:val="00104D67"/>
    <w:rsid w:val="00104DEF"/>
    <w:rsid w:val="00104FAD"/>
    <w:rsid w:val="001054D1"/>
    <w:rsid w:val="001056AE"/>
    <w:rsid w:val="00105B26"/>
    <w:rsid w:val="00106104"/>
    <w:rsid w:val="0010636B"/>
    <w:rsid w:val="0010663D"/>
    <w:rsid w:val="0010681F"/>
    <w:rsid w:val="00106906"/>
    <w:rsid w:val="0010695C"/>
    <w:rsid w:val="001069B1"/>
    <w:rsid w:val="00106C5E"/>
    <w:rsid w:val="00106F53"/>
    <w:rsid w:val="00106F8B"/>
    <w:rsid w:val="00107084"/>
    <w:rsid w:val="001070BE"/>
    <w:rsid w:val="00107146"/>
    <w:rsid w:val="00107610"/>
    <w:rsid w:val="00107994"/>
    <w:rsid w:val="00107A92"/>
    <w:rsid w:val="00107B23"/>
    <w:rsid w:val="00107C56"/>
    <w:rsid w:val="00110138"/>
    <w:rsid w:val="00110645"/>
    <w:rsid w:val="001106FC"/>
    <w:rsid w:val="001107A5"/>
    <w:rsid w:val="0011097E"/>
    <w:rsid w:val="00110D2D"/>
    <w:rsid w:val="00110E10"/>
    <w:rsid w:val="00110FD4"/>
    <w:rsid w:val="001114C5"/>
    <w:rsid w:val="001114E1"/>
    <w:rsid w:val="001115F4"/>
    <w:rsid w:val="001118A5"/>
    <w:rsid w:val="00111CAC"/>
    <w:rsid w:val="00111D2D"/>
    <w:rsid w:val="00111D3F"/>
    <w:rsid w:val="00111DEB"/>
    <w:rsid w:val="001120B8"/>
    <w:rsid w:val="00112295"/>
    <w:rsid w:val="0011256C"/>
    <w:rsid w:val="00112597"/>
    <w:rsid w:val="00112803"/>
    <w:rsid w:val="00112B3A"/>
    <w:rsid w:val="00112C06"/>
    <w:rsid w:val="00112CE6"/>
    <w:rsid w:val="00113041"/>
    <w:rsid w:val="0011351C"/>
    <w:rsid w:val="00113846"/>
    <w:rsid w:val="001138BD"/>
    <w:rsid w:val="001139D3"/>
    <w:rsid w:val="00113A8E"/>
    <w:rsid w:val="00113EF5"/>
    <w:rsid w:val="00113F15"/>
    <w:rsid w:val="00113F3F"/>
    <w:rsid w:val="00113FA8"/>
    <w:rsid w:val="00114063"/>
    <w:rsid w:val="001143DD"/>
    <w:rsid w:val="00114453"/>
    <w:rsid w:val="00114AC0"/>
    <w:rsid w:val="00114B33"/>
    <w:rsid w:val="00114D76"/>
    <w:rsid w:val="0011545C"/>
    <w:rsid w:val="0011572C"/>
    <w:rsid w:val="001157E5"/>
    <w:rsid w:val="001159C6"/>
    <w:rsid w:val="001159C9"/>
    <w:rsid w:val="00115A55"/>
    <w:rsid w:val="00115ABE"/>
    <w:rsid w:val="00115B1E"/>
    <w:rsid w:val="00115BCE"/>
    <w:rsid w:val="00115C61"/>
    <w:rsid w:val="00115C9D"/>
    <w:rsid w:val="00115E19"/>
    <w:rsid w:val="00116253"/>
    <w:rsid w:val="00116460"/>
    <w:rsid w:val="001164CD"/>
    <w:rsid w:val="001165B7"/>
    <w:rsid w:val="001166B5"/>
    <w:rsid w:val="00116715"/>
    <w:rsid w:val="0011683B"/>
    <w:rsid w:val="00116B81"/>
    <w:rsid w:val="00116D51"/>
    <w:rsid w:val="00116E9E"/>
    <w:rsid w:val="00116F18"/>
    <w:rsid w:val="001170DE"/>
    <w:rsid w:val="001170EA"/>
    <w:rsid w:val="00117258"/>
    <w:rsid w:val="00117312"/>
    <w:rsid w:val="0011732D"/>
    <w:rsid w:val="00117348"/>
    <w:rsid w:val="001178A9"/>
    <w:rsid w:val="00117AEC"/>
    <w:rsid w:val="00117B2E"/>
    <w:rsid w:val="00117C1F"/>
    <w:rsid w:val="00117C77"/>
    <w:rsid w:val="00117D7B"/>
    <w:rsid w:val="00117F64"/>
    <w:rsid w:val="0012021E"/>
    <w:rsid w:val="0012036C"/>
    <w:rsid w:val="0012044D"/>
    <w:rsid w:val="001206EC"/>
    <w:rsid w:val="0012075A"/>
    <w:rsid w:val="00120BD5"/>
    <w:rsid w:val="00120C0D"/>
    <w:rsid w:val="00120C94"/>
    <w:rsid w:val="00120D0D"/>
    <w:rsid w:val="00120DE6"/>
    <w:rsid w:val="001211DB"/>
    <w:rsid w:val="00121319"/>
    <w:rsid w:val="00121519"/>
    <w:rsid w:val="0012188D"/>
    <w:rsid w:val="0012197E"/>
    <w:rsid w:val="00121B08"/>
    <w:rsid w:val="00121D81"/>
    <w:rsid w:val="00121DCC"/>
    <w:rsid w:val="001222B7"/>
    <w:rsid w:val="001224F0"/>
    <w:rsid w:val="001226F0"/>
    <w:rsid w:val="00122888"/>
    <w:rsid w:val="00122C48"/>
    <w:rsid w:val="00122E96"/>
    <w:rsid w:val="00123503"/>
    <w:rsid w:val="001236B9"/>
    <w:rsid w:val="00123893"/>
    <w:rsid w:val="001238C3"/>
    <w:rsid w:val="00123D5A"/>
    <w:rsid w:val="00123F48"/>
    <w:rsid w:val="00123FA1"/>
    <w:rsid w:val="0012429A"/>
    <w:rsid w:val="001242C0"/>
    <w:rsid w:val="0012430D"/>
    <w:rsid w:val="00124406"/>
    <w:rsid w:val="0012452E"/>
    <w:rsid w:val="00124650"/>
    <w:rsid w:val="001249B2"/>
    <w:rsid w:val="00124DA1"/>
    <w:rsid w:val="00125274"/>
    <w:rsid w:val="00125569"/>
    <w:rsid w:val="001255E4"/>
    <w:rsid w:val="00125633"/>
    <w:rsid w:val="001257A3"/>
    <w:rsid w:val="001259C2"/>
    <w:rsid w:val="00125AEE"/>
    <w:rsid w:val="00125E1F"/>
    <w:rsid w:val="00126087"/>
    <w:rsid w:val="001263EA"/>
    <w:rsid w:val="0012651E"/>
    <w:rsid w:val="001266D3"/>
    <w:rsid w:val="001268A0"/>
    <w:rsid w:val="00126A92"/>
    <w:rsid w:val="00127027"/>
    <w:rsid w:val="00127234"/>
    <w:rsid w:val="00127AD5"/>
    <w:rsid w:val="00127C2B"/>
    <w:rsid w:val="00127E6C"/>
    <w:rsid w:val="00127E94"/>
    <w:rsid w:val="00130039"/>
    <w:rsid w:val="001302FA"/>
    <w:rsid w:val="001306FC"/>
    <w:rsid w:val="00130926"/>
    <w:rsid w:val="001309A9"/>
    <w:rsid w:val="00130A79"/>
    <w:rsid w:val="00130C14"/>
    <w:rsid w:val="00130C98"/>
    <w:rsid w:val="00130DB1"/>
    <w:rsid w:val="00131385"/>
    <w:rsid w:val="001313A5"/>
    <w:rsid w:val="00131460"/>
    <w:rsid w:val="00131544"/>
    <w:rsid w:val="00131729"/>
    <w:rsid w:val="00131795"/>
    <w:rsid w:val="00131812"/>
    <w:rsid w:val="00131AB7"/>
    <w:rsid w:val="00131ABE"/>
    <w:rsid w:val="00131DE3"/>
    <w:rsid w:val="0013231D"/>
    <w:rsid w:val="00132345"/>
    <w:rsid w:val="0013239B"/>
    <w:rsid w:val="001324C5"/>
    <w:rsid w:val="0013296A"/>
    <w:rsid w:val="00132AA4"/>
    <w:rsid w:val="00132C7D"/>
    <w:rsid w:val="00132F26"/>
    <w:rsid w:val="00132FB8"/>
    <w:rsid w:val="001331CD"/>
    <w:rsid w:val="00133327"/>
    <w:rsid w:val="00133365"/>
    <w:rsid w:val="00133619"/>
    <w:rsid w:val="0013395F"/>
    <w:rsid w:val="0013413F"/>
    <w:rsid w:val="0013420E"/>
    <w:rsid w:val="00134319"/>
    <w:rsid w:val="0013453B"/>
    <w:rsid w:val="00134DFE"/>
    <w:rsid w:val="00134E62"/>
    <w:rsid w:val="001353AB"/>
    <w:rsid w:val="00135584"/>
    <w:rsid w:val="00135812"/>
    <w:rsid w:val="00135A0F"/>
    <w:rsid w:val="00135A59"/>
    <w:rsid w:val="00135B42"/>
    <w:rsid w:val="00135B62"/>
    <w:rsid w:val="00135DB4"/>
    <w:rsid w:val="00135DD1"/>
    <w:rsid w:val="00135E7C"/>
    <w:rsid w:val="00135EA9"/>
    <w:rsid w:val="00135F2C"/>
    <w:rsid w:val="001360E1"/>
    <w:rsid w:val="00136178"/>
    <w:rsid w:val="00136193"/>
    <w:rsid w:val="001361ED"/>
    <w:rsid w:val="001363D6"/>
    <w:rsid w:val="001363F0"/>
    <w:rsid w:val="00136AEF"/>
    <w:rsid w:val="00136C29"/>
    <w:rsid w:val="00136C54"/>
    <w:rsid w:val="00136CE1"/>
    <w:rsid w:val="00136FB7"/>
    <w:rsid w:val="0013709B"/>
    <w:rsid w:val="0013725D"/>
    <w:rsid w:val="00137273"/>
    <w:rsid w:val="001377CE"/>
    <w:rsid w:val="00137863"/>
    <w:rsid w:val="001378F9"/>
    <w:rsid w:val="001379D8"/>
    <w:rsid w:val="00137A08"/>
    <w:rsid w:val="00137CD3"/>
    <w:rsid w:val="00137E26"/>
    <w:rsid w:val="00137E3E"/>
    <w:rsid w:val="001405A3"/>
    <w:rsid w:val="00140B83"/>
    <w:rsid w:val="00140E78"/>
    <w:rsid w:val="0014119B"/>
    <w:rsid w:val="00141211"/>
    <w:rsid w:val="001412EA"/>
    <w:rsid w:val="0014145F"/>
    <w:rsid w:val="00141699"/>
    <w:rsid w:val="0014196F"/>
    <w:rsid w:val="00141A2B"/>
    <w:rsid w:val="00141E8C"/>
    <w:rsid w:val="00142179"/>
    <w:rsid w:val="001421AC"/>
    <w:rsid w:val="0014280B"/>
    <w:rsid w:val="00142AC7"/>
    <w:rsid w:val="00142CCB"/>
    <w:rsid w:val="0014304B"/>
    <w:rsid w:val="0014318A"/>
    <w:rsid w:val="001431FB"/>
    <w:rsid w:val="001433D8"/>
    <w:rsid w:val="001437DD"/>
    <w:rsid w:val="00143A0B"/>
    <w:rsid w:val="00143CC4"/>
    <w:rsid w:val="00143D59"/>
    <w:rsid w:val="00143E64"/>
    <w:rsid w:val="0014400D"/>
    <w:rsid w:val="00144249"/>
    <w:rsid w:val="0014443C"/>
    <w:rsid w:val="00144635"/>
    <w:rsid w:val="001446CE"/>
    <w:rsid w:val="001454BE"/>
    <w:rsid w:val="001457CB"/>
    <w:rsid w:val="00145903"/>
    <w:rsid w:val="00145A3E"/>
    <w:rsid w:val="0014641A"/>
    <w:rsid w:val="001465E2"/>
    <w:rsid w:val="0014663F"/>
    <w:rsid w:val="00146BF3"/>
    <w:rsid w:val="00146CEE"/>
    <w:rsid w:val="00146DE3"/>
    <w:rsid w:val="00146E00"/>
    <w:rsid w:val="00146E34"/>
    <w:rsid w:val="00146F72"/>
    <w:rsid w:val="00147347"/>
    <w:rsid w:val="001473BC"/>
    <w:rsid w:val="00147560"/>
    <w:rsid w:val="001475BA"/>
    <w:rsid w:val="00147EE3"/>
    <w:rsid w:val="0015007C"/>
    <w:rsid w:val="001500D0"/>
    <w:rsid w:val="001505E1"/>
    <w:rsid w:val="0015096B"/>
    <w:rsid w:val="00150AB8"/>
    <w:rsid w:val="00150C1B"/>
    <w:rsid w:val="00150DBF"/>
    <w:rsid w:val="00150E81"/>
    <w:rsid w:val="00151031"/>
    <w:rsid w:val="001512A2"/>
    <w:rsid w:val="001512D2"/>
    <w:rsid w:val="001517A9"/>
    <w:rsid w:val="00151958"/>
    <w:rsid w:val="00151A1D"/>
    <w:rsid w:val="00152046"/>
    <w:rsid w:val="0015211D"/>
    <w:rsid w:val="00152131"/>
    <w:rsid w:val="00152239"/>
    <w:rsid w:val="001528C1"/>
    <w:rsid w:val="00152A26"/>
    <w:rsid w:val="00152BC2"/>
    <w:rsid w:val="00152C83"/>
    <w:rsid w:val="00152D52"/>
    <w:rsid w:val="00152D8E"/>
    <w:rsid w:val="00152F47"/>
    <w:rsid w:val="00153145"/>
    <w:rsid w:val="00153921"/>
    <w:rsid w:val="00153BDC"/>
    <w:rsid w:val="00154001"/>
    <w:rsid w:val="001540C1"/>
    <w:rsid w:val="001541F7"/>
    <w:rsid w:val="0015446C"/>
    <w:rsid w:val="001548C8"/>
    <w:rsid w:val="0015498C"/>
    <w:rsid w:val="00154B9F"/>
    <w:rsid w:val="00154C38"/>
    <w:rsid w:val="00154CA9"/>
    <w:rsid w:val="00154D56"/>
    <w:rsid w:val="00154E22"/>
    <w:rsid w:val="00154F73"/>
    <w:rsid w:val="00155061"/>
    <w:rsid w:val="00155198"/>
    <w:rsid w:val="00155251"/>
    <w:rsid w:val="001553CD"/>
    <w:rsid w:val="00155496"/>
    <w:rsid w:val="001559BC"/>
    <w:rsid w:val="00155A35"/>
    <w:rsid w:val="00155A7F"/>
    <w:rsid w:val="00155E02"/>
    <w:rsid w:val="00155EC8"/>
    <w:rsid w:val="00155F93"/>
    <w:rsid w:val="00156349"/>
    <w:rsid w:val="001564CE"/>
    <w:rsid w:val="00156909"/>
    <w:rsid w:val="00156A13"/>
    <w:rsid w:val="00156D2A"/>
    <w:rsid w:val="00156EA9"/>
    <w:rsid w:val="001573DD"/>
    <w:rsid w:val="001577F9"/>
    <w:rsid w:val="00157897"/>
    <w:rsid w:val="00157AF6"/>
    <w:rsid w:val="00157DF8"/>
    <w:rsid w:val="0016004A"/>
    <w:rsid w:val="0016010B"/>
    <w:rsid w:val="001602CD"/>
    <w:rsid w:val="0016044F"/>
    <w:rsid w:val="00160553"/>
    <w:rsid w:val="0016066C"/>
    <w:rsid w:val="00160A53"/>
    <w:rsid w:val="00160BE1"/>
    <w:rsid w:val="00160D9A"/>
    <w:rsid w:val="001610F5"/>
    <w:rsid w:val="00161196"/>
    <w:rsid w:val="00161EE9"/>
    <w:rsid w:val="001620CC"/>
    <w:rsid w:val="00162607"/>
    <w:rsid w:val="00162919"/>
    <w:rsid w:val="00162974"/>
    <w:rsid w:val="00162E2A"/>
    <w:rsid w:val="00162E99"/>
    <w:rsid w:val="0016306F"/>
    <w:rsid w:val="001631BA"/>
    <w:rsid w:val="00163516"/>
    <w:rsid w:val="0016355F"/>
    <w:rsid w:val="0016358F"/>
    <w:rsid w:val="001635F0"/>
    <w:rsid w:val="0016375F"/>
    <w:rsid w:val="001639DF"/>
    <w:rsid w:val="00163B9A"/>
    <w:rsid w:val="00163E2C"/>
    <w:rsid w:val="00163EBD"/>
    <w:rsid w:val="00164411"/>
    <w:rsid w:val="001644EE"/>
    <w:rsid w:val="00164834"/>
    <w:rsid w:val="00164909"/>
    <w:rsid w:val="00164B1D"/>
    <w:rsid w:val="00165091"/>
    <w:rsid w:val="0016515E"/>
    <w:rsid w:val="00165814"/>
    <w:rsid w:val="0016596E"/>
    <w:rsid w:val="00165C91"/>
    <w:rsid w:val="00165EC5"/>
    <w:rsid w:val="0016609D"/>
    <w:rsid w:val="001663C3"/>
    <w:rsid w:val="001664E5"/>
    <w:rsid w:val="0016681D"/>
    <w:rsid w:val="00166A0B"/>
    <w:rsid w:val="00166A10"/>
    <w:rsid w:val="00166CA0"/>
    <w:rsid w:val="00166D38"/>
    <w:rsid w:val="00166FB2"/>
    <w:rsid w:val="00166FC0"/>
    <w:rsid w:val="001675ED"/>
    <w:rsid w:val="00167622"/>
    <w:rsid w:val="00167D7D"/>
    <w:rsid w:val="001701B8"/>
    <w:rsid w:val="0017054B"/>
    <w:rsid w:val="001705D1"/>
    <w:rsid w:val="00170601"/>
    <w:rsid w:val="001706FB"/>
    <w:rsid w:val="0017126E"/>
    <w:rsid w:val="00171341"/>
    <w:rsid w:val="0017162E"/>
    <w:rsid w:val="00171BDE"/>
    <w:rsid w:val="00171CE3"/>
    <w:rsid w:val="00171FFE"/>
    <w:rsid w:val="0017225D"/>
    <w:rsid w:val="00172728"/>
    <w:rsid w:val="001727A1"/>
    <w:rsid w:val="001728EB"/>
    <w:rsid w:val="00172DB5"/>
    <w:rsid w:val="00172EB6"/>
    <w:rsid w:val="00172F7F"/>
    <w:rsid w:val="00172FF4"/>
    <w:rsid w:val="001731E9"/>
    <w:rsid w:val="0017357D"/>
    <w:rsid w:val="001735BD"/>
    <w:rsid w:val="0017376C"/>
    <w:rsid w:val="00173A0B"/>
    <w:rsid w:val="00174813"/>
    <w:rsid w:val="00174928"/>
    <w:rsid w:val="00174B47"/>
    <w:rsid w:val="00175134"/>
    <w:rsid w:val="00175257"/>
    <w:rsid w:val="0017525A"/>
    <w:rsid w:val="00175469"/>
    <w:rsid w:val="001754F4"/>
    <w:rsid w:val="001755DE"/>
    <w:rsid w:val="00175631"/>
    <w:rsid w:val="00175688"/>
    <w:rsid w:val="0017586F"/>
    <w:rsid w:val="001758D7"/>
    <w:rsid w:val="001758F7"/>
    <w:rsid w:val="001759E0"/>
    <w:rsid w:val="00175A19"/>
    <w:rsid w:val="00175B26"/>
    <w:rsid w:val="00175EB4"/>
    <w:rsid w:val="00175F46"/>
    <w:rsid w:val="00175F50"/>
    <w:rsid w:val="001762F2"/>
    <w:rsid w:val="00176A31"/>
    <w:rsid w:val="00177020"/>
    <w:rsid w:val="00177492"/>
    <w:rsid w:val="0017751A"/>
    <w:rsid w:val="00177D68"/>
    <w:rsid w:val="00177DE5"/>
    <w:rsid w:val="00180101"/>
    <w:rsid w:val="00180260"/>
    <w:rsid w:val="00180311"/>
    <w:rsid w:val="00180377"/>
    <w:rsid w:val="00180388"/>
    <w:rsid w:val="001806E5"/>
    <w:rsid w:val="001807FD"/>
    <w:rsid w:val="001809FC"/>
    <w:rsid w:val="0018135C"/>
    <w:rsid w:val="001818A1"/>
    <w:rsid w:val="001818E2"/>
    <w:rsid w:val="00181C25"/>
    <w:rsid w:val="00182284"/>
    <w:rsid w:val="00182364"/>
    <w:rsid w:val="00182826"/>
    <w:rsid w:val="001828C2"/>
    <w:rsid w:val="00182A15"/>
    <w:rsid w:val="00182BE5"/>
    <w:rsid w:val="00182DB4"/>
    <w:rsid w:val="00183008"/>
    <w:rsid w:val="0018309C"/>
    <w:rsid w:val="001832DA"/>
    <w:rsid w:val="00183923"/>
    <w:rsid w:val="00183BC8"/>
    <w:rsid w:val="00183D22"/>
    <w:rsid w:val="00184014"/>
    <w:rsid w:val="0018432C"/>
    <w:rsid w:val="001843D2"/>
    <w:rsid w:val="001844C7"/>
    <w:rsid w:val="001848AE"/>
    <w:rsid w:val="00184DAB"/>
    <w:rsid w:val="00184E1F"/>
    <w:rsid w:val="00184E6C"/>
    <w:rsid w:val="00184E75"/>
    <w:rsid w:val="001850F7"/>
    <w:rsid w:val="00185220"/>
    <w:rsid w:val="0018525B"/>
    <w:rsid w:val="00185558"/>
    <w:rsid w:val="001855C9"/>
    <w:rsid w:val="0018576B"/>
    <w:rsid w:val="0018578E"/>
    <w:rsid w:val="00185CF0"/>
    <w:rsid w:val="00185D35"/>
    <w:rsid w:val="0018604D"/>
    <w:rsid w:val="001862AD"/>
    <w:rsid w:val="001868C2"/>
    <w:rsid w:val="00186B8C"/>
    <w:rsid w:val="001872E2"/>
    <w:rsid w:val="0018742D"/>
    <w:rsid w:val="0018773D"/>
    <w:rsid w:val="001878D9"/>
    <w:rsid w:val="001879F5"/>
    <w:rsid w:val="00187ADB"/>
    <w:rsid w:val="00187AFF"/>
    <w:rsid w:val="00187BA4"/>
    <w:rsid w:val="00187CF7"/>
    <w:rsid w:val="00187E1E"/>
    <w:rsid w:val="001900A1"/>
    <w:rsid w:val="0019034B"/>
    <w:rsid w:val="00190369"/>
    <w:rsid w:val="00190794"/>
    <w:rsid w:val="001907C8"/>
    <w:rsid w:val="0019089C"/>
    <w:rsid w:val="00190960"/>
    <w:rsid w:val="00190B70"/>
    <w:rsid w:val="00190C15"/>
    <w:rsid w:val="00190CCE"/>
    <w:rsid w:val="00190F2E"/>
    <w:rsid w:val="001911EC"/>
    <w:rsid w:val="001915C1"/>
    <w:rsid w:val="00191600"/>
    <w:rsid w:val="0019167F"/>
    <w:rsid w:val="001916DD"/>
    <w:rsid w:val="00191786"/>
    <w:rsid w:val="00191AEB"/>
    <w:rsid w:val="00191BAC"/>
    <w:rsid w:val="00191D81"/>
    <w:rsid w:val="00191E92"/>
    <w:rsid w:val="00192086"/>
    <w:rsid w:val="00192144"/>
    <w:rsid w:val="00192632"/>
    <w:rsid w:val="00192EA2"/>
    <w:rsid w:val="00192EF0"/>
    <w:rsid w:val="00192F86"/>
    <w:rsid w:val="0019300E"/>
    <w:rsid w:val="00193445"/>
    <w:rsid w:val="001935BA"/>
    <w:rsid w:val="001936FA"/>
    <w:rsid w:val="00193A84"/>
    <w:rsid w:val="00193C6C"/>
    <w:rsid w:val="00194224"/>
    <w:rsid w:val="001942F8"/>
    <w:rsid w:val="00194534"/>
    <w:rsid w:val="0019469A"/>
    <w:rsid w:val="00194B44"/>
    <w:rsid w:val="001953AB"/>
    <w:rsid w:val="00195782"/>
    <w:rsid w:val="00195AA7"/>
    <w:rsid w:val="00195ECD"/>
    <w:rsid w:val="00196306"/>
    <w:rsid w:val="001965B4"/>
    <w:rsid w:val="00196A7E"/>
    <w:rsid w:val="00196C70"/>
    <w:rsid w:val="00196C87"/>
    <w:rsid w:val="00197349"/>
    <w:rsid w:val="00197503"/>
    <w:rsid w:val="00197734"/>
    <w:rsid w:val="00197AA1"/>
    <w:rsid w:val="00197AE7"/>
    <w:rsid w:val="00197DB0"/>
    <w:rsid w:val="00197EB6"/>
    <w:rsid w:val="00197FE6"/>
    <w:rsid w:val="001A0303"/>
    <w:rsid w:val="001A0317"/>
    <w:rsid w:val="001A0498"/>
    <w:rsid w:val="001A0A83"/>
    <w:rsid w:val="001A0D32"/>
    <w:rsid w:val="001A0E82"/>
    <w:rsid w:val="001A0F47"/>
    <w:rsid w:val="001A0F58"/>
    <w:rsid w:val="001A10FA"/>
    <w:rsid w:val="001A115E"/>
    <w:rsid w:val="001A1222"/>
    <w:rsid w:val="001A122E"/>
    <w:rsid w:val="001A14C2"/>
    <w:rsid w:val="001A18CA"/>
    <w:rsid w:val="001A1927"/>
    <w:rsid w:val="001A19F5"/>
    <w:rsid w:val="001A2398"/>
    <w:rsid w:val="001A255D"/>
    <w:rsid w:val="001A265D"/>
    <w:rsid w:val="001A274C"/>
    <w:rsid w:val="001A2832"/>
    <w:rsid w:val="001A288D"/>
    <w:rsid w:val="001A2A6D"/>
    <w:rsid w:val="001A2B17"/>
    <w:rsid w:val="001A3013"/>
    <w:rsid w:val="001A35BB"/>
    <w:rsid w:val="001A364D"/>
    <w:rsid w:val="001A365B"/>
    <w:rsid w:val="001A3A53"/>
    <w:rsid w:val="001A3A54"/>
    <w:rsid w:val="001A3A92"/>
    <w:rsid w:val="001A3F29"/>
    <w:rsid w:val="001A452E"/>
    <w:rsid w:val="001A497E"/>
    <w:rsid w:val="001A4AC4"/>
    <w:rsid w:val="001A4E82"/>
    <w:rsid w:val="001A4FFE"/>
    <w:rsid w:val="001A5277"/>
    <w:rsid w:val="001A53CE"/>
    <w:rsid w:val="001A551D"/>
    <w:rsid w:val="001A56A4"/>
    <w:rsid w:val="001A5A0D"/>
    <w:rsid w:val="001A5CF0"/>
    <w:rsid w:val="001A5DA3"/>
    <w:rsid w:val="001A5F98"/>
    <w:rsid w:val="001A61E6"/>
    <w:rsid w:val="001A6525"/>
    <w:rsid w:val="001A66E1"/>
    <w:rsid w:val="001A6846"/>
    <w:rsid w:val="001A6F2D"/>
    <w:rsid w:val="001A743A"/>
    <w:rsid w:val="001A74B2"/>
    <w:rsid w:val="001A74D6"/>
    <w:rsid w:val="001A77C5"/>
    <w:rsid w:val="001B02F4"/>
    <w:rsid w:val="001B03C8"/>
    <w:rsid w:val="001B0550"/>
    <w:rsid w:val="001B05CD"/>
    <w:rsid w:val="001B06E7"/>
    <w:rsid w:val="001B06ED"/>
    <w:rsid w:val="001B098A"/>
    <w:rsid w:val="001B0AE0"/>
    <w:rsid w:val="001B0DA3"/>
    <w:rsid w:val="001B0F7F"/>
    <w:rsid w:val="001B106A"/>
    <w:rsid w:val="001B15B6"/>
    <w:rsid w:val="001B189D"/>
    <w:rsid w:val="001B1A54"/>
    <w:rsid w:val="001B23B6"/>
    <w:rsid w:val="001B2438"/>
    <w:rsid w:val="001B2665"/>
    <w:rsid w:val="001B2A44"/>
    <w:rsid w:val="001B2F3D"/>
    <w:rsid w:val="001B3DCC"/>
    <w:rsid w:val="001B4029"/>
    <w:rsid w:val="001B40F5"/>
    <w:rsid w:val="001B432B"/>
    <w:rsid w:val="001B4405"/>
    <w:rsid w:val="001B4552"/>
    <w:rsid w:val="001B4BC8"/>
    <w:rsid w:val="001B4D45"/>
    <w:rsid w:val="001B4EFB"/>
    <w:rsid w:val="001B4FC2"/>
    <w:rsid w:val="001B524D"/>
    <w:rsid w:val="001B5321"/>
    <w:rsid w:val="001B54F9"/>
    <w:rsid w:val="001B5501"/>
    <w:rsid w:val="001B5538"/>
    <w:rsid w:val="001B57CF"/>
    <w:rsid w:val="001B57FE"/>
    <w:rsid w:val="001B5813"/>
    <w:rsid w:val="001B5E28"/>
    <w:rsid w:val="001B6001"/>
    <w:rsid w:val="001B62B3"/>
    <w:rsid w:val="001B6327"/>
    <w:rsid w:val="001B63C1"/>
    <w:rsid w:val="001B6514"/>
    <w:rsid w:val="001B6597"/>
    <w:rsid w:val="001B681A"/>
    <w:rsid w:val="001B6985"/>
    <w:rsid w:val="001B6ADB"/>
    <w:rsid w:val="001B6B3C"/>
    <w:rsid w:val="001B6C6A"/>
    <w:rsid w:val="001B6D62"/>
    <w:rsid w:val="001B6E27"/>
    <w:rsid w:val="001B6E46"/>
    <w:rsid w:val="001B72A1"/>
    <w:rsid w:val="001B756D"/>
    <w:rsid w:val="001B7589"/>
    <w:rsid w:val="001B7697"/>
    <w:rsid w:val="001B7852"/>
    <w:rsid w:val="001B7AA3"/>
    <w:rsid w:val="001B7AF2"/>
    <w:rsid w:val="001B7CD4"/>
    <w:rsid w:val="001B7D84"/>
    <w:rsid w:val="001C0270"/>
    <w:rsid w:val="001C037D"/>
    <w:rsid w:val="001C083C"/>
    <w:rsid w:val="001C0864"/>
    <w:rsid w:val="001C0FD2"/>
    <w:rsid w:val="001C154D"/>
    <w:rsid w:val="001C1A61"/>
    <w:rsid w:val="001C1BA8"/>
    <w:rsid w:val="001C1CD3"/>
    <w:rsid w:val="001C215D"/>
    <w:rsid w:val="001C2306"/>
    <w:rsid w:val="001C2415"/>
    <w:rsid w:val="001C254C"/>
    <w:rsid w:val="001C2592"/>
    <w:rsid w:val="001C2A98"/>
    <w:rsid w:val="001C2B4D"/>
    <w:rsid w:val="001C2B5E"/>
    <w:rsid w:val="001C2BE1"/>
    <w:rsid w:val="001C2CCD"/>
    <w:rsid w:val="001C2E0E"/>
    <w:rsid w:val="001C316A"/>
    <w:rsid w:val="001C32C4"/>
    <w:rsid w:val="001C333B"/>
    <w:rsid w:val="001C3476"/>
    <w:rsid w:val="001C34EF"/>
    <w:rsid w:val="001C3628"/>
    <w:rsid w:val="001C37D9"/>
    <w:rsid w:val="001C3AB5"/>
    <w:rsid w:val="001C3B00"/>
    <w:rsid w:val="001C4006"/>
    <w:rsid w:val="001C4048"/>
    <w:rsid w:val="001C462D"/>
    <w:rsid w:val="001C478F"/>
    <w:rsid w:val="001C4843"/>
    <w:rsid w:val="001C4CA9"/>
    <w:rsid w:val="001C4D8A"/>
    <w:rsid w:val="001C4E1F"/>
    <w:rsid w:val="001C524F"/>
    <w:rsid w:val="001C5856"/>
    <w:rsid w:val="001C58F5"/>
    <w:rsid w:val="001C5FA7"/>
    <w:rsid w:val="001C617D"/>
    <w:rsid w:val="001C631B"/>
    <w:rsid w:val="001C64E9"/>
    <w:rsid w:val="001C666E"/>
    <w:rsid w:val="001C6696"/>
    <w:rsid w:val="001C69EB"/>
    <w:rsid w:val="001C6B26"/>
    <w:rsid w:val="001C6BC4"/>
    <w:rsid w:val="001C71AB"/>
    <w:rsid w:val="001C726B"/>
    <w:rsid w:val="001C75CC"/>
    <w:rsid w:val="001C7744"/>
    <w:rsid w:val="001C7DB8"/>
    <w:rsid w:val="001D0042"/>
    <w:rsid w:val="001D00F1"/>
    <w:rsid w:val="001D070A"/>
    <w:rsid w:val="001D07EA"/>
    <w:rsid w:val="001D08E4"/>
    <w:rsid w:val="001D1098"/>
    <w:rsid w:val="001D1125"/>
    <w:rsid w:val="001D1132"/>
    <w:rsid w:val="001D12F2"/>
    <w:rsid w:val="001D16FF"/>
    <w:rsid w:val="001D17A7"/>
    <w:rsid w:val="001D1B21"/>
    <w:rsid w:val="001D1C0C"/>
    <w:rsid w:val="001D1F0E"/>
    <w:rsid w:val="001D1FCF"/>
    <w:rsid w:val="001D214F"/>
    <w:rsid w:val="001D215C"/>
    <w:rsid w:val="001D2274"/>
    <w:rsid w:val="001D25AB"/>
    <w:rsid w:val="001D2C77"/>
    <w:rsid w:val="001D2CE7"/>
    <w:rsid w:val="001D31CD"/>
    <w:rsid w:val="001D3336"/>
    <w:rsid w:val="001D3478"/>
    <w:rsid w:val="001D37D1"/>
    <w:rsid w:val="001D3BF1"/>
    <w:rsid w:val="001D3D2F"/>
    <w:rsid w:val="001D40C1"/>
    <w:rsid w:val="001D4144"/>
    <w:rsid w:val="001D43EE"/>
    <w:rsid w:val="001D4682"/>
    <w:rsid w:val="001D4B48"/>
    <w:rsid w:val="001D4C5C"/>
    <w:rsid w:val="001D4EA3"/>
    <w:rsid w:val="001D524C"/>
    <w:rsid w:val="001D5812"/>
    <w:rsid w:val="001D5919"/>
    <w:rsid w:val="001D5979"/>
    <w:rsid w:val="001D5B2D"/>
    <w:rsid w:val="001D5C9F"/>
    <w:rsid w:val="001D5D38"/>
    <w:rsid w:val="001D61DA"/>
    <w:rsid w:val="001D649B"/>
    <w:rsid w:val="001D6F3D"/>
    <w:rsid w:val="001D6F99"/>
    <w:rsid w:val="001D714F"/>
    <w:rsid w:val="001D71AB"/>
    <w:rsid w:val="001D73D5"/>
    <w:rsid w:val="001D7637"/>
    <w:rsid w:val="001D7682"/>
    <w:rsid w:val="001D76CE"/>
    <w:rsid w:val="001E0421"/>
    <w:rsid w:val="001E083D"/>
    <w:rsid w:val="001E0A78"/>
    <w:rsid w:val="001E0EFD"/>
    <w:rsid w:val="001E1438"/>
    <w:rsid w:val="001E14BC"/>
    <w:rsid w:val="001E14C0"/>
    <w:rsid w:val="001E1524"/>
    <w:rsid w:val="001E15C1"/>
    <w:rsid w:val="001E1903"/>
    <w:rsid w:val="001E1E37"/>
    <w:rsid w:val="001E268C"/>
    <w:rsid w:val="001E2718"/>
    <w:rsid w:val="001E28C4"/>
    <w:rsid w:val="001E2D47"/>
    <w:rsid w:val="001E315A"/>
    <w:rsid w:val="001E323B"/>
    <w:rsid w:val="001E33C5"/>
    <w:rsid w:val="001E357D"/>
    <w:rsid w:val="001E358F"/>
    <w:rsid w:val="001E3842"/>
    <w:rsid w:val="001E3ACC"/>
    <w:rsid w:val="001E3BD3"/>
    <w:rsid w:val="001E3F0A"/>
    <w:rsid w:val="001E4178"/>
    <w:rsid w:val="001E4288"/>
    <w:rsid w:val="001E4395"/>
    <w:rsid w:val="001E4704"/>
    <w:rsid w:val="001E47F6"/>
    <w:rsid w:val="001E4A42"/>
    <w:rsid w:val="001E4AF3"/>
    <w:rsid w:val="001E4B4F"/>
    <w:rsid w:val="001E51D3"/>
    <w:rsid w:val="001E5431"/>
    <w:rsid w:val="001E5556"/>
    <w:rsid w:val="001E5614"/>
    <w:rsid w:val="001E571E"/>
    <w:rsid w:val="001E5919"/>
    <w:rsid w:val="001E5A46"/>
    <w:rsid w:val="001E5C24"/>
    <w:rsid w:val="001E5E5B"/>
    <w:rsid w:val="001E6227"/>
    <w:rsid w:val="001E6718"/>
    <w:rsid w:val="001E6760"/>
    <w:rsid w:val="001E68A8"/>
    <w:rsid w:val="001E6A4B"/>
    <w:rsid w:val="001E6DE9"/>
    <w:rsid w:val="001E6F5B"/>
    <w:rsid w:val="001E73E8"/>
    <w:rsid w:val="001E746F"/>
    <w:rsid w:val="001E75FD"/>
    <w:rsid w:val="001E7AA9"/>
    <w:rsid w:val="001E7CDB"/>
    <w:rsid w:val="001E7E5A"/>
    <w:rsid w:val="001F0724"/>
    <w:rsid w:val="001F0A32"/>
    <w:rsid w:val="001F0B6B"/>
    <w:rsid w:val="001F0BE5"/>
    <w:rsid w:val="001F0E6F"/>
    <w:rsid w:val="001F0EF8"/>
    <w:rsid w:val="001F12EF"/>
    <w:rsid w:val="001F15FC"/>
    <w:rsid w:val="001F1626"/>
    <w:rsid w:val="001F1716"/>
    <w:rsid w:val="001F176B"/>
    <w:rsid w:val="001F17C5"/>
    <w:rsid w:val="001F1B8C"/>
    <w:rsid w:val="001F1CEB"/>
    <w:rsid w:val="001F1D46"/>
    <w:rsid w:val="001F2255"/>
    <w:rsid w:val="001F2961"/>
    <w:rsid w:val="001F29C1"/>
    <w:rsid w:val="001F29F8"/>
    <w:rsid w:val="001F2BC7"/>
    <w:rsid w:val="001F2D0E"/>
    <w:rsid w:val="001F2D52"/>
    <w:rsid w:val="001F2D69"/>
    <w:rsid w:val="001F318D"/>
    <w:rsid w:val="001F32A3"/>
    <w:rsid w:val="001F3318"/>
    <w:rsid w:val="001F3414"/>
    <w:rsid w:val="001F35DE"/>
    <w:rsid w:val="001F38E6"/>
    <w:rsid w:val="001F3AAA"/>
    <w:rsid w:val="001F3FFC"/>
    <w:rsid w:val="001F4310"/>
    <w:rsid w:val="001F43F3"/>
    <w:rsid w:val="001F44DC"/>
    <w:rsid w:val="001F4521"/>
    <w:rsid w:val="001F46E2"/>
    <w:rsid w:val="001F473E"/>
    <w:rsid w:val="001F4A34"/>
    <w:rsid w:val="001F4B5F"/>
    <w:rsid w:val="001F4EAD"/>
    <w:rsid w:val="001F4FFC"/>
    <w:rsid w:val="001F563C"/>
    <w:rsid w:val="001F565D"/>
    <w:rsid w:val="001F584D"/>
    <w:rsid w:val="001F5B29"/>
    <w:rsid w:val="001F5BC9"/>
    <w:rsid w:val="001F5FD4"/>
    <w:rsid w:val="001F6A5E"/>
    <w:rsid w:val="001F6BDF"/>
    <w:rsid w:val="001F702A"/>
    <w:rsid w:val="001F73BA"/>
    <w:rsid w:val="001F7522"/>
    <w:rsid w:val="001F753F"/>
    <w:rsid w:val="001F7930"/>
    <w:rsid w:val="001F7ACE"/>
    <w:rsid w:val="001F7EBD"/>
    <w:rsid w:val="001F7FF7"/>
    <w:rsid w:val="0020001B"/>
    <w:rsid w:val="002001AD"/>
    <w:rsid w:val="00200296"/>
    <w:rsid w:val="00200EFD"/>
    <w:rsid w:val="00201192"/>
    <w:rsid w:val="002018BA"/>
    <w:rsid w:val="00201AEF"/>
    <w:rsid w:val="00201C87"/>
    <w:rsid w:val="00201CA0"/>
    <w:rsid w:val="002020F0"/>
    <w:rsid w:val="00202107"/>
    <w:rsid w:val="002023DD"/>
    <w:rsid w:val="00202514"/>
    <w:rsid w:val="00202534"/>
    <w:rsid w:val="00202650"/>
    <w:rsid w:val="00202A97"/>
    <w:rsid w:val="00202C61"/>
    <w:rsid w:val="00202F69"/>
    <w:rsid w:val="00203082"/>
    <w:rsid w:val="002034E8"/>
    <w:rsid w:val="00203662"/>
    <w:rsid w:val="00203CC2"/>
    <w:rsid w:val="00204212"/>
    <w:rsid w:val="002043AE"/>
    <w:rsid w:val="00204513"/>
    <w:rsid w:val="00204A2D"/>
    <w:rsid w:val="00204AAA"/>
    <w:rsid w:val="00204B0C"/>
    <w:rsid w:val="00204B58"/>
    <w:rsid w:val="00204BC3"/>
    <w:rsid w:val="00204CD4"/>
    <w:rsid w:val="00204DB5"/>
    <w:rsid w:val="0020503E"/>
    <w:rsid w:val="00205052"/>
    <w:rsid w:val="00205168"/>
    <w:rsid w:val="0020569F"/>
    <w:rsid w:val="002058FB"/>
    <w:rsid w:val="00205AC0"/>
    <w:rsid w:val="00205C41"/>
    <w:rsid w:val="002061B9"/>
    <w:rsid w:val="002061F3"/>
    <w:rsid w:val="002063F4"/>
    <w:rsid w:val="002065A9"/>
    <w:rsid w:val="002066F3"/>
    <w:rsid w:val="002067FE"/>
    <w:rsid w:val="00206B4D"/>
    <w:rsid w:val="00206C0D"/>
    <w:rsid w:val="00206C25"/>
    <w:rsid w:val="00206F2A"/>
    <w:rsid w:val="00206FC7"/>
    <w:rsid w:val="002074B0"/>
    <w:rsid w:val="00207595"/>
    <w:rsid w:val="00207919"/>
    <w:rsid w:val="00207C01"/>
    <w:rsid w:val="002105CC"/>
    <w:rsid w:val="00210657"/>
    <w:rsid w:val="00210A86"/>
    <w:rsid w:val="00210DAC"/>
    <w:rsid w:val="00211004"/>
    <w:rsid w:val="002110C1"/>
    <w:rsid w:val="00211275"/>
    <w:rsid w:val="002118E2"/>
    <w:rsid w:val="00211C0F"/>
    <w:rsid w:val="00211F17"/>
    <w:rsid w:val="00212127"/>
    <w:rsid w:val="002123CE"/>
    <w:rsid w:val="002124E4"/>
    <w:rsid w:val="00212733"/>
    <w:rsid w:val="002128C4"/>
    <w:rsid w:val="00212A9B"/>
    <w:rsid w:val="00212B3D"/>
    <w:rsid w:val="00212BC8"/>
    <w:rsid w:val="00212CCF"/>
    <w:rsid w:val="00213445"/>
    <w:rsid w:val="002135BA"/>
    <w:rsid w:val="002138FC"/>
    <w:rsid w:val="00213AC1"/>
    <w:rsid w:val="00213B8E"/>
    <w:rsid w:val="00213ED2"/>
    <w:rsid w:val="0021404E"/>
    <w:rsid w:val="00214406"/>
    <w:rsid w:val="0021473E"/>
    <w:rsid w:val="00214952"/>
    <w:rsid w:val="00214A65"/>
    <w:rsid w:val="00214CAF"/>
    <w:rsid w:val="00214FAB"/>
    <w:rsid w:val="00215092"/>
    <w:rsid w:val="002153C3"/>
    <w:rsid w:val="00215625"/>
    <w:rsid w:val="0021582E"/>
    <w:rsid w:val="00215851"/>
    <w:rsid w:val="002158E1"/>
    <w:rsid w:val="002163E6"/>
    <w:rsid w:val="0021642E"/>
    <w:rsid w:val="00216860"/>
    <w:rsid w:val="00216900"/>
    <w:rsid w:val="00216F07"/>
    <w:rsid w:val="0021703F"/>
    <w:rsid w:val="00217201"/>
    <w:rsid w:val="00217230"/>
    <w:rsid w:val="00217407"/>
    <w:rsid w:val="00217922"/>
    <w:rsid w:val="00217BF7"/>
    <w:rsid w:val="00217D4F"/>
    <w:rsid w:val="00220149"/>
    <w:rsid w:val="00220417"/>
    <w:rsid w:val="00220532"/>
    <w:rsid w:val="0022065F"/>
    <w:rsid w:val="0022067D"/>
    <w:rsid w:val="002206B3"/>
    <w:rsid w:val="00220934"/>
    <w:rsid w:val="00220AF2"/>
    <w:rsid w:val="00220B93"/>
    <w:rsid w:val="00220C1B"/>
    <w:rsid w:val="00220D2A"/>
    <w:rsid w:val="0022126A"/>
    <w:rsid w:val="002215FE"/>
    <w:rsid w:val="00221773"/>
    <w:rsid w:val="002219E4"/>
    <w:rsid w:val="00221A3C"/>
    <w:rsid w:val="00221B36"/>
    <w:rsid w:val="0022200F"/>
    <w:rsid w:val="0022248D"/>
    <w:rsid w:val="002224D1"/>
    <w:rsid w:val="0022256C"/>
    <w:rsid w:val="002226CB"/>
    <w:rsid w:val="0022275C"/>
    <w:rsid w:val="00222873"/>
    <w:rsid w:val="0022291D"/>
    <w:rsid w:val="002229E8"/>
    <w:rsid w:val="00222BDA"/>
    <w:rsid w:val="00222C86"/>
    <w:rsid w:val="00222E97"/>
    <w:rsid w:val="00222EB8"/>
    <w:rsid w:val="00222EDA"/>
    <w:rsid w:val="00223390"/>
    <w:rsid w:val="002236F8"/>
    <w:rsid w:val="0022372E"/>
    <w:rsid w:val="00223A42"/>
    <w:rsid w:val="00223C49"/>
    <w:rsid w:val="00223C66"/>
    <w:rsid w:val="00223D03"/>
    <w:rsid w:val="0022414F"/>
    <w:rsid w:val="0022472C"/>
    <w:rsid w:val="002248B7"/>
    <w:rsid w:val="0022495F"/>
    <w:rsid w:val="00224C1E"/>
    <w:rsid w:val="00224C54"/>
    <w:rsid w:val="00224D1D"/>
    <w:rsid w:val="00224DF4"/>
    <w:rsid w:val="00224FD7"/>
    <w:rsid w:val="0022527E"/>
    <w:rsid w:val="00225556"/>
    <w:rsid w:val="002255F5"/>
    <w:rsid w:val="002257A4"/>
    <w:rsid w:val="00225920"/>
    <w:rsid w:val="00225FB0"/>
    <w:rsid w:val="002262CA"/>
    <w:rsid w:val="002263E5"/>
    <w:rsid w:val="002264CC"/>
    <w:rsid w:val="002265B3"/>
    <w:rsid w:val="00226901"/>
    <w:rsid w:val="00226FEA"/>
    <w:rsid w:val="0022729A"/>
    <w:rsid w:val="00227561"/>
    <w:rsid w:val="0022758A"/>
    <w:rsid w:val="00227672"/>
    <w:rsid w:val="00227678"/>
    <w:rsid w:val="002278A5"/>
    <w:rsid w:val="00227951"/>
    <w:rsid w:val="00227A94"/>
    <w:rsid w:val="00227C21"/>
    <w:rsid w:val="00227D8F"/>
    <w:rsid w:val="00227EAB"/>
    <w:rsid w:val="00230009"/>
    <w:rsid w:val="0023024B"/>
    <w:rsid w:val="00230591"/>
    <w:rsid w:val="00230648"/>
    <w:rsid w:val="00230ABD"/>
    <w:rsid w:val="00230AEE"/>
    <w:rsid w:val="00230B85"/>
    <w:rsid w:val="00230C4C"/>
    <w:rsid w:val="0023174A"/>
    <w:rsid w:val="00231803"/>
    <w:rsid w:val="00231B3A"/>
    <w:rsid w:val="00231BF3"/>
    <w:rsid w:val="00231C69"/>
    <w:rsid w:val="00231DE7"/>
    <w:rsid w:val="00232028"/>
    <w:rsid w:val="0023230E"/>
    <w:rsid w:val="002331AA"/>
    <w:rsid w:val="002334EE"/>
    <w:rsid w:val="002339C4"/>
    <w:rsid w:val="00234013"/>
    <w:rsid w:val="002345D4"/>
    <w:rsid w:val="00234656"/>
    <w:rsid w:val="0023472B"/>
    <w:rsid w:val="0023594A"/>
    <w:rsid w:val="00235A6D"/>
    <w:rsid w:val="00235BEA"/>
    <w:rsid w:val="00235C22"/>
    <w:rsid w:val="00235CEA"/>
    <w:rsid w:val="00235FD9"/>
    <w:rsid w:val="002360DB"/>
    <w:rsid w:val="002361A8"/>
    <w:rsid w:val="002364BF"/>
    <w:rsid w:val="002367C0"/>
    <w:rsid w:val="002367DC"/>
    <w:rsid w:val="002368E3"/>
    <w:rsid w:val="00236BFE"/>
    <w:rsid w:val="00236CE3"/>
    <w:rsid w:val="00237134"/>
    <w:rsid w:val="00237204"/>
    <w:rsid w:val="0023746B"/>
    <w:rsid w:val="002376B2"/>
    <w:rsid w:val="00237BF4"/>
    <w:rsid w:val="00237C82"/>
    <w:rsid w:val="00237CBA"/>
    <w:rsid w:val="00237F3D"/>
    <w:rsid w:val="00237FD3"/>
    <w:rsid w:val="00237FF2"/>
    <w:rsid w:val="002404E1"/>
    <w:rsid w:val="0024053E"/>
    <w:rsid w:val="0024066F"/>
    <w:rsid w:val="00240E78"/>
    <w:rsid w:val="0024124B"/>
    <w:rsid w:val="0024152C"/>
    <w:rsid w:val="00241536"/>
    <w:rsid w:val="00241599"/>
    <w:rsid w:val="002416DD"/>
    <w:rsid w:val="0024173E"/>
    <w:rsid w:val="00241DA9"/>
    <w:rsid w:val="00241F73"/>
    <w:rsid w:val="00241F8D"/>
    <w:rsid w:val="00242079"/>
    <w:rsid w:val="0024213E"/>
    <w:rsid w:val="00242417"/>
    <w:rsid w:val="0024241A"/>
    <w:rsid w:val="00242B83"/>
    <w:rsid w:val="00242E02"/>
    <w:rsid w:val="00242EF5"/>
    <w:rsid w:val="00242F2A"/>
    <w:rsid w:val="00242F78"/>
    <w:rsid w:val="00243039"/>
    <w:rsid w:val="00243124"/>
    <w:rsid w:val="002434A5"/>
    <w:rsid w:val="00243A4E"/>
    <w:rsid w:val="00243A53"/>
    <w:rsid w:val="002440D1"/>
    <w:rsid w:val="0024427D"/>
    <w:rsid w:val="0024429E"/>
    <w:rsid w:val="00244474"/>
    <w:rsid w:val="00244BD2"/>
    <w:rsid w:val="00245522"/>
    <w:rsid w:val="002457CB"/>
    <w:rsid w:val="00245940"/>
    <w:rsid w:val="00245983"/>
    <w:rsid w:val="00245A9A"/>
    <w:rsid w:val="00245CDC"/>
    <w:rsid w:val="00246AA4"/>
    <w:rsid w:val="00246D97"/>
    <w:rsid w:val="00246EE7"/>
    <w:rsid w:val="00246F20"/>
    <w:rsid w:val="00246F7A"/>
    <w:rsid w:val="00247247"/>
    <w:rsid w:val="00247253"/>
    <w:rsid w:val="002474B6"/>
    <w:rsid w:val="002475D0"/>
    <w:rsid w:val="0024763C"/>
    <w:rsid w:val="00247642"/>
    <w:rsid w:val="0024771B"/>
    <w:rsid w:val="00247C83"/>
    <w:rsid w:val="002500C4"/>
    <w:rsid w:val="0025013D"/>
    <w:rsid w:val="002503D9"/>
    <w:rsid w:val="00250408"/>
    <w:rsid w:val="00250473"/>
    <w:rsid w:val="002505BA"/>
    <w:rsid w:val="002505DD"/>
    <w:rsid w:val="002506C7"/>
    <w:rsid w:val="002506DA"/>
    <w:rsid w:val="00250A33"/>
    <w:rsid w:val="00250AB5"/>
    <w:rsid w:val="00250BD0"/>
    <w:rsid w:val="00250DE8"/>
    <w:rsid w:val="00251172"/>
    <w:rsid w:val="002514EB"/>
    <w:rsid w:val="00251681"/>
    <w:rsid w:val="00251943"/>
    <w:rsid w:val="00251970"/>
    <w:rsid w:val="00251C8C"/>
    <w:rsid w:val="00251CCF"/>
    <w:rsid w:val="00252065"/>
    <w:rsid w:val="002521A0"/>
    <w:rsid w:val="00252319"/>
    <w:rsid w:val="00252829"/>
    <w:rsid w:val="002529BE"/>
    <w:rsid w:val="00252B9B"/>
    <w:rsid w:val="00252BF9"/>
    <w:rsid w:val="00253411"/>
    <w:rsid w:val="002537E3"/>
    <w:rsid w:val="00253CA5"/>
    <w:rsid w:val="00254465"/>
    <w:rsid w:val="002544A2"/>
    <w:rsid w:val="00254535"/>
    <w:rsid w:val="002546C9"/>
    <w:rsid w:val="00254744"/>
    <w:rsid w:val="0025480D"/>
    <w:rsid w:val="00254D58"/>
    <w:rsid w:val="00254D5C"/>
    <w:rsid w:val="00254E5E"/>
    <w:rsid w:val="00254FF5"/>
    <w:rsid w:val="0025520F"/>
    <w:rsid w:val="002552DD"/>
    <w:rsid w:val="00255EB3"/>
    <w:rsid w:val="00255F7A"/>
    <w:rsid w:val="0025624C"/>
    <w:rsid w:val="002568B0"/>
    <w:rsid w:val="002568D5"/>
    <w:rsid w:val="00256932"/>
    <w:rsid w:val="00256946"/>
    <w:rsid w:val="00256974"/>
    <w:rsid w:val="00256999"/>
    <w:rsid w:val="00256A1A"/>
    <w:rsid w:val="00256D36"/>
    <w:rsid w:val="00256F61"/>
    <w:rsid w:val="00256F6A"/>
    <w:rsid w:val="00257567"/>
    <w:rsid w:val="002577A1"/>
    <w:rsid w:val="002579B6"/>
    <w:rsid w:val="00257CEC"/>
    <w:rsid w:val="00257D1E"/>
    <w:rsid w:val="00257D68"/>
    <w:rsid w:val="00257F3E"/>
    <w:rsid w:val="00260656"/>
    <w:rsid w:val="00260864"/>
    <w:rsid w:val="00260BC4"/>
    <w:rsid w:val="00260CA3"/>
    <w:rsid w:val="00261213"/>
    <w:rsid w:val="0026129A"/>
    <w:rsid w:val="0026133E"/>
    <w:rsid w:val="0026151E"/>
    <w:rsid w:val="002615DA"/>
    <w:rsid w:val="00261671"/>
    <w:rsid w:val="002619A9"/>
    <w:rsid w:val="00261A05"/>
    <w:rsid w:val="00261C02"/>
    <w:rsid w:val="00261C05"/>
    <w:rsid w:val="00262060"/>
    <w:rsid w:val="002626C6"/>
    <w:rsid w:val="0026272B"/>
    <w:rsid w:val="002627E6"/>
    <w:rsid w:val="00262957"/>
    <w:rsid w:val="002629C4"/>
    <w:rsid w:val="00262AEE"/>
    <w:rsid w:val="00262B73"/>
    <w:rsid w:val="00262B80"/>
    <w:rsid w:val="00262DBE"/>
    <w:rsid w:val="002633E5"/>
    <w:rsid w:val="00263720"/>
    <w:rsid w:val="0026378D"/>
    <w:rsid w:val="002637B7"/>
    <w:rsid w:val="00263B67"/>
    <w:rsid w:val="00263DE6"/>
    <w:rsid w:val="00263FC2"/>
    <w:rsid w:val="00264672"/>
    <w:rsid w:val="00264DC0"/>
    <w:rsid w:val="00264DF2"/>
    <w:rsid w:val="00264E82"/>
    <w:rsid w:val="0026505C"/>
    <w:rsid w:val="00265247"/>
    <w:rsid w:val="002654A6"/>
    <w:rsid w:val="002654C5"/>
    <w:rsid w:val="00265598"/>
    <w:rsid w:val="0026573E"/>
    <w:rsid w:val="00265995"/>
    <w:rsid w:val="00265BF5"/>
    <w:rsid w:val="00265C8A"/>
    <w:rsid w:val="00265D80"/>
    <w:rsid w:val="00265ECD"/>
    <w:rsid w:val="00265F53"/>
    <w:rsid w:val="002660B6"/>
    <w:rsid w:val="00266212"/>
    <w:rsid w:val="00266414"/>
    <w:rsid w:val="002665FF"/>
    <w:rsid w:val="00266964"/>
    <w:rsid w:val="00266A47"/>
    <w:rsid w:val="0026771D"/>
    <w:rsid w:val="002679C7"/>
    <w:rsid w:val="002679EE"/>
    <w:rsid w:val="00267CB0"/>
    <w:rsid w:val="00267DB1"/>
    <w:rsid w:val="0027039E"/>
    <w:rsid w:val="00270757"/>
    <w:rsid w:val="002707A9"/>
    <w:rsid w:val="00270C17"/>
    <w:rsid w:val="00270C81"/>
    <w:rsid w:val="00270FF9"/>
    <w:rsid w:val="002714BA"/>
    <w:rsid w:val="00271983"/>
    <w:rsid w:val="00271BC1"/>
    <w:rsid w:val="00272251"/>
    <w:rsid w:val="00272374"/>
    <w:rsid w:val="002724AA"/>
    <w:rsid w:val="002724AD"/>
    <w:rsid w:val="00272506"/>
    <w:rsid w:val="002726CB"/>
    <w:rsid w:val="00273040"/>
    <w:rsid w:val="002731F2"/>
    <w:rsid w:val="002731F3"/>
    <w:rsid w:val="00273367"/>
    <w:rsid w:val="00273524"/>
    <w:rsid w:val="00273A2C"/>
    <w:rsid w:val="00273FA7"/>
    <w:rsid w:val="0027447A"/>
    <w:rsid w:val="0027448E"/>
    <w:rsid w:val="0027464C"/>
    <w:rsid w:val="002748BE"/>
    <w:rsid w:val="002749AF"/>
    <w:rsid w:val="00274F23"/>
    <w:rsid w:val="002752FE"/>
    <w:rsid w:val="002755E5"/>
    <w:rsid w:val="002756F4"/>
    <w:rsid w:val="002757E5"/>
    <w:rsid w:val="00275834"/>
    <w:rsid w:val="0027589B"/>
    <w:rsid w:val="0027590C"/>
    <w:rsid w:val="00275A62"/>
    <w:rsid w:val="00275D1B"/>
    <w:rsid w:val="002762FB"/>
    <w:rsid w:val="00276638"/>
    <w:rsid w:val="00276689"/>
    <w:rsid w:val="002766CD"/>
    <w:rsid w:val="002768BF"/>
    <w:rsid w:val="00276A08"/>
    <w:rsid w:val="00276ADF"/>
    <w:rsid w:val="00276B27"/>
    <w:rsid w:val="002771FA"/>
    <w:rsid w:val="0027729D"/>
    <w:rsid w:val="002772B9"/>
    <w:rsid w:val="00277322"/>
    <w:rsid w:val="002774B9"/>
    <w:rsid w:val="002774E3"/>
    <w:rsid w:val="00277641"/>
    <w:rsid w:val="00277CB4"/>
    <w:rsid w:val="00277E48"/>
    <w:rsid w:val="00280177"/>
    <w:rsid w:val="002801D5"/>
    <w:rsid w:val="00280627"/>
    <w:rsid w:val="00280922"/>
    <w:rsid w:val="00280AA9"/>
    <w:rsid w:val="00281403"/>
    <w:rsid w:val="00281412"/>
    <w:rsid w:val="002815C0"/>
    <w:rsid w:val="00281A53"/>
    <w:rsid w:val="00281BC4"/>
    <w:rsid w:val="00281BE7"/>
    <w:rsid w:val="00281DD4"/>
    <w:rsid w:val="00282035"/>
    <w:rsid w:val="0028233B"/>
    <w:rsid w:val="0028261A"/>
    <w:rsid w:val="00282960"/>
    <w:rsid w:val="00282965"/>
    <w:rsid w:val="00282B76"/>
    <w:rsid w:val="0028332D"/>
    <w:rsid w:val="00283793"/>
    <w:rsid w:val="002837F0"/>
    <w:rsid w:val="00283A61"/>
    <w:rsid w:val="00283AB4"/>
    <w:rsid w:val="00283B47"/>
    <w:rsid w:val="00283D51"/>
    <w:rsid w:val="00283F71"/>
    <w:rsid w:val="00283F92"/>
    <w:rsid w:val="00284015"/>
    <w:rsid w:val="00284259"/>
    <w:rsid w:val="0028439B"/>
    <w:rsid w:val="0028441F"/>
    <w:rsid w:val="00284451"/>
    <w:rsid w:val="002847FD"/>
    <w:rsid w:val="00284DE6"/>
    <w:rsid w:val="00284F7B"/>
    <w:rsid w:val="0028509D"/>
    <w:rsid w:val="00285125"/>
    <w:rsid w:val="00285210"/>
    <w:rsid w:val="00285D12"/>
    <w:rsid w:val="00285DD9"/>
    <w:rsid w:val="00285EA5"/>
    <w:rsid w:val="00285EF2"/>
    <w:rsid w:val="00286459"/>
    <w:rsid w:val="00286509"/>
    <w:rsid w:val="00286554"/>
    <w:rsid w:val="002868C0"/>
    <w:rsid w:val="00286A74"/>
    <w:rsid w:val="00286B7F"/>
    <w:rsid w:val="00286DE1"/>
    <w:rsid w:val="0028716D"/>
    <w:rsid w:val="002878FD"/>
    <w:rsid w:val="00287A52"/>
    <w:rsid w:val="00287BEF"/>
    <w:rsid w:val="00287C58"/>
    <w:rsid w:val="00287E22"/>
    <w:rsid w:val="00287FA7"/>
    <w:rsid w:val="00290104"/>
    <w:rsid w:val="0029018B"/>
    <w:rsid w:val="00290222"/>
    <w:rsid w:val="00290570"/>
    <w:rsid w:val="00290A08"/>
    <w:rsid w:val="00290E42"/>
    <w:rsid w:val="00290F1C"/>
    <w:rsid w:val="00291653"/>
    <w:rsid w:val="00291668"/>
    <w:rsid w:val="00291B28"/>
    <w:rsid w:val="00291F48"/>
    <w:rsid w:val="00292039"/>
    <w:rsid w:val="00292078"/>
    <w:rsid w:val="002921A7"/>
    <w:rsid w:val="0029223A"/>
    <w:rsid w:val="00292417"/>
    <w:rsid w:val="002926B3"/>
    <w:rsid w:val="00292BA7"/>
    <w:rsid w:val="00292CF2"/>
    <w:rsid w:val="002935BF"/>
    <w:rsid w:val="00293632"/>
    <w:rsid w:val="0029363A"/>
    <w:rsid w:val="002936DC"/>
    <w:rsid w:val="002936FC"/>
    <w:rsid w:val="0029374B"/>
    <w:rsid w:val="00293977"/>
    <w:rsid w:val="00293A67"/>
    <w:rsid w:val="00293DBA"/>
    <w:rsid w:val="002940EC"/>
    <w:rsid w:val="002941D3"/>
    <w:rsid w:val="002943B9"/>
    <w:rsid w:val="002944BB"/>
    <w:rsid w:val="00294552"/>
    <w:rsid w:val="00294CF1"/>
    <w:rsid w:val="00294E48"/>
    <w:rsid w:val="00294E94"/>
    <w:rsid w:val="00294F13"/>
    <w:rsid w:val="00294F4C"/>
    <w:rsid w:val="00295099"/>
    <w:rsid w:val="002957E1"/>
    <w:rsid w:val="00295899"/>
    <w:rsid w:val="00295953"/>
    <w:rsid w:val="00295B90"/>
    <w:rsid w:val="00295DB3"/>
    <w:rsid w:val="00295EC0"/>
    <w:rsid w:val="00296041"/>
    <w:rsid w:val="00296356"/>
    <w:rsid w:val="00296479"/>
    <w:rsid w:val="002964B5"/>
    <w:rsid w:val="002964C8"/>
    <w:rsid w:val="0029656E"/>
    <w:rsid w:val="0029676F"/>
    <w:rsid w:val="002968F8"/>
    <w:rsid w:val="00296AC6"/>
    <w:rsid w:val="00297048"/>
    <w:rsid w:val="00297472"/>
    <w:rsid w:val="002975B1"/>
    <w:rsid w:val="00297619"/>
    <w:rsid w:val="00297659"/>
    <w:rsid w:val="002979D6"/>
    <w:rsid w:val="00297A87"/>
    <w:rsid w:val="00297DB9"/>
    <w:rsid w:val="00297EC4"/>
    <w:rsid w:val="002A0140"/>
    <w:rsid w:val="002A038C"/>
    <w:rsid w:val="002A03F5"/>
    <w:rsid w:val="002A062B"/>
    <w:rsid w:val="002A06D9"/>
    <w:rsid w:val="002A0B87"/>
    <w:rsid w:val="002A1029"/>
    <w:rsid w:val="002A1122"/>
    <w:rsid w:val="002A11A6"/>
    <w:rsid w:val="002A12C5"/>
    <w:rsid w:val="002A1330"/>
    <w:rsid w:val="002A14CC"/>
    <w:rsid w:val="002A1899"/>
    <w:rsid w:val="002A1B90"/>
    <w:rsid w:val="002A2094"/>
    <w:rsid w:val="002A2256"/>
    <w:rsid w:val="002A2349"/>
    <w:rsid w:val="002A235B"/>
    <w:rsid w:val="002A263D"/>
    <w:rsid w:val="002A26B2"/>
    <w:rsid w:val="002A2978"/>
    <w:rsid w:val="002A2999"/>
    <w:rsid w:val="002A31C8"/>
    <w:rsid w:val="002A333B"/>
    <w:rsid w:val="002A3661"/>
    <w:rsid w:val="002A3A31"/>
    <w:rsid w:val="002A3A89"/>
    <w:rsid w:val="002A3AD9"/>
    <w:rsid w:val="002A3CF7"/>
    <w:rsid w:val="002A3DFF"/>
    <w:rsid w:val="002A3FA9"/>
    <w:rsid w:val="002A4186"/>
    <w:rsid w:val="002A4268"/>
    <w:rsid w:val="002A44A5"/>
    <w:rsid w:val="002A4B0B"/>
    <w:rsid w:val="002A4C05"/>
    <w:rsid w:val="002A56AA"/>
    <w:rsid w:val="002A56F0"/>
    <w:rsid w:val="002A570D"/>
    <w:rsid w:val="002A5865"/>
    <w:rsid w:val="002A5A78"/>
    <w:rsid w:val="002A5D2F"/>
    <w:rsid w:val="002A5E0B"/>
    <w:rsid w:val="002A6487"/>
    <w:rsid w:val="002A6648"/>
    <w:rsid w:val="002A67FB"/>
    <w:rsid w:val="002A6C37"/>
    <w:rsid w:val="002A6D5A"/>
    <w:rsid w:val="002A7272"/>
    <w:rsid w:val="002A7353"/>
    <w:rsid w:val="002A74A3"/>
    <w:rsid w:val="002A7681"/>
    <w:rsid w:val="002A784B"/>
    <w:rsid w:val="002A7AAD"/>
    <w:rsid w:val="002A7B89"/>
    <w:rsid w:val="002A7D87"/>
    <w:rsid w:val="002A7F14"/>
    <w:rsid w:val="002B0130"/>
    <w:rsid w:val="002B0245"/>
    <w:rsid w:val="002B02C1"/>
    <w:rsid w:val="002B08A1"/>
    <w:rsid w:val="002B09AC"/>
    <w:rsid w:val="002B0B20"/>
    <w:rsid w:val="002B0CE3"/>
    <w:rsid w:val="002B0EC7"/>
    <w:rsid w:val="002B10EE"/>
    <w:rsid w:val="002B1186"/>
    <w:rsid w:val="002B11B8"/>
    <w:rsid w:val="002B11BC"/>
    <w:rsid w:val="002B1399"/>
    <w:rsid w:val="002B1458"/>
    <w:rsid w:val="002B14DA"/>
    <w:rsid w:val="002B19ED"/>
    <w:rsid w:val="002B1A3C"/>
    <w:rsid w:val="002B1C02"/>
    <w:rsid w:val="002B1CB6"/>
    <w:rsid w:val="002B23E5"/>
    <w:rsid w:val="002B248B"/>
    <w:rsid w:val="002B2B88"/>
    <w:rsid w:val="002B3004"/>
    <w:rsid w:val="002B300E"/>
    <w:rsid w:val="002B303C"/>
    <w:rsid w:val="002B31F4"/>
    <w:rsid w:val="002B3242"/>
    <w:rsid w:val="002B37C4"/>
    <w:rsid w:val="002B39ED"/>
    <w:rsid w:val="002B39FE"/>
    <w:rsid w:val="002B3E09"/>
    <w:rsid w:val="002B3FAB"/>
    <w:rsid w:val="002B4002"/>
    <w:rsid w:val="002B410B"/>
    <w:rsid w:val="002B422B"/>
    <w:rsid w:val="002B42E8"/>
    <w:rsid w:val="002B438A"/>
    <w:rsid w:val="002B45AB"/>
    <w:rsid w:val="002B4D18"/>
    <w:rsid w:val="002B4D2B"/>
    <w:rsid w:val="002B5034"/>
    <w:rsid w:val="002B5595"/>
    <w:rsid w:val="002B5C3F"/>
    <w:rsid w:val="002B5CEC"/>
    <w:rsid w:val="002B5CF9"/>
    <w:rsid w:val="002B5D2E"/>
    <w:rsid w:val="002B5D9C"/>
    <w:rsid w:val="002B606C"/>
    <w:rsid w:val="002B62AD"/>
    <w:rsid w:val="002B65CB"/>
    <w:rsid w:val="002B6BB0"/>
    <w:rsid w:val="002B6D7F"/>
    <w:rsid w:val="002B6E59"/>
    <w:rsid w:val="002B6FB6"/>
    <w:rsid w:val="002B71A6"/>
    <w:rsid w:val="002B75AB"/>
    <w:rsid w:val="002B76B6"/>
    <w:rsid w:val="002B7961"/>
    <w:rsid w:val="002B7EE5"/>
    <w:rsid w:val="002C0232"/>
    <w:rsid w:val="002C0591"/>
    <w:rsid w:val="002C0A2E"/>
    <w:rsid w:val="002C0C99"/>
    <w:rsid w:val="002C0CB8"/>
    <w:rsid w:val="002C1180"/>
    <w:rsid w:val="002C1C6F"/>
    <w:rsid w:val="002C1F03"/>
    <w:rsid w:val="002C2249"/>
    <w:rsid w:val="002C247B"/>
    <w:rsid w:val="002C2619"/>
    <w:rsid w:val="002C273E"/>
    <w:rsid w:val="002C27B7"/>
    <w:rsid w:val="002C28AD"/>
    <w:rsid w:val="002C29CD"/>
    <w:rsid w:val="002C2AEB"/>
    <w:rsid w:val="002C2B0C"/>
    <w:rsid w:val="002C2B1B"/>
    <w:rsid w:val="002C301D"/>
    <w:rsid w:val="002C3081"/>
    <w:rsid w:val="002C30F8"/>
    <w:rsid w:val="002C3237"/>
    <w:rsid w:val="002C32A9"/>
    <w:rsid w:val="002C3374"/>
    <w:rsid w:val="002C3667"/>
    <w:rsid w:val="002C366A"/>
    <w:rsid w:val="002C3895"/>
    <w:rsid w:val="002C3B4C"/>
    <w:rsid w:val="002C3BDE"/>
    <w:rsid w:val="002C3E12"/>
    <w:rsid w:val="002C4005"/>
    <w:rsid w:val="002C41D2"/>
    <w:rsid w:val="002C49BC"/>
    <w:rsid w:val="002C4CDF"/>
    <w:rsid w:val="002C5004"/>
    <w:rsid w:val="002C5122"/>
    <w:rsid w:val="002C53AC"/>
    <w:rsid w:val="002C5814"/>
    <w:rsid w:val="002C5BF5"/>
    <w:rsid w:val="002C5C47"/>
    <w:rsid w:val="002C5F1D"/>
    <w:rsid w:val="002C5F5B"/>
    <w:rsid w:val="002C61DB"/>
    <w:rsid w:val="002C626E"/>
    <w:rsid w:val="002C64F6"/>
    <w:rsid w:val="002C6703"/>
    <w:rsid w:val="002C67C2"/>
    <w:rsid w:val="002C6C0C"/>
    <w:rsid w:val="002C6CA8"/>
    <w:rsid w:val="002C6DC5"/>
    <w:rsid w:val="002C6E33"/>
    <w:rsid w:val="002C6EFF"/>
    <w:rsid w:val="002C6F0D"/>
    <w:rsid w:val="002C6F61"/>
    <w:rsid w:val="002C7041"/>
    <w:rsid w:val="002C70C9"/>
    <w:rsid w:val="002C7109"/>
    <w:rsid w:val="002C7844"/>
    <w:rsid w:val="002C7D33"/>
    <w:rsid w:val="002D0212"/>
    <w:rsid w:val="002D03EA"/>
    <w:rsid w:val="002D044B"/>
    <w:rsid w:val="002D09F9"/>
    <w:rsid w:val="002D0E2E"/>
    <w:rsid w:val="002D0E88"/>
    <w:rsid w:val="002D0FB0"/>
    <w:rsid w:val="002D12B6"/>
    <w:rsid w:val="002D12F9"/>
    <w:rsid w:val="002D13F5"/>
    <w:rsid w:val="002D142B"/>
    <w:rsid w:val="002D1730"/>
    <w:rsid w:val="002D180C"/>
    <w:rsid w:val="002D189B"/>
    <w:rsid w:val="002D18CA"/>
    <w:rsid w:val="002D19C7"/>
    <w:rsid w:val="002D1B25"/>
    <w:rsid w:val="002D1F1E"/>
    <w:rsid w:val="002D251F"/>
    <w:rsid w:val="002D2684"/>
    <w:rsid w:val="002D29E2"/>
    <w:rsid w:val="002D304B"/>
    <w:rsid w:val="002D3177"/>
    <w:rsid w:val="002D339D"/>
    <w:rsid w:val="002D3B10"/>
    <w:rsid w:val="002D3FFA"/>
    <w:rsid w:val="002D404F"/>
    <w:rsid w:val="002D4416"/>
    <w:rsid w:val="002D445B"/>
    <w:rsid w:val="002D465D"/>
    <w:rsid w:val="002D46AD"/>
    <w:rsid w:val="002D4829"/>
    <w:rsid w:val="002D4CD9"/>
    <w:rsid w:val="002D4D1E"/>
    <w:rsid w:val="002D4DAF"/>
    <w:rsid w:val="002D4E3B"/>
    <w:rsid w:val="002D5028"/>
    <w:rsid w:val="002D558B"/>
    <w:rsid w:val="002D57BF"/>
    <w:rsid w:val="002D5974"/>
    <w:rsid w:val="002D5AD7"/>
    <w:rsid w:val="002D5DC8"/>
    <w:rsid w:val="002D5EAF"/>
    <w:rsid w:val="002D5F7B"/>
    <w:rsid w:val="002D6586"/>
    <w:rsid w:val="002D68BB"/>
    <w:rsid w:val="002D6A57"/>
    <w:rsid w:val="002D6B9D"/>
    <w:rsid w:val="002D6C08"/>
    <w:rsid w:val="002D6FCB"/>
    <w:rsid w:val="002D7125"/>
    <w:rsid w:val="002D71F4"/>
    <w:rsid w:val="002D72AB"/>
    <w:rsid w:val="002D7445"/>
    <w:rsid w:val="002D7458"/>
    <w:rsid w:val="002D7A2F"/>
    <w:rsid w:val="002D7EAC"/>
    <w:rsid w:val="002D7F80"/>
    <w:rsid w:val="002D7FF9"/>
    <w:rsid w:val="002E0025"/>
    <w:rsid w:val="002E003E"/>
    <w:rsid w:val="002E0197"/>
    <w:rsid w:val="002E01D4"/>
    <w:rsid w:val="002E0333"/>
    <w:rsid w:val="002E0437"/>
    <w:rsid w:val="002E08C5"/>
    <w:rsid w:val="002E0C5D"/>
    <w:rsid w:val="002E135C"/>
    <w:rsid w:val="002E18BA"/>
    <w:rsid w:val="002E1945"/>
    <w:rsid w:val="002E19F8"/>
    <w:rsid w:val="002E1AD1"/>
    <w:rsid w:val="002E1D04"/>
    <w:rsid w:val="002E1E12"/>
    <w:rsid w:val="002E209C"/>
    <w:rsid w:val="002E2268"/>
    <w:rsid w:val="002E254D"/>
    <w:rsid w:val="002E257C"/>
    <w:rsid w:val="002E2596"/>
    <w:rsid w:val="002E25AC"/>
    <w:rsid w:val="002E25C8"/>
    <w:rsid w:val="002E28BC"/>
    <w:rsid w:val="002E2A81"/>
    <w:rsid w:val="002E2BAD"/>
    <w:rsid w:val="002E2CA4"/>
    <w:rsid w:val="002E2F4F"/>
    <w:rsid w:val="002E3137"/>
    <w:rsid w:val="002E31E5"/>
    <w:rsid w:val="002E355B"/>
    <w:rsid w:val="002E3659"/>
    <w:rsid w:val="002E36C0"/>
    <w:rsid w:val="002E3715"/>
    <w:rsid w:val="002E3770"/>
    <w:rsid w:val="002E3B04"/>
    <w:rsid w:val="002E3E0A"/>
    <w:rsid w:val="002E409D"/>
    <w:rsid w:val="002E4424"/>
    <w:rsid w:val="002E454C"/>
    <w:rsid w:val="002E47D0"/>
    <w:rsid w:val="002E4E27"/>
    <w:rsid w:val="002E4FAC"/>
    <w:rsid w:val="002E5177"/>
    <w:rsid w:val="002E5D4B"/>
    <w:rsid w:val="002E5FB1"/>
    <w:rsid w:val="002E6144"/>
    <w:rsid w:val="002E6419"/>
    <w:rsid w:val="002E659E"/>
    <w:rsid w:val="002E65AE"/>
    <w:rsid w:val="002E65F2"/>
    <w:rsid w:val="002E6B1C"/>
    <w:rsid w:val="002E6B54"/>
    <w:rsid w:val="002E6D03"/>
    <w:rsid w:val="002E6DC9"/>
    <w:rsid w:val="002E6E2C"/>
    <w:rsid w:val="002E70B3"/>
    <w:rsid w:val="002E7288"/>
    <w:rsid w:val="002E7B00"/>
    <w:rsid w:val="002E7B68"/>
    <w:rsid w:val="002E7F2F"/>
    <w:rsid w:val="002E7F8A"/>
    <w:rsid w:val="002E7F8C"/>
    <w:rsid w:val="002F0661"/>
    <w:rsid w:val="002F0884"/>
    <w:rsid w:val="002F113A"/>
    <w:rsid w:val="002F1419"/>
    <w:rsid w:val="002F18F3"/>
    <w:rsid w:val="002F1A50"/>
    <w:rsid w:val="002F1B77"/>
    <w:rsid w:val="002F1C2C"/>
    <w:rsid w:val="002F1F08"/>
    <w:rsid w:val="002F1FDE"/>
    <w:rsid w:val="002F25A0"/>
    <w:rsid w:val="002F25CD"/>
    <w:rsid w:val="002F29CD"/>
    <w:rsid w:val="002F2B03"/>
    <w:rsid w:val="002F2B3C"/>
    <w:rsid w:val="002F30CA"/>
    <w:rsid w:val="002F31AF"/>
    <w:rsid w:val="002F321A"/>
    <w:rsid w:val="002F3426"/>
    <w:rsid w:val="002F3C7E"/>
    <w:rsid w:val="002F3F36"/>
    <w:rsid w:val="002F3F9D"/>
    <w:rsid w:val="002F4861"/>
    <w:rsid w:val="002F486E"/>
    <w:rsid w:val="002F4921"/>
    <w:rsid w:val="002F4E66"/>
    <w:rsid w:val="002F4EA2"/>
    <w:rsid w:val="002F52F4"/>
    <w:rsid w:val="002F5427"/>
    <w:rsid w:val="002F550F"/>
    <w:rsid w:val="002F572D"/>
    <w:rsid w:val="002F5A7A"/>
    <w:rsid w:val="002F5CCE"/>
    <w:rsid w:val="002F62F7"/>
    <w:rsid w:val="002F679A"/>
    <w:rsid w:val="002F6874"/>
    <w:rsid w:val="002F68E7"/>
    <w:rsid w:val="002F6C98"/>
    <w:rsid w:val="002F71E7"/>
    <w:rsid w:val="002F7384"/>
    <w:rsid w:val="002F7D9B"/>
    <w:rsid w:val="003000BA"/>
    <w:rsid w:val="0030025A"/>
    <w:rsid w:val="00300452"/>
    <w:rsid w:val="00300546"/>
    <w:rsid w:val="003006F5"/>
    <w:rsid w:val="00300795"/>
    <w:rsid w:val="00300A36"/>
    <w:rsid w:val="00300EF1"/>
    <w:rsid w:val="0030159D"/>
    <w:rsid w:val="003015DF"/>
    <w:rsid w:val="00301A0F"/>
    <w:rsid w:val="00301A75"/>
    <w:rsid w:val="00301A9B"/>
    <w:rsid w:val="00301B96"/>
    <w:rsid w:val="0030204E"/>
    <w:rsid w:val="00302368"/>
    <w:rsid w:val="00302E72"/>
    <w:rsid w:val="003033C6"/>
    <w:rsid w:val="003033FD"/>
    <w:rsid w:val="00303785"/>
    <w:rsid w:val="00303D52"/>
    <w:rsid w:val="00303DD8"/>
    <w:rsid w:val="00303E2F"/>
    <w:rsid w:val="00303EE8"/>
    <w:rsid w:val="0030456D"/>
    <w:rsid w:val="00304601"/>
    <w:rsid w:val="00304676"/>
    <w:rsid w:val="003046AC"/>
    <w:rsid w:val="00304B4C"/>
    <w:rsid w:val="00304F97"/>
    <w:rsid w:val="00304F9D"/>
    <w:rsid w:val="003050B9"/>
    <w:rsid w:val="003052C9"/>
    <w:rsid w:val="003054AD"/>
    <w:rsid w:val="003054E2"/>
    <w:rsid w:val="0030580C"/>
    <w:rsid w:val="00305836"/>
    <w:rsid w:val="00305BD0"/>
    <w:rsid w:val="00305F27"/>
    <w:rsid w:val="00306074"/>
    <w:rsid w:val="003062B6"/>
    <w:rsid w:val="003062C6"/>
    <w:rsid w:val="00306333"/>
    <w:rsid w:val="0030654E"/>
    <w:rsid w:val="003068EC"/>
    <w:rsid w:val="00306952"/>
    <w:rsid w:val="00306C43"/>
    <w:rsid w:val="00307038"/>
    <w:rsid w:val="003070DC"/>
    <w:rsid w:val="003072EF"/>
    <w:rsid w:val="003078F6"/>
    <w:rsid w:val="00307902"/>
    <w:rsid w:val="00307960"/>
    <w:rsid w:val="003079DF"/>
    <w:rsid w:val="00307AA3"/>
    <w:rsid w:val="00307DBB"/>
    <w:rsid w:val="00307E63"/>
    <w:rsid w:val="00307F90"/>
    <w:rsid w:val="0031019F"/>
    <w:rsid w:val="003101B8"/>
    <w:rsid w:val="003102A4"/>
    <w:rsid w:val="00310398"/>
    <w:rsid w:val="003105D4"/>
    <w:rsid w:val="00310724"/>
    <w:rsid w:val="0031072F"/>
    <w:rsid w:val="0031078E"/>
    <w:rsid w:val="00310936"/>
    <w:rsid w:val="00310AFC"/>
    <w:rsid w:val="00310B8B"/>
    <w:rsid w:val="00310E79"/>
    <w:rsid w:val="00311394"/>
    <w:rsid w:val="00311421"/>
    <w:rsid w:val="003117C0"/>
    <w:rsid w:val="00311885"/>
    <w:rsid w:val="003119BB"/>
    <w:rsid w:val="00311E6D"/>
    <w:rsid w:val="003121F3"/>
    <w:rsid w:val="003122C8"/>
    <w:rsid w:val="00312391"/>
    <w:rsid w:val="003123A0"/>
    <w:rsid w:val="003123A5"/>
    <w:rsid w:val="003123CB"/>
    <w:rsid w:val="00312A6F"/>
    <w:rsid w:val="00312B2D"/>
    <w:rsid w:val="00312D56"/>
    <w:rsid w:val="00312E9E"/>
    <w:rsid w:val="0031307D"/>
    <w:rsid w:val="00313237"/>
    <w:rsid w:val="003132EF"/>
    <w:rsid w:val="003133E6"/>
    <w:rsid w:val="003134D4"/>
    <w:rsid w:val="00313894"/>
    <w:rsid w:val="00313A76"/>
    <w:rsid w:val="00313F10"/>
    <w:rsid w:val="003140B8"/>
    <w:rsid w:val="0031497F"/>
    <w:rsid w:val="0031498C"/>
    <w:rsid w:val="00314B4C"/>
    <w:rsid w:val="00314D0D"/>
    <w:rsid w:val="00314DD6"/>
    <w:rsid w:val="003155B6"/>
    <w:rsid w:val="00315635"/>
    <w:rsid w:val="00315719"/>
    <w:rsid w:val="00315C1A"/>
    <w:rsid w:val="00315D71"/>
    <w:rsid w:val="00315DA4"/>
    <w:rsid w:val="00316044"/>
    <w:rsid w:val="0031614E"/>
    <w:rsid w:val="00316307"/>
    <w:rsid w:val="0031649C"/>
    <w:rsid w:val="00316630"/>
    <w:rsid w:val="00316840"/>
    <w:rsid w:val="0031688A"/>
    <w:rsid w:val="003169C9"/>
    <w:rsid w:val="00316A59"/>
    <w:rsid w:val="00316EF3"/>
    <w:rsid w:val="003172F5"/>
    <w:rsid w:val="003174B5"/>
    <w:rsid w:val="00317642"/>
    <w:rsid w:val="00317739"/>
    <w:rsid w:val="003177B6"/>
    <w:rsid w:val="00317A36"/>
    <w:rsid w:val="00317F55"/>
    <w:rsid w:val="00320086"/>
    <w:rsid w:val="00320138"/>
    <w:rsid w:val="003201E9"/>
    <w:rsid w:val="0032023B"/>
    <w:rsid w:val="003202D7"/>
    <w:rsid w:val="003203E7"/>
    <w:rsid w:val="0032076E"/>
    <w:rsid w:val="00320938"/>
    <w:rsid w:val="00320CAE"/>
    <w:rsid w:val="0032136F"/>
    <w:rsid w:val="003216DF"/>
    <w:rsid w:val="0032195B"/>
    <w:rsid w:val="003222B2"/>
    <w:rsid w:val="0032233A"/>
    <w:rsid w:val="0032252E"/>
    <w:rsid w:val="00322721"/>
    <w:rsid w:val="00322811"/>
    <w:rsid w:val="00322960"/>
    <w:rsid w:val="00322BA7"/>
    <w:rsid w:val="00322D00"/>
    <w:rsid w:val="00322D2F"/>
    <w:rsid w:val="00322FBE"/>
    <w:rsid w:val="003233B0"/>
    <w:rsid w:val="00323AAB"/>
    <w:rsid w:val="00323B90"/>
    <w:rsid w:val="003242D5"/>
    <w:rsid w:val="00324509"/>
    <w:rsid w:val="00324B71"/>
    <w:rsid w:val="00324C43"/>
    <w:rsid w:val="00324C8E"/>
    <w:rsid w:val="00324DA9"/>
    <w:rsid w:val="003253C9"/>
    <w:rsid w:val="0032547E"/>
    <w:rsid w:val="00325630"/>
    <w:rsid w:val="00325930"/>
    <w:rsid w:val="00325A2E"/>
    <w:rsid w:val="00325B68"/>
    <w:rsid w:val="00325E2C"/>
    <w:rsid w:val="003261D5"/>
    <w:rsid w:val="0032664A"/>
    <w:rsid w:val="003267D4"/>
    <w:rsid w:val="0032682D"/>
    <w:rsid w:val="00326917"/>
    <w:rsid w:val="00326AAB"/>
    <w:rsid w:val="00326C79"/>
    <w:rsid w:val="00326F8B"/>
    <w:rsid w:val="003271B9"/>
    <w:rsid w:val="003273E7"/>
    <w:rsid w:val="00327506"/>
    <w:rsid w:val="00327603"/>
    <w:rsid w:val="00327BED"/>
    <w:rsid w:val="00327CC1"/>
    <w:rsid w:val="00327F2D"/>
    <w:rsid w:val="00330022"/>
    <w:rsid w:val="003300EA"/>
    <w:rsid w:val="0033087C"/>
    <w:rsid w:val="00330906"/>
    <w:rsid w:val="00330FB7"/>
    <w:rsid w:val="0033133B"/>
    <w:rsid w:val="00331482"/>
    <w:rsid w:val="003314EF"/>
    <w:rsid w:val="003315C4"/>
    <w:rsid w:val="003316F8"/>
    <w:rsid w:val="003319F2"/>
    <w:rsid w:val="00331C6A"/>
    <w:rsid w:val="00331E98"/>
    <w:rsid w:val="00331F7B"/>
    <w:rsid w:val="00332341"/>
    <w:rsid w:val="0033237C"/>
    <w:rsid w:val="00332841"/>
    <w:rsid w:val="00332BA1"/>
    <w:rsid w:val="00332BB8"/>
    <w:rsid w:val="00332E86"/>
    <w:rsid w:val="00332F83"/>
    <w:rsid w:val="00332FA8"/>
    <w:rsid w:val="003336F8"/>
    <w:rsid w:val="003339ED"/>
    <w:rsid w:val="00333A5E"/>
    <w:rsid w:val="00333AB0"/>
    <w:rsid w:val="00333B2C"/>
    <w:rsid w:val="00333C97"/>
    <w:rsid w:val="00333CD9"/>
    <w:rsid w:val="00333CE7"/>
    <w:rsid w:val="00333F58"/>
    <w:rsid w:val="003342F5"/>
    <w:rsid w:val="00334641"/>
    <w:rsid w:val="003347D2"/>
    <w:rsid w:val="00334B06"/>
    <w:rsid w:val="00334BD4"/>
    <w:rsid w:val="00334EF6"/>
    <w:rsid w:val="00335095"/>
    <w:rsid w:val="0033522E"/>
    <w:rsid w:val="00335398"/>
    <w:rsid w:val="003356A3"/>
    <w:rsid w:val="00335B7A"/>
    <w:rsid w:val="00335B8F"/>
    <w:rsid w:val="00335C54"/>
    <w:rsid w:val="00335E53"/>
    <w:rsid w:val="00336381"/>
    <w:rsid w:val="0033693E"/>
    <w:rsid w:val="00336A8F"/>
    <w:rsid w:val="00336EF2"/>
    <w:rsid w:val="00336FE1"/>
    <w:rsid w:val="003371EC"/>
    <w:rsid w:val="0033730A"/>
    <w:rsid w:val="0033770B"/>
    <w:rsid w:val="00337E58"/>
    <w:rsid w:val="003400AE"/>
    <w:rsid w:val="0034013D"/>
    <w:rsid w:val="003401A6"/>
    <w:rsid w:val="00340266"/>
    <w:rsid w:val="003403BE"/>
    <w:rsid w:val="00340A94"/>
    <w:rsid w:val="00340ACC"/>
    <w:rsid w:val="00340B72"/>
    <w:rsid w:val="00340B9A"/>
    <w:rsid w:val="00340E2C"/>
    <w:rsid w:val="00340EA5"/>
    <w:rsid w:val="00340EE3"/>
    <w:rsid w:val="00340F38"/>
    <w:rsid w:val="00341010"/>
    <w:rsid w:val="00341368"/>
    <w:rsid w:val="003414B7"/>
    <w:rsid w:val="0034151B"/>
    <w:rsid w:val="0034161D"/>
    <w:rsid w:val="00341732"/>
    <w:rsid w:val="00341894"/>
    <w:rsid w:val="0034198B"/>
    <w:rsid w:val="00341AA7"/>
    <w:rsid w:val="00341E3A"/>
    <w:rsid w:val="0034208F"/>
    <w:rsid w:val="003420DD"/>
    <w:rsid w:val="00342133"/>
    <w:rsid w:val="003422E1"/>
    <w:rsid w:val="00342963"/>
    <w:rsid w:val="00342DF5"/>
    <w:rsid w:val="003430A6"/>
    <w:rsid w:val="0034314B"/>
    <w:rsid w:val="003436DC"/>
    <w:rsid w:val="00344121"/>
    <w:rsid w:val="00344A0A"/>
    <w:rsid w:val="00344A5C"/>
    <w:rsid w:val="00344B06"/>
    <w:rsid w:val="00344D6B"/>
    <w:rsid w:val="00344FAF"/>
    <w:rsid w:val="00345202"/>
    <w:rsid w:val="003455F0"/>
    <w:rsid w:val="00345A03"/>
    <w:rsid w:val="00345D99"/>
    <w:rsid w:val="00345DB9"/>
    <w:rsid w:val="00345FC2"/>
    <w:rsid w:val="00346473"/>
    <w:rsid w:val="003464A8"/>
    <w:rsid w:val="00346654"/>
    <w:rsid w:val="00346A71"/>
    <w:rsid w:val="00346AEF"/>
    <w:rsid w:val="00347D30"/>
    <w:rsid w:val="00347D5E"/>
    <w:rsid w:val="00347DE7"/>
    <w:rsid w:val="00347F63"/>
    <w:rsid w:val="00350092"/>
    <w:rsid w:val="0035053B"/>
    <w:rsid w:val="003508E4"/>
    <w:rsid w:val="00350CCF"/>
    <w:rsid w:val="0035103F"/>
    <w:rsid w:val="00351262"/>
    <w:rsid w:val="003518A7"/>
    <w:rsid w:val="00351958"/>
    <w:rsid w:val="003519FF"/>
    <w:rsid w:val="00351E48"/>
    <w:rsid w:val="00352550"/>
    <w:rsid w:val="0035272D"/>
    <w:rsid w:val="0035277E"/>
    <w:rsid w:val="00352947"/>
    <w:rsid w:val="00352B68"/>
    <w:rsid w:val="00352C8B"/>
    <w:rsid w:val="00352E2F"/>
    <w:rsid w:val="00353061"/>
    <w:rsid w:val="003532D6"/>
    <w:rsid w:val="003532FD"/>
    <w:rsid w:val="00353500"/>
    <w:rsid w:val="00353653"/>
    <w:rsid w:val="0035371D"/>
    <w:rsid w:val="003537ED"/>
    <w:rsid w:val="00353B99"/>
    <w:rsid w:val="00353F25"/>
    <w:rsid w:val="00354298"/>
    <w:rsid w:val="0035452F"/>
    <w:rsid w:val="00354570"/>
    <w:rsid w:val="00354D93"/>
    <w:rsid w:val="00355049"/>
    <w:rsid w:val="0035528C"/>
    <w:rsid w:val="00355597"/>
    <w:rsid w:val="003555B7"/>
    <w:rsid w:val="003555E1"/>
    <w:rsid w:val="0035566D"/>
    <w:rsid w:val="003559F7"/>
    <w:rsid w:val="00355D1C"/>
    <w:rsid w:val="00355D21"/>
    <w:rsid w:val="0035602A"/>
    <w:rsid w:val="00356038"/>
    <w:rsid w:val="0035674B"/>
    <w:rsid w:val="0035678D"/>
    <w:rsid w:val="003568CC"/>
    <w:rsid w:val="00356A8C"/>
    <w:rsid w:val="00356D5D"/>
    <w:rsid w:val="00356E5C"/>
    <w:rsid w:val="00356F71"/>
    <w:rsid w:val="003571B2"/>
    <w:rsid w:val="003572F6"/>
    <w:rsid w:val="003576D3"/>
    <w:rsid w:val="00357874"/>
    <w:rsid w:val="003579A0"/>
    <w:rsid w:val="00357B89"/>
    <w:rsid w:val="00357D0E"/>
    <w:rsid w:val="00360170"/>
    <w:rsid w:val="0036081D"/>
    <w:rsid w:val="00360A18"/>
    <w:rsid w:val="00360A8C"/>
    <w:rsid w:val="00360D30"/>
    <w:rsid w:val="00360E11"/>
    <w:rsid w:val="00360F09"/>
    <w:rsid w:val="00360FF7"/>
    <w:rsid w:val="003613FA"/>
    <w:rsid w:val="0036149E"/>
    <w:rsid w:val="0036170B"/>
    <w:rsid w:val="00361733"/>
    <w:rsid w:val="003617DF"/>
    <w:rsid w:val="0036198C"/>
    <w:rsid w:val="00361AD4"/>
    <w:rsid w:val="00361AD6"/>
    <w:rsid w:val="00361CD5"/>
    <w:rsid w:val="00361EC0"/>
    <w:rsid w:val="00362033"/>
    <w:rsid w:val="003620FE"/>
    <w:rsid w:val="003621C7"/>
    <w:rsid w:val="00362A05"/>
    <w:rsid w:val="00362AD7"/>
    <w:rsid w:val="00362D5D"/>
    <w:rsid w:val="00362EBC"/>
    <w:rsid w:val="00362FB7"/>
    <w:rsid w:val="0036303A"/>
    <w:rsid w:val="00363106"/>
    <w:rsid w:val="003636DB"/>
    <w:rsid w:val="00363793"/>
    <w:rsid w:val="00363ACA"/>
    <w:rsid w:val="00363AD4"/>
    <w:rsid w:val="00363CB0"/>
    <w:rsid w:val="00363D42"/>
    <w:rsid w:val="0036418A"/>
    <w:rsid w:val="00364205"/>
    <w:rsid w:val="0036427E"/>
    <w:rsid w:val="00364566"/>
    <w:rsid w:val="003646C7"/>
    <w:rsid w:val="0036496D"/>
    <w:rsid w:val="00364AEC"/>
    <w:rsid w:val="00364C0C"/>
    <w:rsid w:val="00364EDF"/>
    <w:rsid w:val="00364FD8"/>
    <w:rsid w:val="00365112"/>
    <w:rsid w:val="003654B7"/>
    <w:rsid w:val="0036558B"/>
    <w:rsid w:val="003656A4"/>
    <w:rsid w:val="003657F4"/>
    <w:rsid w:val="003659DD"/>
    <w:rsid w:val="00365A6F"/>
    <w:rsid w:val="00365C10"/>
    <w:rsid w:val="0036624A"/>
    <w:rsid w:val="003664A8"/>
    <w:rsid w:val="00366D9A"/>
    <w:rsid w:val="00366DD1"/>
    <w:rsid w:val="0036743D"/>
    <w:rsid w:val="0036758F"/>
    <w:rsid w:val="003678C6"/>
    <w:rsid w:val="00367AFC"/>
    <w:rsid w:val="00367D17"/>
    <w:rsid w:val="003700D9"/>
    <w:rsid w:val="003701AC"/>
    <w:rsid w:val="00370E3A"/>
    <w:rsid w:val="0037102D"/>
    <w:rsid w:val="00371BD7"/>
    <w:rsid w:val="00371C79"/>
    <w:rsid w:val="00372001"/>
    <w:rsid w:val="00372608"/>
    <w:rsid w:val="00372A98"/>
    <w:rsid w:val="00372FB6"/>
    <w:rsid w:val="003732DD"/>
    <w:rsid w:val="003732E1"/>
    <w:rsid w:val="003736E9"/>
    <w:rsid w:val="00373E0C"/>
    <w:rsid w:val="00373F01"/>
    <w:rsid w:val="00374109"/>
    <w:rsid w:val="00374221"/>
    <w:rsid w:val="003742B4"/>
    <w:rsid w:val="003742C6"/>
    <w:rsid w:val="003746DF"/>
    <w:rsid w:val="00374979"/>
    <w:rsid w:val="00374BA7"/>
    <w:rsid w:val="00374CEA"/>
    <w:rsid w:val="00374F34"/>
    <w:rsid w:val="00374F50"/>
    <w:rsid w:val="00374FB9"/>
    <w:rsid w:val="0037514A"/>
    <w:rsid w:val="003758F6"/>
    <w:rsid w:val="00375B1A"/>
    <w:rsid w:val="00375CD7"/>
    <w:rsid w:val="00375D02"/>
    <w:rsid w:val="00375DF5"/>
    <w:rsid w:val="00376119"/>
    <w:rsid w:val="0037615B"/>
    <w:rsid w:val="003767A4"/>
    <w:rsid w:val="003768D5"/>
    <w:rsid w:val="00376A5C"/>
    <w:rsid w:val="00376A84"/>
    <w:rsid w:val="00376AA1"/>
    <w:rsid w:val="00376B37"/>
    <w:rsid w:val="00376C46"/>
    <w:rsid w:val="00376D42"/>
    <w:rsid w:val="00376DB0"/>
    <w:rsid w:val="0037731F"/>
    <w:rsid w:val="00377392"/>
    <w:rsid w:val="0037743C"/>
    <w:rsid w:val="00377F73"/>
    <w:rsid w:val="00377FB0"/>
    <w:rsid w:val="00380160"/>
    <w:rsid w:val="00380466"/>
    <w:rsid w:val="003806BB"/>
    <w:rsid w:val="003806DB"/>
    <w:rsid w:val="00380834"/>
    <w:rsid w:val="00380876"/>
    <w:rsid w:val="00380D6F"/>
    <w:rsid w:val="00380EBE"/>
    <w:rsid w:val="00380FE9"/>
    <w:rsid w:val="00381077"/>
    <w:rsid w:val="003811DE"/>
    <w:rsid w:val="00381895"/>
    <w:rsid w:val="00381948"/>
    <w:rsid w:val="00381C47"/>
    <w:rsid w:val="003826AA"/>
    <w:rsid w:val="00382B65"/>
    <w:rsid w:val="00382B78"/>
    <w:rsid w:val="00382F75"/>
    <w:rsid w:val="00382FC6"/>
    <w:rsid w:val="00382FF5"/>
    <w:rsid w:val="00383400"/>
    <w:rsid w:val="00383A29"/>
    <w:rsid w:val="00383A46"/>
    <w:rsid w:val="00383A51"/>
    <w:rsid w:val="00383C6D"/>
    <w:rsid w:val="00383EE9"/>
    <w:rsid w:val="00384057"/>
    <w:rsid w:val="003841E2"/>
    <w:rsid w:val="003842B8"/>
    <w:rsid w:val="0038465F"/>
    <w:rsid w:val="0038481B"/>
    <w:rsid w:val="00384BAA"/>
    <w:rsid w:val="00384E65"/>
    <w:rsid w:val="0038513B"/>
    <w:rsid w:val="0038547C"/>
    <w:rsid w:val="003855D6"/>
    <w:rsid w:val="0038593E"/>
    <w:rsid w:val="00385FDC"/>
    <w:rsid w:val="003862E2"/>
    <w:rsid w:val="003863DA"/>
    <w:rsid w:val="003864F3"/>
    <w:rsid w:val="00386970"/>
    <w:rsid w:val="00386ABA"/>
    <w:rsid w:val="00386DA9"/>
    <w:rsid w:val="00386E8C"/>
    <w:rsid w:val="00386FE4"/>
    <w:rsid w:val="00387179"/>
    <w:rsid w:val="003871A6"/>
    <w:rsid w:val="003873FA"/>
    <w:rsid w:val="0038796A"/>
    <w:rsid w:val="00387F25"/>
    <w:rsid w:val="003901DA"/>
    <w:rsid w:val="003905D1"/>
    <w:rsid w:val="00390692"/>
    <w:rsid w:val="003906D7"/>
    <w:rsid w:val="00390D01"/>
    <w:rsid w:val="00390D44"/>
    <w:rsid w:val="003910A9"/>
    <w:rsid w:val="00391663"/>
    <w:rsid w:val="00391699"/>
    <w:rsid w:val="00391B68"/>
    <w:rsid w:val="00391D60"/>
    <w:rsid w:val="00392321"/>
    <w:rsid w:val="00392349"/>
    <w:rsid w:val="003927E0"/>
    <w:rsid w:val="003928F7"/>
    <w:rsid w:val="00392C60"/>
    <w:rsid w:val="00392E43"/>
    <w:rsid w:val="00392E8E"/>
    <w:rsid w:val="00392F2F"/>
    <w:rsid w:val="0039312D"/>
    <w:rsid w:val="003935AB"/>
    <w:rsid w:val="003936EA"/>
    <w:rsid w:val="00393A12"/>
    <w:rsid w:val="00394423"/>
    <w:rsid w:val="0039461A"/>
    <w:rsid w:val="0039477D"/>
    <w:rsid w:val="00394BE5"/>
    <w:rsid w:val="00394DD9"/>
    <w:rsid w:val="003951E1"/>
    <w:rsid w:val="003951FF"/>
    <w:rsid w:val="00395A25"/>
    <w:rsid w:val="00395B56"/>
    <w:rsid w:val="00395B81"/>
    <w:rsid w:val="003960C1"/>
    <w:rsid w:val="003962F5"/>
    <w:rsid w:val="0039641B"/>
    <w:rsid w:val="0039667C"/>
    <w:rsid w:val="003966A0"/>
    <w:rsid w:val="00396871"/>
    <w:rsid w:val="00396DE2"/>
    <w:rsid w:val="00397045"/>
    <w:rsid w:val="003970AA"/>
    <w:rsid w:val="003971E1"/>
    <w:rsid w:val="00397340"/>
    <w:rsid w:val="00397B2E"/>
    <w:rsid w:val="00397CD6"/>
    <w:rsid w:val="00397D04"/>
    <w:rsid w:val="00397ECA"/>
    <w:rsid w:val="003A06A7"/>
    <w:rsid w:val="003A08D9"/>
    <w:rsid w:val="003A1412"/>
    <w:rsid w:val="003A1587"/>
    <w:rsid w:val="003A16BD"/>
    <w:rsid w:val="003A2066"/>
    <w:rsid w:val="003A2166"/>
    <w:rsid w:val="003A22F5"/>
    <w:rsid w:val="003A24E6"/>
    <w:rsid w:val="003A2631"/>
    <w:rsid w:val="003A2D48"/>
    <w:rsid w:val="003A2FBD"/>
    <w:rsid w:val="003A32FD"/>
    <w:rsid w:val="003A3336"/>
    <w:rsid w:val="003A3474"/>
    <w:rsid w:val="003A34EB"/>
    <w:rsid w:val="003A36AC"/>
    <w:rsid w:val="003A3833"/>
    <w:rsid w:val="003A384B"/>
    <w:rsid w:val="003A3A26"/>
    <w:rsid w:val="003A3F39"/>
    <w:rsid w:val="003A40B8"/>
    <w:rsid w:val="003A4223"/>
    <w:rsid w:val="003A4ABB"/>
    <w:rsid w:val="003A4ACE"/>
    <w:rsid w:val="003A4BFE"/>
    <w:rsid w:val="003A4D7B"/>
    <w:rsid w:val="003A4FE3"/>
    <w:rsid w:val="003A5278"/>
    <w:rsid w:val="003A56D2"/>
    <w:rsid w:val="003A5768"/>
    <w:rsid w:val="003A5786"/>
    <w:rsid w:val="003A5A2E"/>
    <w:rsid w:val="003A5B41"/>
    <w:rsid w:val="003A5B83"/>
    <w:rsid w:val="003A5F8A"/>
    <w:rsid w:val="003A634D"/>
    <w:rsid w:val="003A63AE"/>
    <w:rsid w:val="003A680E"/>
    <w:rsid w:val="003A6A8A"/>
    <w:rsid w:val="003A6B53"/>
    <w:rsid w:val="003A6B8A"/>
    <w:rsid w:val="003A6FB6"/>
    <w:rsid w:val="003A702D"/>
    <w:rsid w:val="003A747C"/>
    <w:rsid w:val="003A768F"/>
    <w:rsid w:val="003A796E"/>
    <w:rsid w:val="003A7A9B"/>
    <w:rsid w:val="003A7C0C"/>
    <w:rsid w:val="003B0073"/>
    <w:rsid w:val="003B021D"/>
    <w:rsid w:val="003B045B"/>
    <w:rsid w:val="003B0D75"/>
    <w:rsid w:val="003B0FE7"/>
    <w:rsid w:val="003B11A0"/>
    <w:rsid w:val="003B1233"/>
    <w:rsid w:val="003B1783"/>
    <w:rsid w:val="003B18D0"/>
    <w:rsid w:val="003B1AEA"/>
    <w:rsid w:val="003B1B17"/>
    <w:rsid w:val="003B1F60"/>
    <w:rsid w:val="003B2024"/>
    <w:rsid w:val="003B2155"/>
    <w:rsid w:val="003B2265"/>
    <w:rsid w:val="003B248A"/>
    <w:rsid w:val="003B266C"/>
    <w:rsid w:val="003B2A40"/>
    <w:rsid w:val="003B2A4F"/>
    <w:rsid w:val="003B2B7A"/>
    <w:rsid w:val="003B2BA6"/>
    <w:rsid w:val="003B2BE2"/>
    <w:rsid w:val="003B2F2D"/>
    <w:rsid w:val="003B311E"/>
    <w:rsid w:val="003B32F1"/>
    <w:rsid w:val="003B347E"/>
    <w:rsid w:val="003B39DC"/>
    <w:rsid w:val="003B3B53"/>
    <w:rsid w:val="003B4503"/>
    <w:rsid w:val="003B450C"/>
    <w:rsid w:val="003B46C8"/>
    <w:rsid w:val="003B46D7"/>
    <w:rsid w:val="003B4932"/>
    <w:rsid w:val="003B4B51"/>
    <w:rsid w:val="003B4BFD"/>
    <w:rsid w:val="003B4E12"/>
    <w:rsid w:val="003B53ED"/>
    <w:rsid w:val="003B545F"/>
    <w:rsid w:val="003B6385"/>
    <w:rsid w:val="003B6567"/>
    <w:rsid w:val="003B6C56"/>
    <w:rsid w:val="003B6DF2"/>
    <w:rsid w:val="003B7115"/>
    <w:rsid w:val="003B72E0"/>
    <w:rsid w:val="003B7513"/>
    <w:rsid w:val="003B7CB1"/>
    <w:rsid w:val="003C02BE"/>
    <w:rsid w:val="003C039E"/>
    <w:rsid w:val="003C056C"/>
    <w:rsid w:val="003C0608"/>
    <w:rsid w:val="003C0666"/>
    <w:rsid w:val="003C0AD0"/>
    <w:rsid w:val="003C0FE6"/>
    <w:rsid w:val="003C1038"/>
    <w:rsid w:val="003C1179"/>
    <w:rsid w:val="003C126B"/>
    <w:rsid w:val="003C17AB"/>
    <w:rsid w:val="003C1ABC"/>
    <w:rsid w:val="003C1B6B"/>
    <w:rsid w:val="003C1D50"/>
    <w:rsid w:val="003C20DB"/>
    <w:rsid w:val="003C214F"/>
    <w:rsid w:val="003C2623"/>
    <w:rsid w:val="003C2688"/>
    <w:rsid w:val="003C2D15"/>
    <w:rsid w:val="003C2E49"/>
    <w:rsid w:val="003C2ED7"/>
    <w:rsid w:val="003C314A"/>
    <w:rsid w:val="003C37C7"/>
    <w:rsid w:val="003C3875"/>
    <w:rsid w:val="003C399E"/>
    <w:rsid w:val="003C3B6B"/>
    <w:rsid w:val="003C3CB5"/>
    <w:rsid w:val="003C3E62"/>
    <w:rsid w:val="003C40D8"/>
    <w:rsid w:val="003C42AB"/>
    <w:rsid w:val="003C44B0"/>
    <w:rsid w:val="003C4562"/>
    <w:rsid w:val="003C46AD"/>
    <w:rsid w:val="003C47E1"/>
    <w:rsid w:val="003C482E"/>
    <w:rsid w:val="003C486E"/>
    <w:rsid w:val="003C4AF1"/>
    <w:rsid w:val="003C4ED3"/>
    <w:rsid w:val="003C5217"/>
    <w:rsid w:val="003C5323"/>
    <w:rsid w:val="003C5359"/>
    <w:rsid w:val="003C553F"/>
    <w:rsid w:val="003C56E3"/>
    <w:rsid w:val="003C5B77"/>
    <w:rsid w:val="003C5D7E"/>
    <w:rsid w:val="003C5DDB"/>
    <w:rsid w:val="003C5FCD"/>
    <w:rsid w:val="003C659C"/>
    <w:rsid w:val="003C6640"/>
    <w:rsid w:val="003C67E4"/>
    <w:rsid w:val="003C6803"/>
    <w:rsid w:val="003C6ADD"/>
    <w:rsid w:val="003C6D77"/>
    <w:rsid w:val="003C6F25"/>
    <w:rsid w:val="003C6F29"/>
    <w:rsid w:val="003C70BC"/>
    <w:rsid w:val="003C74AD"/>
    <w:rsid w:val="003C7CDA"/>
    <w:rsid w:val="003C7DE0"/>
    <w:rsid w:val="003D0220"/>
    <w:rsid w:val="003D0306"/>
    <w:rsid w:val="003D03F1"/>
    <w:rsid w:val="003D0486"/>
    <w:rsid w:val="003D05C3"/>
    <w:rsid w:val="003D0794"/>
    <w:rsid w:val="003D082E"/>
    <w:rsid w:val="003D0AA8"/>
    <w:rsid w:val="003D0EC2"/>
    <w:rsid w:val="003D125E"/>
    <w:rsid w:val="003D13A4"/>
    <w:rsid w:val="003D1554"/>
    <w:rsid w:val="003D1759"/>
    <w:rsid w:val="003D17E9"/>
    <w:rsid w:val="003D1C30"/>
    <w:rsid w:val="003D1E03"/>
    <w:rsid w:val="003D20C8"/>
    <w:rsid w:val="003D21A5"/>
    <w:rsid w:val="003D27B0"/>
    <w:rsid w:val="003D27BB"/>
    <w:rsid w:val="003D280F"/>
    <w:rsid w:val="003D28B0"/>
    <w:rsid w:val="003D28FA"/>
    <w:rsid w:val="003D2AD7"/>
    <w:rsid w:val="003D2DC2"/>
    <w:rsid w:val="003D3049"/>
    <w:rsid w:val="003D30DE"/>
    <w:rsid w:val="003D3232"/>
    <w:rsid w:val="003D347B"/>
    <w:rsid w:val="003D35BD"/>
    <w:rsid w:val="003D36E3"/>
    <w:rsid w:val="003D37F2"/>
    <w:rsid w:val="003D386F"/>
    <w:rsid w:val="003D3879"/>
    <w:rsid w:val="003D39A3"/>
    <w:rsid w:val="003D3AD0"/>
    <w:rsid w:val="003D3C73"/>
    <w:rsid w:val="003D40B4"/>
    <w:rsid w:val="003D4101"/>
    <w:rsid w:val="003D45A7"/>
    <w:rsid w:val="003D4609"/>
    <w:rsid w:val="003D473D"/>
    <w:rsid w:val="003D4844"/>
    <w:rsid w:val="003D4A9B"/>
    <w:rsid w:val="003D4E7F"/>
    <w:rsid w:val="003D5125"/>
    <w:rsid w:val="003D560D"/>
    <w:rsid w:val="003D5744"/>
    <w:rsid w:val="003D5B75"/>
    <w:rsid w:val="003D5C71"/>
    <w:rsid w:val="003D5DBD"/>
    <w:rsid w:val="003D5F47"/>
    <w:rsid w:val="003D5FB3"/>
    <w:rsid w:val="003D60D3"/>
    <w:rsid w:val="003D64E0"/>
    <w:rsid w:val="003D65CC"/>
    <w:rsid w:val="003D6737"/>
    <w:rsid w:val="003D6BE9"/>
    <w:rsid w:val="003D6C8C"/>
    <w:rsid w:val="003D6DBD"/>
    <w:rsid w:val="003D7290"/>
    <w:rsid w:val="003D7580"/>
    <w:rsid w:val="003D75D8"/>
    <w:rsid w:val="003D75FB"/>
    <w:rsid w:val="003D7650"/>
    <w:rsid w:val="003D76C8"/>
    <w:rsid w:val="003D7859"/>
    <w:rsid w:val="003D79E3"/>
    <w:rsid w:val="003D7BFF"/>
    <w:rsid w:val="003D7D9D"/>
    <w:rsid w:val="003D7F2D"/>
    <w:rsid w:val="003E0011"/>
    <w:rsid w:val="003E00EE"/>
    <w:rsid w:val="003E0195"/>
    <w:rsid w:val="003E04D5"/>
    <w:rsid w:val="003E060F"/>
    <w:rsid w:val="003E07F3"/>
    <w:rsid w:val="003E087D"/>
    <w:rsid w:val="003E0CAC"/>
    <w:rsid w:val="003E0DBF"/>
    <w:rsid w:val="003E1039"/>
    <w:rsid w:val="003E1319"/>
    <w:rsid w:val="003E180C"/>
    <w:rsid w:val="003E19EF"/>
    <w:rsid w:val="003E1D2C"/>
    <w:rsid w:val="003E1D69"/>
    <w:rsid w:val="003E1DF5"/>
    <w:rsid w:val="003E1E79"/>
    <w:rsid w:val="003E200F"/>
    <w:rsid w:val="003E26CD"/>
    <w:rsid w:val="003E2739"/>
    <w:rsid w:val="003E2845"/>
    <w:rsid w:val="003E2CB2"/>
    <w:rsid w:val="003E32AE"/>
    <w:rsid w:val="003E34BE"/>
    <w:rsid w:val="003E36A5"/>
    <w:rsid w:val="003E4E14"/>
    <w:rsid w:val="003E5022"/>
    <w:rsid w:val="003E5301"/>
    <w:rsid w:val="003E5343"/>
    <w:rsid w:val="003E5669"/>
    <w:rsid w:val="003E5881"/>
    <w:rsid w:val="003E5C28"/>
    <w:rsid w:val="003E5F6B"/>
    <w:rsid w:val="003E6186"/>
    <w:rsid w:val="003E61B6"/>
    <w:rsid w:val="003E62CB"/>
    <w:rsid w:val="003E654B"/>
    <w:rsid w:val="003E65AD"/>
    <w:rsid w:val="003E66DB"/>
    <w:rsid w:val="003E68A3"/>
    <w:rsid w:val="003E6CE0"/>
    <w:rsid w:val="003E7B0D"/>
    <w:rsid w:val="003E7D88"/>
    <w:rsid w:val="003E7FD1"/>
    <w:rsid w:val="003E7FE9"/>
    <w:rsid w:val="003F0173"/>
    <w:rsid w:val="003F053E"/>
    <w:rsid w:val="003F0804"/>
    <w:rsid w:val="003F0978"/>
    <w:rsid w:val="003F0A1E"/>
    <w:rsid w:val="003F0A98"/>
    <w:rsid w:val="003F0CF7"/>
    <w:rsid w:val="003F0FFD"/>
    <w:rsid w:val="003F128C"/>
    <w:rsid w:val="003F12A8"/>
    <w:rsid w:val="003F1392"/>
    <w:rsid w:val="003F1412"/>
    <w:rsid w:val="003F175F"/>
    <w:rsid w:val="003F1D74"/>
    <w:rsid w:val="003F1F51"/>
    <w:rsid w:val="003F211E"/>
    <w:rsid w:val="003F23F6"/>
    <w:rsid w:val="003F24D4"/>
    <w:rsid w:val="003F25F9"/>
    <w:rsid w:val="003F2911"/>
    <w:rsid w:val="003F296A"/>
    <w:rsid w:val="003F2AF1"/>
    <w:rsid w:val="003F2B86"/>
    <w:rsid w:val="003F2BEB"/>
    <w:rsid w:val="003F2F96"/>
    <w:rsid w:val="003F30FD"/>
    <w:rsid w:val="003F3115"/>
    <w:rsid w:val="003F32BC"/>
    <w:rsid w:val="003F33FF"/>
    <w:rsid w:val="003F3779"/>
    <w:rsid w:val="003F3AC2"/>
    <w:rsid w:val="003F3BE6"/>
    <w:rsid w:val="003F3CA7"/>
    <w:rsid w:val="003F3DB8"/>
    <w:rsid w:val="003F446F"/>
    <w:rsid w:val="003F4C91"/>
    <w:rsid w:val="003F4CB7"/>
    <w:rsid w:val="003F4D28"/>
    <w:rsid w:val="003F50E4"/>
    <w:rsid w:val="003F5125"/>
    <w:rsid w:val="003F512C"/>
    <w:rsid w:val="003F5205"/>
    <w:rsid w:val="003F52CA"/>
    <w:rsid w:val="003F552B"/>
    <w:rsid w:val="003F555E"/>
    <w:rsid w:val="003F5756"/>
    <w:rsid w:val="003F5780"/>
    <w:rsid w:val="003F5A36"/>
    <w:rsid w:val="003F5A41"/>
    <w:rsid w:val="003F5ABF"/>
    <w:rsid w:val="003F5C30"/>
    <w:rsid w:val="003F5C36"/>
    <w:rsid w:val="003F5D34"/>
    <w:rsid w:val="003F5D5C"/>
    <w:rsid w:val="003F5ED5"/>
    <w:rsid w:val="003F6195"/>
    <w:rsid w:val="003F6239"/>
    <w:rsid w:val="003F6407"/>
    <w:rsid w:val="003F65E0"/>
    <w:rsid w:val="003F66F1"/>
    <w:rsid w:val="003F679D"/>
    <w:rsid w:val="003F685C"/>
    <w:rsid w:val="003F69FC"/>
    <w:rsid w:val="003F6A4B"/>
    <w:rsid w:val="003F6AE5"/>
    <w:rsid w:val="003F6BA5"/>
    <w:rsid w:val="003F6CCE"/>
    <w:rsid w:val="003F6E96"/>
    <w:rsid w:val="003F70FA"/>
    <w:rsid w:val="003F72FC"/>
    <w:rsid w:val="003F7580"/>
    <w:rsid w:val="003F76F4"/>
    <w:rsid w:val="003F77CF"/>
    <w:rsid w:val="003F7AC3"/>
    <w:rsid w:val="003F7EA4"/>
    <w:rsid w:val="003F7EAD"/>
    <w:rsid w:val="003F7F14"/>
    <w:rsid w:val="00400074"/>
    <w:rsid w:val="004002E8"/>
    <w:rsid w:val="004005A9"/>
    <w:rsid w:val="00400719"/>
    <w:rsid w:val="0040072F"/>
    <w:rsid w:val="004007F9"/>
    <w:rsid w:val="00400BC0"/>
    <w:rsid w:val="00400CC0"/>
    <w:rsid w:val="00400DF5"/>
    <w:rsid w:val="00400DF8"/>
    <w:rsid w:val="00400F45"/>
    <w:rsid w:val="00401106"/>
    <w:rsid w:val="0040131B"/>
    <w:rsid w:val="004017FF"/>
    <w:rsid w:val="00401811"/>
    <w:rsid w:val="00401882"/>
    <w:rsid w:val="004019D4"/>
    <w:rsid w:val="00402019"/>
    <w:rsid w:val="004021F9"/>
    <w:rsid w:val="00402260"/>
    <w:rsid w:val="004024CA"/>
    <w:rsid w:val="004026E9"/>
    <w:rsid w:val="00402FC7"/>
    <w:rsid w:val="00403648"/>
    <w:rsid w:val="004036AF"/>
    <w:rsid w:val="004036D4"/>
    <w:rsid w:val="00403894"/>
    <w:rsid w:val="004038DA"/>
    <w:rsid w:val="00403BD3"/>
    <w:rsid w:val="0040416E"/>
    <w:rsid w:val="0040417F"/>
    <w:rsid w:val="004041AF"/>
    <w:rsid w:val="00404230"/>
    <w:rsid w:val="004042BE"/>
    <w:rsid w:val="004045F8"/>
    <w:rsid w:val="00404760"/>
    <w:rsid w:val="00404A80"/>
    <w:rsid w:val="00404A9B"/>
    <w:rsid w:val="00404C4B"/>
    <w:rsid w:val="004051BE"/>
    <w:rsid w:val="00405215"/>
    <w:rsid w:val="00405440"/>
    <w:rsid w:val="00405480"/>
    <w:rsid w:val="00405831"/>
    <w:rsid w:val="00405B8D"/>
    <w:rsid w:val="00405D2B"/>
    <w:rsid w:val="0040602A"/>
    <w:rsid w:val="00406170"/>
    <w:rsid w:val="004061E9"/>
    <w:rsid w:val="004061FB"/>
    <w:rsid w:val="0040629A"/>
    <w:rsid w:val="00406373"/>
    <w:rsid w:val="004065F5"/>
    <w:rsid w:val="0040670E"/>
    <w:rsid w:val="00406747"/>
    <w:rsid w:val="004068B2"/>
    <w:rsid w:val="00406B1A"/>
    <w:rsid w:val="004070C4"/>
    <w:rsid w:val="004072A3"/>
    <w:rsid w:val="0040738E"/>
    <w:rsid w:val="00407564"/>
    <w:rsid w:val="0040764B"/>
    <w:rsid w:val="0040796D"/>
    <w:rsid w:val="004079E2"/>
    <w:rsid w:val="00407D71"/>
    <w:rsid w:val="004104EA"/>
    <w:rsid w:val="004104F9"/>
    <w:rsid w:val="004107C9"/>
    <w:rsid w:val="004107F6"/>
    <w:rsid w:val="004107F8"/>
    <w:rsid w:val="00410C36"/>
    <w:rsid w:val="00410C78"/>
    <w:rsid w:val="00410D38"/>
    <w:rsid w:val="00410FD2"/>
    <w:rsid w:val="004110A8"/>
    <w:rsid w:val="00411F5B"/>
    <w:rsid w:val="00412135"/>
    <w:rsid w:val="00412194"/>
    <w:rsid w:val="0041288E"/>
    <w:rsid w:val="00412A8A"/>
    <w:rsid w:val="00412AF2"/>
    <w:rsid w:val="00412DD9"/>
    <w:rsid w:val="00412E2C"/>
    <w:rsid w:val="00412F78"/>
    <w:rsid w:val="004130C5"/>
    <w:rsid w:val="0041335F"/>
    <w:rsid w:val="00413999"/>
    <w:rsid w:val="00414100"/>
    <w:rsid w:val="0041425D"/>
    <w:rsid w:val="004147FA"/>
    <w:rsid w:val="004148E3"/>
    <w:rsid w:val="0041494E"/>
    <w:rsid w:val="00414A71"/>
    <w:rsid w:val="00414B89"/>
    <w:rsid w:val="00414C0E"/>
    <w:rsid w:val="00414CA0"/>
    <w:rsid w:val="00414D7E"/>
    <w:rsid w:val="0041500B"/>
    <w:rsid w:val="004151EA"/>
    <w:rsid w:val="004155C2"/>
    <w:rsid w:val="004158A3"/>
    <w:rsid w:val="00415D9E"/>
    <w:rsid w:val="00415DD7"/>
    <w:rsid w:val="00415E43"/>
    <w:rsid w:val="0041601B"/>
    <w:rsid w:val="004160F5"/>
    <w:rsid w:val="00416109"/>
    <w:rsid w:val="004162AF"/>
    <w:rsid w:val="004163CF"/>
    <w:rsid w:val="00416632"/>
    <w:rsid w:val="004166A0"/>
    <w:rsid w:val="004169B5"/>
    <w:rsid w:val="00416DC8"/>
    <w:rsid w:val="00416E59"/>
    <w:rsid w:val="00417A7F"/>
    <w:rsid w:val="00417C1B"/>
    <w:rsid w:val="00417EE4"/>
    <w:rsid w:val="0042007F"/>
    <w:rsid w:val="00420467"/>
    <w:rsid w:val="00420557"/>
    <w:rsid w:val="00420582"/>
    <w:rsid w:val="004205E0"/>
    <w:rsid w:val="0042073C"/>
    <w:rsid w:val="0042089C"/>
    <w:rsid w:val="004209BC"/>
    <w:rsid w:val="00420A45"/>
    <w:rsid w:val="00420C8A"/>
    <w:rsid w:val="00420E52"/>
    <w:rsid w:val="00420FA1"/>
    <w:rsid w:val="0042168B"/>
    <w:rsid w:val="00421839"/>
    <w:rsid w:val="0042197A"/>
    <w:rsid w:val="00422298"/>
    <w:rsid w:val="00422879"/>
    <w:rsid w:val="00422986"/>
    <w:rsid w:val="00422CB6"/>
    <w:rsid w:val="004238CC"/>
    <w:rsid w:val="0042392D"/>
    <w:rsid w:val="00423B36"/>
    <w:rsid w:val="00423C42"/>
    <w:rsid w:val="00423C4F"/>
    <w:rsid w:val="00423FF7"/>
    <w:rsid w:val="0042447A"/>
    <w:rsid w:val="004244EF"/>
    <w:rsid w:val="0042456C"/>
    <w:rsid w:val="004245B9"/>
    <w:rsid w:val="00424722"/>
    <w:rsid w:val="00424892"/>
    <w:rsid w:val="00424AA8"/>
    <w:rsid w:val="00424AAA"/>
    <w:rsid w:val="00424C7B"/>
    <w:rsid w:val="00424DBA"/>
    <w:rsid w:val="00424DCF"/>
    <w:rsid w:val="0042526A"/>
    <w:rsid w:val="004253C2"/>
    <w:rsid w:val="00425482"/>
    <w:rsid w:val="00425891"/>
    <w:rsid w:val="00425A88"/>
    <w:rsid w:val="00425C77"/>
    <w:rsid w:val="00425ED7"/>
    <w:rsid w:val="0042609B"/>
    <w:rsid w:val="00426190"/>
    <w:rsid w:val="00426380"/>
    <w:rsid w:val="00426529"/>
    <w:rsid w:val="00426E06"/>
    <w:rsid w:val="00426F87"/>
    <w:rsid w:val="00427157"/>
    <w:rsid w:val="00427390"/>
    <w:rsid w:val="00427868"/>
    <w:rsid w:val="004278A1"/>
    <w:rsid w:val="00427B71"/>
    <w:rsid w:val="00427BD3"/>
    <w:rsid w:val="00427FF9"/>
    <w:rsid w:val="004306C0"/>
    <w:rsid w:val="00430E72"/>
    <w:rsid w:val="00430FE5"/>
    <w:rsid w:val="004310A4"/>
    <w:rsid w:val="0043118F"/>
    <w:rsid w:val="00431560"/>
    <w:rsid w:val="00431822"/>
    <w:rsid w:val="00431CDE"/>
    <w:rsid w:val="004324C7"/>
    <w:rsid w:val="004329AF"/>
    <w:rsid w:val="00432A16"/>
    <w:rsid w:val="00432A59"/>
    <w:rsid w:val="00432AE8"/>
    <w:rsid w:val="00432B5F"/>
    <w:rsid w:val="00432C7C"/>
    <w:rsid w:val="00432E48"/>
    <w:rsid w:val="00432ED2"/>
    <w:rsid w:val="00433012"/>
    <w:rsid w:val="00433275"/>
    <w:rsid w:val="00433963"/>
    <w:rsid w:val="00433C4D"/>
    <w:rsid w:val="00433CA7"/>
    <w:rsid w:val="00433CED"/>
    <w:rsid w:val="00433E0A"/>
    <w:rsid w:val="00433E63"/>
    <w:rsid w:val="004343E0"/>
    <w:rsid w:val="004344D4"/>
    <w:rsid w:val="00434877"/>
    <w:rsid w:val="00434888"/>
    <w:rsid w:val="00434AD4"/>
    <w:rsid w:val="00434BF5"/>
    <w:rsid w:val="00434C25"/>
    <w:rsid w:val="00434CDF"/>
    <w:rsid w:val="00434CED"/>
    <w:rsid w:val="00434D47"/>
    <w:rsid w:val="00434F1F"/>
    <w:rsid w:val="0043513F"/>
    <w:rsid w:val="0043518F"/>
    <w:rsid w:val="00435343"/>
    <w:rsid w:val="0043577E"/>
    <w:rsid w:val="0043592A"/>
    <w:rsid w:val="00435B4C"/>
    <w:rsid w:val="00435B96"/>
    <w:rsid w:val="00435CCE"/>
    <w:rsid w:val="0043686D"/>
    <w:rsid w:val="00436C5D"/>
    <w:rsid w:val="004372F8"/>
    <w:rsid w:val="0043733E"/>
    <w:rsid w:val="00437962"/>
    <w:rsid w:val="00437D98"/>
    <w:rsid w:val="00437DDF"/>
    <w:rsid w:val="0044004D"/>
    <w:rsid w:val="00440062"/>
    <w:rsid w:val="00440246"/>
    <w:rsid w:val="00440272"/>
    <w:rsid w:val="004406EC"/>
    <w:rsid w:val="00440934"/>
    <w:rsid w:val="00440AEF"/>
    <w:rsid w:val="00440BD7"/>
    <w:rsid w:val="00440EC6"/>
    <w:rsid w:val="004410F2"/>
    <w:rsid w:val="00441B8D"/>
    <w:rsid w:val="00441BA9"/>
    <w:rsid w:val="00441BC4"/>
    <w:rsid w:val="00441D45"/>
    <w:rsid w:val="00442070"/>
    <w:rsid w:val="00442281"/>
    <w:rsid w:val="004422A7"/>
    <w:rsid w:val="0044240F"/>
    <w:rsid w:val="0044244C"/>
    <w:rsid w:val="0044270B"/>
    <w:rsid w:val="004429B6"/>
    <w:rsid w:val="00442CBB"/>
    <w:rsid w:val="00442DAF"/>
    <w:rsid w:val="00442E8B"/>
    <w:rsid w:val="00442F56"/>
    <w:rsid w:val="00443121"/>
    <w:rsid w:val="00443178"/>
    <w:rsid w:val="00443275"/>
    <w:rsid w:val="00443356"/>
    <w:rsid w:val="004433DC"/>
    <w:rsid w:val="00443454"/>
    <w:rsid w:val="004435BC"/>
    <w:rsid w:val="00443680"/>
    <w:rsid w:val="00443C29"/>
    <w:rsid w:val="00443CAC"/>
    <w:rsid w:val="00443CE0"/>
    <w:rsid w:val="00443DB4"/>
    <w:rsid w:val="00443FBB"/>
    <w:rsid w:val="00444099"/>
    <w:rsid w:val="00444198"/>
    <w:rsid w:val="00444335"/>
    <w:rsid w:val="004445C6"/>
    <w:rsid w:val="00444A0A"/>
    <w:rsid w:val="00444F6B"/>
    <w:rsid w:val="00444F87"/>
    <w:rsid w:val="004451A8"/>
    <w:rsid w:val="004458F1"/>
    <w:rsid w:val="0044594C"/>
    <w:rsid w:val="00445DDA"/>
    <w:rsid w:val="004460BB"/>
    <w:rsid w:val="0044624B"/>
    <w:rsid w:val="0044644F"/>
    <w:rsid w:val="00446665"/>
    <w:rsid w:val="004468DF"/>
    <w:rsid w:val="00446900"/>
    <w:rsid w:val="00446954"/>
    <w:rsid w:val="004469B2"/>
    <w:rsid w:val="00447072"/>
    <w:rsid w:val="004476AA"/>
    <w:rsid w:val="0044790C"/>
    <w:rsid w:val="00447A19"/>
    <w:rsid w:val="00447ADF"/>
    <w:rsid w:val="00447B03"/>
    <w:rsid w:val="00447DD7"/>
    <w:rsid w:val="0045024A"/>
    <w:rsid w:val="004504C6"/>
    <w:rsid w:val="00450560"/>
    <w:rsid w:val="004508F2"/>
    <w:rsid w:val="00450AEC"/>
    <w:rsid w:val="00450C27"/>
    <w:rsid w:val="00450C82"/>
    <w:rsid w:val="00450CD0"/>
    <w:rsid w:val="0045111B"/>
    <w:rsid w:val="00451406"/>
    <w:rsid w:val="0045164E"/>
    <w:rsid w:val="004516FD"/>
    <w:rsid w:val="00451D43"/>
    <w:rsid w:val="00452035"/>
    <w:rsid w:val="00452269"/>
    <w:rsid w:val="0045228A"/>
    <w:rsid w:val="004525AC"/>
    <w:rsid w:val="00453726"/>
    <w:rsid w:val="00453A30"/>
    <w:rsid w:val="00453DFB"/>
    <w:rsid w:val="00453E0C"/>
    <w:rsid w:val="00453E8C"/>
    <w:rsid w:val="00454421"/>
    <w:rsid w:val="004544C8"/>
    <w:rsid w:val="004544D3"/>
    <w:rsid w:val="004546BE"/>
    <w:rsid w:val="004547E5"/>
    <w:rsid w:val="00455289"/>
    <w:rsid w:val="004553F5"/>
    <w:rsid w:val="00455BF0"/>
    <w:rsid w:val="0045609B"/>
    <w:rsid w:val="004567BA"/>
    <w:rsid w:val="00456831"/>
    <w:rsid w:val="00456AB7"/>
    <w:rsid w:val="00456F31"/>
    <w:rsid w:val="00457371"/>
    <w:rsid w:val="00457717"/>
    <w:rsid w:val="004578AB"/>
    <w:rsid w:val="00457BA9"/>
    <w:rsid w:val="00460246"/>
    <w:rsid w:val="00460277"/>
    <w:rsid w:val="004604FD"/>
    <w:rsid w:val="004607E3"/>
    <w:rsid w:val="00460851"/>
    <w:rsid w:val="00460881"/>
    <w:rsid w:val="004608F5"/>
    <w:rsid w:val="0046092C"/>
    <w:rsid w:val="0046096A"/>
    <w:rsid w:val="00460EB7"/>
    <w:rsid w:val="00461252"/>
    <w:rsid w:val="004616AB"/>
    <w:rsid w:val="00461750"/>
    <w:rsid w:val="004617AA"/>
    <w:rsid w:val="00461A14"/>
    <w:rsid w:val="004621EF"/>
    <w:rsid w:val="0046236C"/>
    <w:rsid w:val="0046238F"/>
    <w:rsid w:val="004623DD"/>
    <w:rsid w:val="004624B3"/>
    <w:rsid w:val="00462536"/>
    <w:rsid w:val="00462795"/>
    <w:rsid w:val="00462813"/>
    <w:rsid w:val="00462C30"/>
    <w:rsid w:val="00462C8F"/>
    <w:rsid w:val="00462CD4"/>
    <w:rsid w:val="00463380"/>
    <w:rsid w:val="00463450"/>
    <w:rsid w:val="0046369B"/>
    <w:rsid w:val="00463907"/>
    <w:rsid w:val="00463AA8"/>
    <w:rsid w:val="00463EC8"/>
    <w:rsid w:val="00464136"/>
    <w:rsid w:val="004641E9"/>
    <w:rsid w:val="00464AA2"/>
    <w:rsid w:val="00464AE4"/>
    <w:rsid w:val="00464C88"/>
    <w:rsid w:val="00464D90"/>
    <w:rsid w:val="00465382"/>
    <w:rsid w:val="004653AD"/>
    <w:rsid w:val="0046559F"/>
    <w:rsid w:val="004655BD"/>
    <w:rsid w:val="00465D29"/>
    <w:rsid w:val="00465FFE"/>
    <w:rsid w:val="0046607F"/>
    <w:rsid w:val="00466492"/>
    <w:rsid w:val="00466844"/>
    <w:rsid w:val="00466912"/>
    <w:rsid w:val="004669DB"/>
    <w:rsid w:val="00466C34"/>
    <w:rsid w:val="00466CA7"/>
    <w:rsid w:val="00466D4A"/>
    <w:rsid w:val="00466D91"/>
    <w:rsid w:val="00466E43"/>
    <w:rsid w:val="00466E74"/>
    <w:rsid w:val="004673A5"/>
    <w:rsid w:val="00467552"/>
    <w:rsid w:val="00467718"/>
    <w:rsid w:val="00467873"/>
    <w:rsid w:val="00467F73"/>
    <w:rsid w:val="0047038B"/>
    <w:rsid w:val="004705CE"/>
    <w:rsid w:val="004707B6"/>
    <w:rsid w:val="0047088B"/>
    <w:rsid w:val="004708BD"/>
    <w:rsid w:val="00470AD7"/>
    <w:rsid w:val="00470B2F"/>
    <w:rsid w:val="004714A1"/>
    <w:rsid w:val="004718DC"/>
    <w:rsid w:val="00471990"/>
    <w:rsid w:val="00471ECA"/>
    <w:rsid w:val="00471FA0"/>
    <w:rsid w:val="004720EA"/>
    <w:rsid w:val="00472159"/>
    <w:rsid w:val="00472726"/>
    <w:rsid w:val="004727F8"/>
    <w:rsid w:val="00472967"/>
    <w:rsid w:val="00472CFC"/>
    <w:rsid w:val="00472D63"/>
    <w:rsid w:val="00472E23"/>
    <w:rsid w:val="00472F15"/>
    <w:rsid w:val="0047303C"/>
    <w:rsid w:val="00473515"/>
    <w:rsid w:val="004735C6"/>
    <w:rsid w:val="004736D4"/>
    <w:rsid w:val="00473DB8"/>
    <w:rsid w:val="00473E29"/>
    <w:rsid w:val="00474101"/>
    <w:rsid w:val="00474243"/>
    <w:rsid w:val="004744EA"/>
    <w:rsid w:val="00474701"/>
    <w:rsid w:val="00474751"/>
    <w:rsid w:val="00474A04"/>
    <w:rsid w:val="00474CD6"/>
    <w:rsid w:val="00474F0E"/>
    <w:rsid w:val="0047520E"/>
    <w:rsid w:val="0047526C"/>
    <w:rsid w:val="004756F7"/>
    <w:rsid w:val="00475994"/>
    <w:rsid w:val="00475ACD"/>
    <w:rsid w:val="00475DA1"/>
    <w:rsid w:val="00475DC8"/>
    <w:rsid w:val="00475F98"/>
    <w:rsid w:val="0047601F"/>
    <w:rsid w:val="004767FA"/>
    <w:rsid w:val="00476C8C"/>
    <w:rsid w:val="004770E1"/>
    <w:rsid w:val="00477435"/>
    <w:rsid w:val="00477D46"/>
    <w:rsid w:val="00477FFC"/>
    <w:rsid w:val="00480329"/>
    <w:rsid w:val="00480330"/>
    <w:rsid w:val="00480838"/>
    <w:rsid w:val="0048090B"/>
    <w:rsid w:val="00480ADC"/>
    <w:rsid w:val="00480BF9"/>
    <w:rsid w:val="00480E4B"/>
    <w:rsid w:val="0048110A"/>
    <w:rsid w:val="00481510"/>
    <w:rsid w:val="00481A2E"/>
    <w:rsid w:val="00481DA9"/>
    <w:rsid w:val="00481FAC"/>
    <w:rsid w:val="00482003"/>
    <w:rsid w:val="004820D1"/>
    <w:rsid w:val="004824F7"/>
    <w:rsid w:val="0048254C"/>
    <w:rsid w:val="004829DD"/>
    <w:rsid w:val="00482E22"/>
    <w:rsid w:val="00483026"/>
    <w:rsid w:val="00483634"/>
    <w:rsid w:val="0048364B"/>
    <w:rsid w:val="00483694"/>
    <w:rsid w:val="00483956"/>
    <w:rsid w:val="00483D33"/>
    <w:rsid w:val="00483F01"/>
    <w:rsid w:val="00484042"/>
    <w:rsid w:val="00484269"/>
    <w:rsid w:val="00484282"/>
    <w:rsid w:val="004844AD"/>
    <w:rsid w:val="00484860"/>
    <w:rsid w:val="00484BC1"/>
    <w:rsid w:val="004850B5"/>
    <w:rsid w:val="00485560"/>
    <w:rsid w:val="004855A3"/>
    <w:rsid w:val="00485BFB"/>
    <w:rsid w:val="00485E63"/>
    <w:rsid w:val="00485F0A"/>
    <w:rsid w:val="0048616E"/>
    <w:rsid w:val="00486229"/>
    <w:rsid w:val="004863A3"/>
    <w:rsid w:val="004863D6"/>
    <w:rsid w:val="004868F0"/>
    <w:rsid w:val="00486992"/>
    <w:rsid w:val="00486A49"/>
    <w:rsid w:val="00486C94"/>
    <w:rsid w:val="004875EE"/>
    <w:rsid w:val="004876D7"/>
    <w:rsid w:val="0048788B"/>
    <w:rsid w:val="004879E8"/>
    <w:rsid w:val="00487A0F"/>
    <w:rsid w:val="00487BC1"/>
    <w:rsid w:val="00490966"/>
    <w:rsid w:val="00491383"/>
    <w:rsid w:val="004913D8"/>
    <w:rsid w:val="00491B9F"/>
    <w:rsid w:val="00491E4A"/>
    <w:rsid w:val="004920E0"/>
    <w:rsid w:val="004922D0"/>
    <w:rsid w:val="004923F9"/>
    <w:rsid w:val="00492662"/>
    <w:rsid w:val="004926C8"/>
    <w:rsid w:val="0049276C"/>
    <w:rsid w:val="004927C6"/>
    <w:rsid w:val="00492806"/>
    <w:rsid w:val="00492A5A"/>
    <w:rsid w:val="00492E59"/>
    <w:rsid w:val="0049308B"/>
    <w:rsid w:val="004933D1"/>
    <w:rsid w:val="004937CA"/>
    <w:rsid w:val="004937D3"/>
    <w:rsid w:val="004939EB"/>
    <w:rsid w:val="00493A04"/>
    <w:rsid w:val="00493BF9"/>
    <w:rsid w:val="004944DF"/>
    <w:rsid w:val="00494783"/>
    <w:rsid w:val="00494842"/>
    <w:rsid w:val="00494896"/>
    <w:rsid w:val="004948E4"/>
    <w:rsid w:val="00494A11"/>
    <w:rsid w:val="00494E15"/>
    <w:rsid w:val="00494F73"/>
    <w:rsid w:val="00494F83"/>
    <w:rsid w:val="0049505F"/>
    <w:rsid w:val="004950F3"/>
    <w:rsid w:val="00495195"/>
    <w:rsid w:val="004951B3"/>
    <w:rsid w:val="0049557C"/>
    <w:rsid w:val="00495792"/>
    <w:rsid w:val="00495BB4"/>
    <w:rsid w:val="00495C35"/>
    <w:rsid w:val="00495C49"/>
    <w:rsid w:val="00495C7A"/>
    <w:rsid w:val="00495E40"/>
    <w:rsid w:val="0049656E"/>
    <w:rsid w:val="004967BD"/>
    <w:rsid w:val="004967C0"/>
    <w:rsid w:val="00496B29"/>
    <w:rsid w:val="00496B60"/>
    <w:rsid w:val="00496C08"/>
    <w:rsid w:val="00496CC3"/>
    <w:rsid w:val="0049750F"/>
    <w:rsid w:val="00497601"/>
    <w:rsid w:val="004A019C"/>
    <w:rsid w:val="004A01EF"/>
    <w:rsid w:val="004A0312"/>
    <w:rsid w:val="004A031D"/>
    <w:rsid w:val="004A03F8"/>
    <w:rsid w:val="004A0486"/>
    <w:rsid w:val="004A0693"/>
    <w:rsid w:val="004A0EBA"/>
    <w:rsid w:val="004A0F61"/>
    <w:rsid w:val="004A12B3"/>
    <w:rsid w:val="004A1508"/>
    <w:rsid w:val="004A1A46"/>
    <w:rsid w:val="004A1B51"/>
    <w:rsid w:val="004A1E4A"/>
    <w:rsid w:val="004A2515"/>
    <w:rsid w:val="004A2968"/>
    <w:rsid w:val="004A2B32"/>
    <w:rsid w:val="004A31AC"/>
    <w:rsid w:val="004A3457"/>
    <w:rsid w:val="004A3772"/>
    <w:rsid w:val="004A3AE6"/>
    <w:rsid w:val="004A3D70"/>
    <w:rsid w:val="004A3E98"/>
    <w:rsid w:val="004A3ECC"/>
    <w:rsid w:val="004A4095"/>
    <w:rsid w:val="004A414B"/>
    <w:rsid w:val="004A454F"/>
    <w:rsid w:val="004A48A2"/>
    <w:rsid w:val="004A49DE"/>
    <w:rsid w:val="004A4DE0"/>
    <w:rsid w:val="004A4EC0"/>
    <w:rsid w:val="004A4F0D"/>
    <w:rsid w:val="004A542B"/>
    <w:rsid w:val="004A5817"/>
    <w:rsid w:val="004A58B7"/>
    <w:rsid w:val="004A5E79"/>
    <w:rsid w:val="004A6093"/>
    <w:rsid w:val="004A61B0"/>
    <w:rsid w:val="004A644F"/>
    <w:rsid w:val="004A6AC0"/>
    <w:rsid w:val="004A6C07"/>
    <w:rsid w:val="004A6CDF"/>
    <w:rsid w:val="004A7118"/>
    <w:rsid w:val="004A7358"/>
    <w:rsid w:val="004A73AE"/>
    <w:rsid w:val="004A744A"/>
    <w:rsid w:val="004A7B09"/>
    <w:rsid w:val="004A7C63"/>
    <w:rsid w:val="004B0160"/>
    <w:rsid w:val="004B02BC"/>
    <w:rsid w:val="004B03BD"/>
    <w:rsid w:val="004B03CE"/>
    <w:rsid w:val="004B067E"/>
    <w:rsid w:val="004B0C40"/>
    <w:rsid w:val="004B0D2C"/>
    <w:rsid w:val="004B1518"/>
    <w:rsid w:val="004B15B6"/>
    <w:rsid w:val="004B1CC4"/>
    <w:rsid w:val="004B20B9"/>
    <w:rsid w:val="004B24FC"/>
    <w:rsid w:val="004B2692"/>
    <w:rsid w:val="004B2724"/>
    <w:rsid w:val="004B294A"/>
    <w:rsid w:val="004B2D14"/>
    <w:rsid w:val="004B2DAD"/>
    <w:rsid w:val="004B2DF5"/>
    <w:rsid w:val="004B2F25"/>
    <w:rsid w:val="004B321F"/>
    <w:rsid w:val="004B3289"/>
    <w:rsid w:val="004B3621"/>
    <w:rsid w:val="004B3A11"/>
    <w:rsid w:val="004B3D94"/>
    <w:rsid w:val="004B40A7"/>
    <w:rsid w:val="004B44BC"/>
    <w:rsid w:val="004B46D3"/>
    <w:rsid w:val="004B4862"/>
    <w:rsid w:val="004B4B76"/>
    <w:rsid w:val="004B4D37"/>
    <w:rsid w:val="004B4D4A"/>
    <w:rsid w:val="004B4EBE"/>
    <w:rsid w:val="004B5756"/>
    <w:rsid w:val="004B5839"/>
    <w:rsid w:val="004B5D06"/>
    <w:rsid w:val="004B5F85"/>
    <w:rsid w:val="004B6258"/>
    <w:rsid w:val="004B66B6"/>
    <w:rsid w:val="004B6A0F"/>
    <w:rsid w:val="004B6CBD"/>
    <w:rsid w:val="004B709D"/>
    <w:rsid w:val="004B72D6"/>
    <w:rsid w:val="004B73D8"/>
    <w:rsid w:val="004B7718"/>
    <w:rsid w:val="004B7C08"/>
    <w:rsid w:val="004B7E5B"/>
    <w:rsid w:val="004C01BD"/>
    <w:rsid w:val="004C042C"/>
    <w:rsid w:val="004C059F"/>
    <w:rsid w:val="004C05B1"/>
    <w:rsid w:val="004C0679"/>
    <w:rsid w:val="004C07AE"/>
    <w:rsid w:val="004C0815"/>
    <w:rsid w:val="004C0900"/>
    <w:rsid w:val="004C099A"/>
    <w:rsid w:val="004C0C30"/>
    <w:rsid w:val="004C0CB6"/>
    <w:rsid w:val="004C10E6"/>
    <w:rsid w:val="004C1254"/>
    <w:rsid w:val="004C12A1"/>
    <w:rsid w:val="004C131C"/>
    <w:rsid w:val="004C1379"/>
    <w:rsid w:val="004C163C"/>
    <w:rsid w:val="004C1A2B"/>
    <w:rsid w:val="004C1EF9"/>
    <w:rsid w:val="004C2066"/>
    <w:rsid w:val="004C22A7"/>
    <w:rsid w:val="004C24CC"/>
    <w:rsid w:val="004C28EF"/>
    <w:rsid w:val="004C2BB8"/>
    <w:rsid w:val="004C2C60"/>
    <w:rsid w:val="004C2EBC"/>
    <w:rsid w:val="004C2F78"/>
    <w:rsid w:val="004C3665"/>
    <w:rsid w:val="004C389F"/>
    <w:rsid w:val="004C3A74"/>
    <w:rsid w:val="004C3F5A"/>
    <w:rsid w:val="004C45B9"/>
    <w:rsid w:val="004C4715"/>
    <w:rsid w:val="004C4736"/>
    <w:rsid w:val="004C479D"/>
    <w:rsid w:val="004C4F24"/>
    <w:rsid w:val="004C4F5B"/>
    <w:rsid w:val="004C52A9"/>
    <w:rsid w:val="004C52E3"/>
    <w:rsid w:val="004C5510"/>
    <w:rsid w:val="004C56A2"/>
    <w:rsid w:val="004C5CA9"/>
    <w:rsid w:val="004C6140"/>
    <w:rsid w:val="004C627F"/>
    <w:rsid w:val="004C62E0"/>
    <w:rsid w:val="004C6427"/>
    <w:rsid w:val="004C652F"/>
    <w:rsid w:val="004C6646"/>
    <w:rsid w:val="004C6793"/>
    <w:rsid w:val="004C6A54"/>
    <w:rsid w:val="004C6D92"/>
    <w:rsid w:val="004C6E10"/>
    <w:rsid w:val="004C70DC"/>
    <w:rsid w:val="004C71E6"/>
    <w:rsid w:val="004C7570"/>
    <w:rsid w:val="004C767D"/>
    <w:rsid w:val="004C7A19"/>
    <w:rsid w:val="004C7C23"/>
    <w:rsid w:val="004C7D05"/>
    <w:rsid w:val="004C7FD2"/>
    <w:rsid w:val="004D0232"/>
    <w:rsid w:val="004D0F43"/>
    <w:rsid w:val="004D0F4F"/>
    <w:rsid w:val="004D1714"/>
    <w:rsid w:val="004D1B36"/>
    <w:rsid w:val="004D1C87"/>
    <w:rsid w:val="004D1E7A"/>
    <w:rsid w:val="004D2131"/>
    <w:rsid w:val="004D21CA"/>
    <w:rsid w:val="004D249F"/>
    <w:rsid w:val="004D256B"/>
    <w:rsid w:val="004D2C81"/>
    <w:rsid w:val="004D2D38"/>
    <w:rsid w:val="004D2E9A"/>
    <w:rsid w:val="004D2F6B"/>
    <w:rsid w:val="004D30E0"/>
    <w:rsid w:val="004D34AF"/>
    <w:rsid w:val="004D384F"/>
    <w:rsid w:val="004D3D92"/>
    <w:rsid w:val="004D3DA8"/>
    <w:rsid w:val="004D4309"/>
    <w:rsid w:val="004D431C"/>
    <w:rsid w:val="004D43E0"/>
    <w:rsid w:val="004D4535"/>
    <w:rsid w:val="004D46B2"/>
    <w:rsid w:val="004D46F5"/>
    <w:rsid w:val="004D476C"/>
    <w:rsid w:val="004D4B9F"/>
    <w:rsid w:val="004D51A1"/>
    <w:rsid w:val="004D5536"/>
    <w:rsid w:val="004D56F0"/>
    <w:rsid w:val="004D596C"/>
    <w:rsid w:val="004D5A7D"/>
    <w:rsid w:val="004D60C7"/>
    <w:rsid w:val="004D64DC"/>
    <w:rsid w:val="004D663E"/>
    <w:rsid w:val="004D670D"/>
    <w:rsid w:val="004D6872"/>
    <w:rsid w:val="004D6A4E"/>
    <w:rsid w:val="004D6CF1"/>
    <w:rsid w:val="004D7073"/>
    <w:rsid w:val="004D75E0"/>
    <w:rsid w:val="004D7B3E"/>
    <w:rsid w:val="004D7C95"/>
    <w:rsid w:val="004D7CB2"/>
    <w:rsid w:val="004E0233"/>
    <w:rsid w:val="004E03E6"/>
    <w:rsid w:val="004E0426"/>
    <w:rsid w:val="004E05E9"/>
    <w:rsid w:val="004E0652"/>
    <w:rsid w:val="004E06BB"/>
    <w:rsid w:val="004E0A77"/>
    <w:rsid w:val="004E0BF8"/>
    <w:rsid w:val="004E129B"/>
    <w:rsid w:val="004E13F7"/>
    <w:rsid w:val="004E145A"/>
    <w:rsid w:val="004E1728"/>
    <w:rsid w:val="004E1933"/>
    <w:rsid w:val="004E1CAB"/>
    <w:rsid w:val="004E1E27"/>
    <w:rsid w:val="004E1F6B"/>
    <w:rsid w:val="004E2248"/>
    <w:rsid w:val="004E24C5"/>
    <w:rsid w:val="004E2687"/>
    <w:rsid w:val="004E288A"/>
    <w:rsid w:val="004E2D91"/>
    <w:rsid w:val="004E2D9C"/>
    <w:rsid w:val="004E3567"/>
    <w:rsid w:val="004E35F0"/>
    <w:rsid w:val="004E37AE"/>
    <w:rsid w:val="004E37F7"/>
    <w:rsid w:val="004E3CB2"/>
    <w:rsid w:val="004E3DB1"/>
    <w:rsid w:val="004E40A7"/>
    <w:rsid w:val="004E464C"/>
    <w:rsid w:val="004E4947"/>
    <w:rsid w:val="004E4B98"/>
    <w:rsid w:val="004E4C20"/>
    <w:rsid w:val="004E4E84"/>
    <w:rsid w:val="004E4ECE"/>
    <w:rsid w:val="004E4EE1"/>
    <w:rsid w:val="004E4F6F"/>
    <w:rsid w:val="004E535C"/>
    <w:rsid w:val="004E5982"/>
    <w:rsid w:val="004E5CBF"/>
    <w:rsid w:val="004E5EE9"/>
    <w:rsid w:val="004E6085"/>
    <w:rsid w:val="004E6582"/>
    <w:rsid w:val="004E6A28"/>
    <w:rsid w:val="004E6A79"/>
    <w:rsid w:val="004E6C35"/>
    <w:rsid w:val="004E6D6C"/>
    <w:rsid w:val="004E6D85"/>
    <w:rsid w:val="004E6DD2"/>
    <w:rsid w:val="004E6E12"/>
    <w:rsid w:val="004E6E5D"/>
    <w:rsid w:val="004E6EBC"/>
    <w:rsid w:val="004E7792"/>
    <w:rsid w:val="004E7859"/>
    <w:rsid w:val="004E7B06"/>
    <w:rsid w:val="004E7F90"/>
    <w:rsid w:val="004E7FDB"/>
    <w:rsid w:val="004F007B"/>
    <w:rsid w:val="004F02E9"/>
    <w:rsid w:val="004F0499"/>
    <w:rsid w:val="004F0C0D"/>
    <w:rsid w:val="004F0D3A"/>
    <w:rsid w:val="004F1098"/>
    <w:rsid w:val="004F113D"/>
    <w:rsid w:val="004F12D3"/>
    <w:rsid w:val="004F1400"/>
    <w:rsid w:val="004F15C1"/>
    <w:rsid w:val="004F1677"/>
    <w:rsid w:val="004F16E7"/>
    <w:rsid w:val="004F17EF"/>
    <w:rsid w:val="004F1870"/>
    <w:rsid w:val="004F188E"/>
    <w:rsid w:val="004F1B15"/>
    <w:rsid w:val="004F1E92"/>
    <w:rsid w:val="004F235A"/>
    <w:rsid w:val="004F256C"/>
    <w:rsid w:val="004F267E"/>
    <w:rsid w:val="004F2911"/>
    <w:rsid w:val="004F2A2C"/>
    <w:rsid w:val="004F2B2A"/>
    <w:rsid w:val="004F2CB8"/>
    <w:rsid w:val="004F2D8E"/>
    <w:rsid w:val="004F2EDB"/>
    <w:rsid w:val="004F2EF9"/>
    <w:rsid w:val="004F31DB"/>
    <w:rsid w:val="004F3227"/>
    <w:rsid w:val="004F324D"/>
    <w:rsid w:val="004F3325"/>
    <w:rsid w:val="004F3B4E"/>
    <w:rsid w:val="004F3C06"/>
    <w:rsid w:val="004F3D68"/>
    <w:rsid w:val="004F4251"/>
    <w:rsid w:val="004F4A1A"/>
    <w:rsid w:val="004F4E2C"/>
    <w:rsid w:val="004F4EB1"/>
    <w:rsid w:val="004F5229"/>
    <w:rsid w:val="004F53AB"/>
    <w:rsid w:val="004F57ED"/>
    <w:rsid w:val="004F5A0A"/>
    <w:rsid w:val="004F5D46"/>
    <w:rsid w:val="004F60AB"/>
    <w:rsid w:val="004F6100"/>
    <w:rsid w:val="004F618B"/>
    <w:rsid w:val="004F6319"/>
    <w:rsid w:val="004F645F"/>
    <w:rsid w:val="004F64AF"/>
    <w:rsid w:val="004F65E1"/>
    <w:rsid w:val="004F66ED"/>
    <w:rsid w:val="004F678D"/>
    <w:rsid w:val="004F700A"/>
    <w:rsid w:val="004F7079"/>
    <w:rsid w:val="004F7598"/>
    <w:rsid w:val="004F7810"/>
    <w:rsid w:val="004F7946"/>
    <w:rsid w:val="004F7ADC"/>
    <w:rsid w:val="004F7D09"/>
    <w:rsid w:val="0050050D"/>
    <w:rsid w:val="00500610"/>
    <w:rsid w:val="005006B3"/>
    <w:rsid w:val="005006BA"/>
    <w:rsid w:val="005007C3"/>
    <w:rsid w:val="0050084A"/>
    <w:rsid w:val="005008C1"/>
    <w:rsid w:val="005011D9"/>
    <w:rsid w:val="005017C7"/>
    <w:rsid w:val="0050183C"/>
    <w:rsid w:val="00501B8C"/>
    <w:rsid w:val="00501C69"/>
    <w:rsid w:val="00501CE3"/>
    <w:rsid w:val="00501EBD"/>
    <w:rsid w:val="0050203D"/>
    <w:rsid w:val="00502206"/>
    <w:rsid w:val="005023BC"/>
    <w:rsid w:val="00502468"/>
    <w:rsid w:val="005024B8"/>
    <w:rsid w:val="005025A2"/>
    <w:rsid w:val="0050264F"/>
    <w:rsid w:val="00502895"/>
    <w:rsid w:val="00502ACC"/>
    <w:rsid w:val="00502B19"/>
    <w:rsid w:val="00502E7C"/>
    <w:rsid w:val="00502EE8"/>
    <w:rsid w:val="005032BD"/>
    <w:rsid w:val="0050335C"/>
    <w:rsid w:val="0050336E"/>
    <w:rsid w:val="00503513"/>
    <w:rsid w:val="005035E3"/>
    <w:rsid w:val="00503907"/>
    <w:rsid w:val="005047A1"/>
    <w:rsid w:val="00504863"/>
    <w:rsid w:val="00504ABC"/>
    <w:rsid w:val="00504AF6"/>
    <w:rsid w:val="00504DBA"/>
    <w:rsid w:val="00504F08"/>
    <w:rsid w:val="00504F90"/>
    <w:rsid w:val="0050519E"/>
    <w:rsid w:val="0050527A"/>
    <w:rsid w:val="00505420"/>
    <w:rsid w:val="005059F8"/>
    <w:rsid w:val="00505B4F"/>
    <w:rsid w:val="00505BFA"/>
    <w:rsid w:val="00505F17"/>
    <w:rsid w:val="00505F87"/>
    <w:rsid w:val="00506195"/>
    <w:rsid w:val="005063EA"/>
    <w:rsid w:val="005068A4"/>
    <w:rsid w:val="00506A3B"/>
    <w:rsid w:val="00506BCD"/>
    <w:rsid w:val="00506EE0"/>
    <w:rsid w:val="00507153"/>
    <w:rsid w:val="005071B8"/>
    <w:rsid w:val="005074C6"/>
    <w:rsid w:val="005076DF"/>
    <w:rsid w:val="0050781E"/>
    <w:rsid w:val="00507954"/>
    <w:rsid w:val="005079A2"/>
    <w:rsid w:val="00507C74"/>
    <w:rsid w:val="00507F3A"/>
    <w:rsid w:val="005103D5"/>
    <w:rsid w:val="0051043F"/>
    <w:rsid w:val="005105A3"/>
    <w:rsid w:val="00510678"/>
    <w:rsid w:val="00510781"/>
    <w:rsid w:val="005107D4"/>
    <w:rsid w:val="005108E5"/>
    <w:rsid w:val="00510A33"/>
    <w:rsid w:val="00510BA9"/>
    <w:rsid w:val="00510CBA"/>
    <w:rsid w:val="00510CD8"/>
    <w:rsid w:val="00510DD6"/>
    <w:rsid w:val="00510F32"/>
    <w:rsid w:val="00510F7B"/>
    <w:rsid w:val="0051158E"/>
    <w:rsid w:val="00511BC8"/>
    <w:rsid w:val="00511CAB"/>
    <w:rsid w:val="00511D00"/>
    <w:rsid w:val="0051202F"/>
    <w:rsid w:val="00512A39"/>
    <w:rsid w:val="00512B02"/>
    <w:rsid w:val="00512BF2"/>
    <w:rsid w:val="00512C8C"/>
    <w:rsid w:val="00513992"/>
    <w:rsid w:val="00513A4C"/>
    <w:rsid w:val="00513BA7"/>
    <w:rsid w:val="00513C07"/>
    <w:rsid w:val="00513C30"/>
    <w:rsid w:val="00513F02"/>
    <w:rsid w:val="005140D5"/>
    <w:rsid w:val="005142B1"/>
    <w:rsid w:val="005147C7"/>
    <w:rsid w:val="0051489F"/>
    <w:rsid w:val="00514966"/>
    <w:rsid w:val="00514C0A"/>
    <w:rsid w:val="00514EE4"/>
    <w:rsid w:val="00514F84"/>
    <w:rsid w:val="00514F97"/>
    <w:rsid w:val="00514FF6"/>
    <w:rsid w:val="005155D4"/>
    <w:rsid w:val="00515637"/>
    <w:rsid w:val="00515A76"/>
    <w:rsid w:val="00515ABC"/>
    <w:rsid w:val="00515D54"/>
    <w:rsid w:val="0051628D"/>
    <w:rsid w:val="0051631C"/>
    <w:rsid w:val="00516441"/>
    <w:rsid w:val="005168DD"/>
    <w:rsid w:val="00516A50"/>
    <w:rsid w:val="00516AD1"/>
    <w:rsid w:val="00516E89"/>
    <w:rsid w:val="00516EF2"/>
    <w:rsid w:val="00516FAD"/>
    <w:rsid w:val="00516FCC"/>
    <w:rsid w:val="005174E1"/>
    <w:rsid w:val="00517506"/>
    <w:rsid w:val="0051754E"/>
    <w:rsid w:val="005177A3"/>
    <w:rsid w:val="00517814"/>
    <w:rsid w:val="00517C6A"/>
    <w:rsid w:val="00517D31"/>
    <w:rsid w:val="00517E88"/>
    <w:rsid w:val="00517EE4"/>
    <w:rsid w:val="00520247"/>
    <w:rsid w:val="005202A1"/>
    <w:rsid w:val="0052058B"/>
    <w:rsid w:val="00520762"/>
    <w:rsid w:val="0052076F"/>
    <w:rsid w:val="0052081B"/>
    <w:rsid w:val="005208A4"/>
    <w:rsid w:val="00520ADD"/>
    <w:rsid w:val="005215EF"/>
    <w:rsid w:val="00521702"/>
    <w:rsid w:val="005217E2"/>
    <w:rsid w:val="00521808"/>
    <w:rsid w:val="0052199C"/>
    <w:rsid w:val="005219ED"/>
    <w:rsid w:val="00521EE1"/>
    <w:rsid w:val="0052218C"/>
    <w:rsid w:val="00522A6C"/>
    <w:rsid w:val="00523389"/>
    <w:rsid w:val="00523860"/>
    <w:rsid w:val="00523AA1"/>
    <w:rsid w:val="00523D33"/>
    <w:rsid w:val="00523EA4"/>
    <w:rsid w:val="00524088"/>
    <w:rsid w:val="00524288"/>
    <w:rsid w:val="0052438F"/>
    <w:rsid w:val="0052463C"/>
    <w:rsid w:val="005246A2"/>
    <w:rsid w:val="0052470A"/>
    <w:rsid w:val="005248ED"/>
    <w:rsid w:val="005249A2"/>
    <w:rsid w:val="00524B5C"/>
    <w:rsid w:val="00524BB9"/>
    <w:rsid w:val="005250DB"/>
    <w:rsid w:val="00525546"/>
    <w:rsid w:val="00525757"/>
    <w:rsid w:val="00525972"/>
    <w:rsid w:val="00525A48"/>
    <w:rsid w:val="00525A6F"/>
    <w:rsid w:val="00525AC8"/>
    <w:rsid w:val="00525B46"/>
    <w:rsid w:val="00525DA9"/>
    <w:rsid w:val="00526117"/>
    <w:rsid w:val="00526178"/>
    <w:rsid w:val="005262ED"/>
    <w:rsid w:val="005263D4"/>
    <w:rsid w:val="00526664"/>
    <w:rsid w:val="0052671C"/>
    <w:rsid w:val="00526887"/>
    <w:rsid w:val="00526998"/>
    <w:rsid w:val="00526B0D"/>
    <w:rsid w:val="00526B20"/>
    <w:rsid w:val="00526B7D"/>
    <w:rsid w:val="00526C04"/>
    <w:rsid w:val="005274B4"/>
    <w:rsid w:val="00527929"/>
    <w:rsid w:val="00527AA8"/>
    <w:rsid w:val="00527B3F"/>
    <w:rsid w:val="00527C2D"/>
    <w:rsid w:val="00527E18"/>
    <w:rsid w:val="005300AE"/>
    <w:rsid w:val="0053010B"/>
    <w:rsid w:val="00530405"/>
    <w:rsid w:val="00530609"/>
    <w:rsid w:val="005307B0"/>
    <w:rsid w:val="00530861"/>
    <w:rsid w:val="005308FC"/>
    <w:rsid w:val="005309FB"/>
    <w:rsid w:val="00530A6C"/>
    <w:rsid w:val="00530BCF"/>
    <w:rsid w:val="00530FE9"/>
    <w:rsid w:val="00531157"/>
    <w:rsid w:val="0053116D"/>
    <w:rsid w:val="00531177"/>
    <w:rsid w:val="005313B8"/>
    <w:rsid w:val="005315DB"/>
    <w:rsid w:val="0053163E"/>
    <w:rsid w:val="005317AF"/>
    <w:rsid w:val="005318E0"/>
    <w:rsid w:val="00531B7B"/>
    <w:rsid w:val="00531DD6"/>
    <w:rsid w:val="00531E81"/>
    <w:rsid w:val="0053208B"/>
    <w:rsid w:val="0053277C"/>
    <w:rsid w:val="005328EE"/>
    <w:rsid w:val="005329EB"/>
    <w:rsid w:val="00532AF8"/>
    <w:rsid w:val="00532D3D"/>
    <w:rsid w:val="00533076"/>
    <w:rsid w:val="00533124"/>
    <w:rsid w:val="00533335"/>
    <w:rsid w:val="005337BA"/>
    <w:rsid w:val="00533AAF"/>
    <w:rsid w:val="00533C6F"/>
    <w:rsid w:val="00534449"/>
    <w:rsid w:val="0053473D"/>
    <w:rsid w:val="005348AB"/>
    <w:rsid w:val="005349F0"/>
    <w:rsid w:val="00534A69"/>
    <w:rsid w:val="00534ABB"/>
    <w:rsid w:val="00534B25"/>
    <w:rsid w:val="00534E77"/>
    <w:rsid w:val="00534FF0"/>
    <w:rsid w:val="00535295"/>
    <w:rsid w:val="005354C1"/>
    <w:rsid w:val="0053554A"/>
    <w:rsid w:val="00535673"/>
    <w:rsid w:val="005358A0"/>
    <w:rsid w:val="00535B3B"/>
    <w:rsid w:val="00535D15"/>
    <w:rsid w:val="00535D45"/>
    <w:rsid w:val="00536006"/>
    <w:rsid w:val="005361E0"/>
    <w:rsid w:val="005362B7"/>
    <w:rsid w:val="00536421"/>
    <w:rsid w:val="005364E0"/>
    <w:rsid w:val="005367AD"/>
    <w:rsid w:val="005368E4"/>
    <w:rsid w:val="00536AB4"/>
    <w:rsid w:val="00536F33"/>
    <w:rsid w:val="005370EA"/>
    <w:rsid w:val="0053736A"/>
    <w:rsid w:val="005375AA"/>
    <w:rsid w:val="005378A6"/>
    <w:rsid w:val="00537944"/>
    <w:rsid w:val="00540021"/>
    <w:rsid w:val="00540054"/>
    <w:rsid w:val="00540A44"/>
    <w:rsid w:val="00540A82"/>
    <w:rsid w:val="00540D00"/>
    <w:rsid w:val="00540D51"/>
    <w:rsid w:val="0054124B"/>
    <w:rsid w:val="005417E7"/>
    <w:rsid w:val="00541DAF"/>
    <w:rsid w:val="00541E6E"/>
    <w:rsid w:val="00541F2F"/>
    <w:rsid w:val="00541F8B"/>
    <w:rsid w:val="00542145"/>
    <w:rsid w:val="005427A0"/>
    <w:rsid w:val="005428A5"/>
    <w:rsid w:val="0054294D"/>
    <w:rsid w:val="00542A66"/>
    <w:rsid w:val="00542AB2"/>
    <w:rsid w:val="00542AC8"/>
    <w:rsid w:val="00542C72"/>
    <w:rsid w:val="005430BA"/>
    <w:rsid w:val="00543159"/>
    <w:rsid w:val="00543301"/>
    <w:rsid w:val="00543783"/>
    <w:rsid w:val="00543848"/>
    <w:rsid w:val="00543E44"/>
    <w:rsid w:val="00543E72"/>
    <w:rsid w:val="00543F54"/>
    <w:rsid w:val="00544025"/>
    <w:rsid w:val="0054420E"/>
    <w:rsid w:val="0054437F"/>
    <w:rsid w:val="00544566"/>
    <w:rsid w:val="005447F1"/>
    <w:rsid w:val="00544A51"/>
    <w:rsid w:val="00544B71"/>
    <w:rsid w:val="00544C62"/>
    <w:rsid w:val="00544E97"/>
    <w:rsid w:val="00544EA7"/>
    <w:rsid w:val="00545007"/>
    <w:rsid w:val="005452E6"/>
    <w:rsid w:val="00545345"/>
    <w:rsid w:val="00545365"/>
    <w:rsid w:val="00545841"/>
    <w:rsid w:val="00545976"/>
    <w:rsid w:val="00545A3E"/>
    <w:rsid w:val="00545ACA"/>
    <w:rsid w:val="00545B28"/>
    <w:rsid w:val="00545BC1"/>
    <w:rsid w:val="00545FE2"/>
    <w:rsid w:val="005460C0"/>
    <w:rsid w:val="00546730"/>
    <w:rsid w:val="00546EDE"/>
    <w:rsid w:val="00547042"/>
    <w:rsid w:val="005473F8"/>
    <w:rsid w:val="005478B7"/>
    <w:rsid w:val="0054794A"/>
    <w:rsid w:val="00547A6E"/>
    <w:rsid w:val="00547A84"/>
    <w:rsid w:val="00547BE0"/>
    <w:rsid w:val="0055023D"/>
    <w:rsid w:val="00550741"/>
    <w:rsid w:val="00550764"/>
    <w:rsid w:val="00550C70"/>
    <w:rsid w:val="00550DDC"/>
    <w:rsid w:val="00551468"/>
    <w:rsid w:val="00551A27"/>
    <w:rsid w:val="00551ADC"/>
    <w:rsid w:val="00551B00"/>
    <w:rsid w:val="0055202D"/>
    <w:rsid w:val="00552095"/>
    <w:rsid w:val="005524B0"/>
    <w:rsid w:val="00552517"/>
    <w:rsid w:val="005526B2"/>
    <w:rsid w:val="00552810"/>
    <w:rsid w:val="00552A0D"/>
    <w:rsid w:val="00552F67"/>
    <w:rsid w:val="00553323"/>
    <w:rsid w:val="00553367"/>
    <w:rsid w:val="005537A7"/>
    <w:rsid w:val="00553B86"/>
    <w:rsid w:val="00553DBD"/>
    <w:rsid w:val="00553F51"/>
    <w:rsid w:val="00553FFB"/>
    <w:rsid w:val="0055411B"/>
    <w:rsid w:val="0055416E"/>
    <w:rsid w:val="0055433C"/>
    <w:rsid w:val="005544F3"/>
    <w:rsid w:val="005548A2"/>
    <w:rsid w:val="00554C4C"/>
    <w:rsid w:val="00554DA4"/>
    <w:rsid w:val="00554EE1"/>
    <w:rsid w:val="00554F70"/>
    <w:rsid w:val="00555076"/>
    <w:rsid w:val="00555205"/>
    <w:rsid w:val="00555256"/>
    <w:rsid w:val="00555640"/>
    <w:rsid w:val="005557DE"/>
    <w:rsid w:val="005559F9"/>
    <w:rsid w:val="00555A47"/>
    <w:rsid w:val="00555BA7"/>
    <w:rsid w:val="00555BB6"/>
    <w:rsid w:val="00556033"/>
    <w:rsid w:val="005560CD"/>
    <w:rsid w:val="00556408"/>
    <w:rsid w:val="00556425"/>
    <w:rsid w:val="00556461"/>
    <w:rsid w:val="005568CF"/>
    <w:rsid w:val="005568F5"/>
    <w:rsid w:val="00556B41"/>
    <w:rsid w:val="00556C74"/>
    <w:rsid w:val="0055705F"/>
    <w:rsid w:val="00557333"/>
    <w:rsid w:val="0055733E"/>
    <w:rsid w:val="00557844"/>
    <w:rsid w:val="00557E08"/>
    <w:rsid w:val="00560463"/>
    <w:rsid w:val="0056079A"/>
    <w:rsid w:val="0056101C"/>
    <w:rsid w:val="00561131"/>
    <w:rsid w:val="00561282"/>
    <w:rsid w:val="005615B0"/>
    <w:rsid w:val="0056193F"/>
    <w:rsid w:val="00561A73"/>
    <w:rsid w:val="00561D51"/>
    <w:rsid w:val="00562212"/>
    <w:rsid w:val="00562387"/>
    <w:rsid w:val="005626DA"/>
    <w:rsid w:val="00562A6E"/>
    <w:rsid w:val="00562ACF"/>
    <w:rsid w:val="00562FE7"/>
    <w:rsid w:val="005630F6"/>
    <w:rsid w:val="00563137"/>
    <w:rsid w:val="00563937"/>
    <w:rsid w:val="0056448A"/>
    <w:rsid w:val="00564519"/>
    <w:rsid w:val="00564546"/>
    <w:rsid w:val="0056456F"/>
    <w:rsid w:val="0056472E"/>
    <w:rsid w:val="00564768"/>
    <w:rsid w:val="00564AE1"/>
    <w:rsid w:val="00564C32"/>
    <w:rsid w:val="00564D09"/>
    <w:rsid w:val="005650CA"/>
    <w:rsid w:val="005655C4"/>
    <w:rsid w:val="005659B0"/>
    <w:rsid w:val="00565B29"/>
    <w:rsid w:val="00565B8F"/>
    <w:rsid w:val="00565EF1"/>
    <w:rsid w:val="00566019"/>
    <w:rsid w:val="00566304"/>
    <w:rsid w:val="005664C3"/>
    <w:rsid w:val="005665B4"/>
    <w:rsid w:val="005666AB"/>
    <w:rsid w:val="005666CF"/>
    <w:rsid w:val="0056682C"/>
    <w:rsid w:val="00566A32"/>
    <w:rsid w:val="00566C92"/>
    <w:rsid w:val="00566D08"/>
    <w:rsid w:val="00566D13"/>
    <w:rsid w:val="00566DEE"/>
    <w:rsid w:val="00566FAA"/>
    <w:rsid w:val="0056749F"/>
    <w:rsid w:val="0056768F"/>
    <w:rsid w:val="005676AE"/>
    <w:rsid w:val="00567701"/>
    <w:rsid w:val="005679C9"/>
    <w:rsid w:val="0057028E"/>
    <w:rsid w:val="005703F5"/>
    <w:rsid w:val="005705B5"/>
    <w:rsid w:val="00570645"/>
    <w:rsid w:val="005707C3"/>
    <w:rsid w:val="0057083C"/>
    <w:rsid w:val="00570A17"/>
    <w:rsid w:val="00570B94"/>
    <w:rsid w:val="00570ECB"/>
    <w:rsid w:val="00571556"/>
    <w:rsid w:val="00571686"/>
    <w:rsid w:val="005716C8"/>
    <w:rsid w:val="00572060"/>
    <w:rsid w:val="0057222C"/>
    <w:rsid w:val="005722A1"/>
    <w:rsid w:val="005723AC"/>
    <w:rsid w:val="00572590"/>
    <w:rsid w:val="005725FC"/>
    <w:rsid w:val="00572637"/>
    <w:rsid w:val="00572779"/>
    <w:rsid w:val="005727C1"/>
    <w:rsid w:val="005727CC"/>
    <w:rsid w:val="00572AD3"/>
    <w:rsid w:val="0057300C"/>
    <w:rsid w:val="00573481"/>
    <w:rsid w:val="005735EA"/>
    <w:rsid w:val="005738AC"/>
    <w:rsid w:val="00573954"/>
    <w:rsid w:val="00573CB3"/>
    <w:rsid w:val="00573D2E"/>
    <w:rsid w:val="00573DB8"/>
    <w:rsid w:val="00573DD6"/>
    <w:rsid w:val="00574608"/>
    <w:rsid w:val="00574769"/>
    <w:rsid w:val="0057477D"/>
    <w:rsid w:val="005747B8"/>
    <w:rsid w:val="00574B8E"/>
    <w:rsid w:val="00574CBE"/>
    <w:rsid w:val="0057548A"/>
    <w:rsid w:val="005756D1"/>
    <w:rsid w:val="00575A51"/>
    <w:rsid w:val="00575ABA"/>
    <w:rsid w:val="00575BBB"/>
    <w:rsid w:val="00575C35"/>
    <w:rsid w:val="00575C56"/>
    <w:rsid w:val="0057635B"/>
    <w:rsid w:val="005767FA"/>
    <w:rsid w:val="0057686C"/>
    <w:rsid w:val="00576906"/>
    <w:rsid w:val="00577BE1"/>
    <w:rsid w:val="00577C41"/>
    <w:rsid w:val="00577ECE"/>
    <w:rsid w:val="00577FCF"/>
    <w:rsid w:val="00580126"/>
    <w:rsid w:val="00580221"/>
    <w:rsid w:val="00580804"/>
    <w:rsid w:val="00580859"/>
    <w:rsid w:val="005809BA"/>
    <w:rsid w:val="00580AE5"/>
    <w:rsid w:val="00580D95"/>
    <w:rsid w:val="00580F28"/>
    <w:rsid w:val="00581078"/>
    <w:rsid w:val="00581082"/>
    <w:rsid w:val="00581098"/>
    <w:rsid w:val="005813D9"/>
    <w:rsid w:val="005816E4"/>
    <w:rsid w:val="005819AF"/>
    <w:rsid w:val="00581AC8"/>
    <w:rsid w:val="00582266"/>
    <w:rsid w:val="005825AC"/>
    <w:rsid w:val="005826A5"/>
    <w:rsid w:val="0058271A"/>
    <w:rsid w:val="00582795"/>
    <w:rsid w:val="00582A97"/>
    <w:rsid w:val="00582C59"/>
    <w:rsid w:val="005832FF"/>
    <w:rsid w:val="005839E1"/>
    <w:rsid w:val="00583A8E"/>
    <w:rsid w:val="00583EFE"/>
    <w:rsid w:val="00583F91"/>
    <w:rsid w:val="0058458C"/>
    <w:rsid w:val="00584632"/>
    <w:rsid w:val="00584A59"/>
    <w:rsid w:val="00584AF5"/>
    <w:rsid w:val="00584BE5"/>
    <w:rsid w:val="00584BEB"/>
    <w:rsid w:val="00584D19"/>
    <w:rsid w:val="00584DE6"/>
    <w:rsid w:val="00584F72"/>
    <w:rsid w:val="005851AD"/>
    <w:rsid w:val="00585428"/>
    <w:rsid w:val="005856D1"/>
    <w:rsid w:val="0058592D"/>
    <w:rsid w:val="005861F1"/>
    <w:rsid w:val="0058622B"/>
    <w:rsid w:val="0058626B"/>
    <w:rsid w:val="005863BA"/>
    <w:rsid w:val="00586604"/>
    <w:rsid w:val="005867AF"/>
    <w:rsid w:val="005868B1"/>
    <w:rsid w:val="00586CA1"/>
    <w:rsid w:val="0058743B"/>
    <w:rsid w:val="00587620"/>
    <w:rsid w:val="00587A7E"/>
    <w:rsid w:val="00587B31"/>
    <w:rsid w:val="00587CF7"/>
    <w:rsid w:val="00590069"/>
    <w:rsid w:val="00590320"/>
    <w:rsid w:val="00590423"/>
    <w:rsid w:val="00590B7E"/>
    <w:rsid w:val="00590C8F"/>
    <w:rsid w:val="00590E44"/>
    <w:rsid w:val="00590FD6"/>
    <w:rsid w:val="00591065"/>
    <w:rsid w:val="00591563"/>
    <w:rsid w:val="00591CBC"/>
    <w:rsid w:val="0059203F"/>
    <w:rsid w:val="00592416"/>
    <w:rsid w:val="0059298D"/>
    <w:rsid w:val="00592B54"/>
    <w:rsid w:val="0059323E"/>
    <w:rsid w:val="00593F68"/>
    <w:rsid w:val="00594158"/>
    <w:rsid w:val="005946FB"/>
    <w:rsid w:val="0059473F"/>
    <w:rsid w:val="00594BD4"/>
    <w:rsid w:val="00594E8D"/>
    <w:rsid w:val="00595561"/>
    <w:rsid w:val="00595577"/>
    <w:rsid w:val="005958FC"/>
    <w:rsid w:val="00595A71"/>
    <w:rsid w:val="0059626E"/>
    <w:rsid w:val="00596561"/>
    <w:rsid w:val="005965E7"/>
    <w:rsid w:val="00596CA7"/>
    <w:rsid w:val="00596FE2"/>
    <w:rsid w:val="00597217"/>
    <w:rsid w:val="005972E9"/>
    <w:rsid w:val="00597364"/>
    <w:rsid w:val="0059748D"/>
    <w:rsid w:val="005977DB"/>
    <w:rsid w:val="005978CA"/>
    <w:rsid w:val="00597936"/>
    <w:rsid w:val="00597993"/>
    <w:rsid w:val="005979B1"/>
    <w:rsid w:val="00597E11"/>
    <w:rsid w:val="00597F56"/>
    <w:rsid w:val="005A00C4"/>
    <w:rsid w:val="005A02EB"/>
    <w:rsid w:val="005A0515"/>
    <w:rsid w:val="005A0717"/>
    <w:rsid w:val="005A0858"/>
    <w:rsid w:val="005A0BA0"/>
    <w:rsid w:val="005A0D2C"/>
    <w:rsid w:val="005A115A"/>
    <w:rsid w:val="005A1256"/>
    <w:rsid w:val="005A12DA"/>
    <w:rsid w:val="005A2554"/>
    <w:rsid w:val="005A292B"/>
    <w:rsid w:val="005A2B3D"/>
    <w:rsid w:val="005A2F98"/>
    <w:rsid w:val="005A3108"/>
    <w:rsid w:val="005A314E"/>
    <w:rsid w:val="005A31FF"/>
    <w:rsid w:val="005A3328"/>
    <w:rsid w:val="005A3477"/>
    <w:rsid w:val="005A38F5"/>
    <w:rsid w:val="005A38F8"/>
    <w:rsid w:val="005A3B31"/>
    <w:rsid w:val="005A3C15"/>
    <w:rsid w:val="005A3C5E"/>
    <w:rsid w:val="005A3C90"/>
    <w:rsid w:val="005A4361"/>
    <w:rsid w:val="005A46D5"/>
    <w:rsid w:val="005A48CE"/>
    <w:rsid w:val="005A48F5"/>
    <w:rsid w:val="005A4A08"/>
    <w:rsid w:val="005A4BCD"/>
    <w:rsid w:val="005A4EF6"/>
    <w:rsid w:val="005A4F25"/>
    <w:rsid w:val="005A5495"/>
    <w:rsid w:val="005A5B9B"/>
    <w:rsid w:val="005A5CE5"/>
    <w:rsid w:val="005A6154"/>
    <w:rsid w:val="005A63FE"/>
    <w:rsid w:val="005A6435"/>
    <w:rsid w:val="005A6453"/>
    <w:rsid w:val="005A6514"/>
    <w:rsid w:val="005A659A"/>
    <w:rsid w:val="005A65EF"/>
    <w:rsid w:val="005A6821"/>
    <w:rsid w:val="005A7B0D"/>
    <w:rsid w:val="005B0109"/>
    <w:rsid w:val="005B02B2"/>
    <w:rsid w:val="005B0A98"/>
    <w:rsid w:val="005B0C6E"/>
    <w:rsid w:val="005B0CE3"/>
    <w:rsid w:val="005B1006"/>
    <w:rsid w:val="005B113B"/>
    <w:rsid w:val="005B122E"/>
    <w:rsid w:val="005B124A"/>
    <w:rsid w:val="005B12DF"/>
    <w:rsid w:val="005B14D3"/>
    <w:rsid w:val="005B167A"/>
    <w:rsid w:val="005B17E8"/>
    <w:rsid w:val="005B1993"/>
    <w:rsid w:val="005B1BDD"/>
    <w:rsid w:val="005B1CEC"/>
    <w:rsid w:val="005B1E34"/>
    <w:rsid w:val="005B2226"/>
    <w:rsid w:val="005B22B1"/>
    <w:rsid w:val="005B2952"/>
    <w:rsid w:val="005B3146"/>
    <w:rsid w:val="005B3195"/>
    <w:rsid w:val="005B3396"/>
    <w:rsid w:val="005B35D1"/>
    <w:rsid w:val="005B37F4"/>
    <w:rsid w:val="005B38A6"/>
    <w:rsid w:val="005B391C"/>
    <w:rsid w:val="005B3B6C"/>
    <w:rsid w:val="005B3BDF"/>
    <w:rsid w:val="005B41C4"/>
    <w:rsid w:val="005B4231"/>
    <w:rsid w:val="005B4379"/>
    <w:rsid w:val="005B451C"/>
    <w:rsid w:val="005B45E8"/>
    <w:rsid w:val="005B46A6"/>
    <w:rsid w:val="005B47C1"/>
    <w:rsid w:val="005B4836"/>
    <w:rsid w:val="005B49BB"/>
    <w:rsid w:val="005B517A"/>
    <w:rsid w:val="005B536A"/>
    <w:rsid w:val="005B54F2"/>
    <w:rsid w:val="005B5619"/>
    <w:rsid w:val="005B5662"/>
    <w:rsid w:val="005B598A"/>
    <w:rsid w:val="005B6044"/>
    <w:rsid w:val="005B611C"/>
    <w:rsid w:val="005B64ED"/>
    <w:rsid w:val="005B683E"/>
    <w:rsid w:val="005B6920"/>
    <w:rsid w:val="005B6A9A"/>
    <w:rsid w:val="005B6D3F"/>
    <w:rsid w:val="005B7229"/>
    <w:rsid w:val="005B73CB"/>
    <w:rsid w:val="005B7615"/>
    <w:rsid w:val="005B7A5A"/>
    <w:rsid w:val="005B7AE8"/>
    <w:rsid w:val="005B7BA6"/>
    <w:rsid w:val="005B7E33"/>
    <w:rsid w:val="005B7EBF"/>
    <w:rsid w:val="005B7F96"/>
    <w:rsid w:val="005C01CF"/>
    <w:rsid w:val="005C022B"/>
    <w:rsid w:val="005C024A"/>
    <w:rsid w:val="005C02A1"/>
    <w:rsid w:val="005C03C7"/>
    <w:rsid w:val="005C0658"/>
    <w:rsid w:val="005C08C5"/>
    <w:rsid w:val="005C08E0"/>
    <w:rsid w:val="005C0914"/>
    <w:rsid w:val="005C0947"/>
    <w:rsid w:val="005C0992"/>
    <w:rsid w:val="005C0C96"/>
    <w:rsid w:val="005C0D0A"/>
    <w:rsid w:val="005C0D63"/>
    <w:rsid w:val="005C0F9C"/>
    <w:rsid w:val="005C109C"/>
    <w:rsid w:val="005C12C3"/>
    <w:rsid w:val="005C14E6"/>
    <w:rsid w:val="005C16AF"/>
    <w:rsid w:val="005C16D1"/>
    <w:rsid w:val="005C17C0"/>
    <w:rsid w:val="005C1C0A"/>
    <w:rsid w:val="005C207F"/>
    <w:rsid w:val="005C209E"/>
    <w:rsid w:val="005C2186"/>
    <w:rsid w:val="005C2555"/>
    <w:rsid w:val="005C2706"/>
    <w:rsid w:val="005C2938"/>
    <w:rsid w:val="005C2E9A"/>
    <w:rsid w:val="005C3260"/>
    <w:rsid w:val="005C32EA"/>
    <w:rsid w:val="005C37DA"/>
    <w:rsid w:val="005C381B"/>
    <w:rsid w:val="005C39BD"/>
    <w:rsid w:val="005C3E90"/>
    <w:rsid w:val="005C41EC"/>
    <w:rsid w:val="005C4348"/>
    <w:rsid w:val="005C4543"/>
    <w:rsid w:val="005C48E4"/>
    <w:rsid w:val="005C4C0A"/>
    <w:rsid w:val="005C4D17"/>
    <w:rsid w:val="005C4D9F"/>
    <w:rsid w:val="005C4E31"/>
    <w:rsid w:val="005C4F94"/>
    <w:rsid w:val="005C500F"/>
    <w:rsid w:val="005C50F4"/>
    <w:rsid w:val="005C5224"/>
    <w:rsid w:val="005C5638"/>
    <w:rsid w:val="005C581E"/>
    <w:rsid w:val="005C5872"/>
    <w:rsid w:val="005C5A2C"/>
    <w:rsid w:val="005C5EEC"/>
    <w:rsid w:val="005C614D"/>
    <w:rsid w:val="005C61FE"/>
    <w:rsid w:val="005C627F"/>
    <w:rsid w:val="005C6379"/>
    <w:rsid w:val="005C655B"/>
    <w:rsid w:val="005C6904"/>
    <w:rsid w:val="005C6917"/>
    <w:rsid w:val="005C6AE0"/>
    <w:rsid w:val="005C6AFF"/>
    <w:rsid w:val="005C6D93"/>
    <w:rsid w:val="005C6D94"/>
    <w:rsid w:val="005C7140"/>
    <w:rsid w:val="005C75F2"/>
    <w:rsid w:val="005C77FB"/>
    <w:rsid w:val="005C784D"/>
    <w:rsid w:val="005C7E4E"/>
    <w:rsid w:val="005D0056"/>
    <w:rsid w:val="005D0825"/>
    <w:rsid w:val="005D09EF"/>
    <w:rsid w:val="005D0B89"/>
    <w:rsid w:val="005D0E50"/>
    <w:rsid w:val="005D1441"/>
    <w:rsid w:val="005D172B"/>
    <w:rsid w:val="005D1778"/>
    <w:rsid w:val="005D1DF7"/>
    <w:rsid w:val="005D1E7C"/>
    <w:rsid w:val="005D1F48"/>
    <w:rsid w:val="005D2023"/>
    <w:rsid w:val="005D23BF"/>
    <w:rsid w:val="005D27C4"/>
    <w:rsid w:val="005D28AA"/>
    <w:rsid w:val="005D2B09"/>
    <w:rsid w:val="005D2B5C"/>
    <w:rsid w:val="005D2CB6"/>
    <w:rsid w:val="005D2D33"/>
    <w:rsid w:val="005D31AB"/>
    <w:rsid w:val="005D37BE"/>
    <w:rsid w:val="005D397F"/>
    <w:rsid w:val="005D3AAC"/>
    <w:rsid w:val="005D3D48"/>
    <w:rsid w:val="005D3E01"/>
    <w:rsid w:val="005D3E5D"/>
    <w:rsid w:val="005D4354"/>
    <w:rsid w:val="005D4441"/>
    <w:rsid w:val="005D46E2"/>
    <w:rsid w:val="005D47CB"/>
    <w:rsid w:val="005D4CED"/>
    <w:rsid w:val="005D4EB7"/>
    <w:rsid w:val="005D50B1"/>
    <w:rsid w:val="005D50F2"/>
    <w:rsid w:val="005D5514"/>
    <w:rsid w:val="005D5553"/>
    <w:rsid w:val="005D560A"/>
    <w:rsid w:val="005D5DDB"/>
    <w:rsid w:val="005D60BA"/>
    <w:rsid w:val="005D6364"/>
    <w:rsid w:val="005D642B"/>
    <w:rsid w:val="005D6696"/>
    <w:rsid w:val="005D6BD1"/>
    <w:rsid w:val="005D6BDF"/>
    <w:rsid w:val="005D6E03"/>
    <w:rsid w:val="005D7184"/>
    <w:rsid w:val="005D7350"/>
    <w:rsid w:val="005D7CE5"/>
    <w:rsid w:val="005D7E23"/>
    <w:rsid w:val="005D7F33"/>
    <w:rsid w:val="005E0760"/>
    <w:rsid w:val="005E0863"/>
    <w:rsid w:val="005E08F5"/>
    <w:rsid w:val="005E114C"/>
    <w:rsid w:val="005E1227"/>
    <w:rsid w:val="005E15DD"/>
    <w:rsid w:val="005E177A"/>
    <w:rsid w:val="005E1815"/>
    <w:rsid w:val="005E188D"/>
    <w:rsid w:val="005E1941"/>
    <w:rsid w:val="005E1AA4"/>
    <w:rsid w:val="005E1B37"/>
    <w:rsid w:val="005E1F54"/>
    <w:rsid w:val="005E2306"/>
    <w:rsid w:val="005E26F5"/>
    <w:rsid w:val="005E275E"/>
    <w:rsid w:val="005E2835"/>
    <w:rsid w:val="005E29F0"/>
    <w:rsid w:val="005E2BA5"/>
    <w:rsid w:val="005E2DEF"/>
    <w:rsid w:val="005E31AE"/>
    <w:rsid w:val="005E32E4"/>
    <w:rsid w:val="005E33E3"/>
    <w:rsid w:val="005E37CF"/>
    <w:rsid w:val="005E37FD"/>
    <w:rsid w:val="005E3A23"/>
    <w:rsid w:val="005E3AE1"/>
    <w:rsid w:val="005E3B1C"/>
    <w:rsid w:val="005E3C39"/>
    <w:rsid w:val="005E3D23"/>
    <w:rsid w:val="005E3D7D"/>
    <w:rsid w:val="005E403B"/>
    <w:rsid w:val="005E44EA"/>
    <w:rsid w:val="005E450C"/>
    <w:rsid w:val="005E4822"/>
    <w:rsid w:val="005E4872"/>
    <w:rsid w:val="005E4884"/>
    <w:rsid w:val="005E495D"/>
    <w:rsid w:val="005E4CCC"/>
    <w:rsid w:val="005E4DD4"/>
    <w:rsid w:val="005E51B0"/>
    <w:rsid w:val="005E51D4"/>
    <w:rsid w:val="005E521E"/>
    <w:rsid w:val="005E5504"/>
    <w:rsid w:val="005E5E67"/>
    <w:rsid w:val="005E6031"/>
    <w:rsid w:val="005E6304"/>
    <w:rsid w:val="005E6592"/>
    <w:rsid w:val="005E6658"/>
    <w:rsid w:val="005E6A9E"/>
    <w:rsid w:val="005E6DCF"/>
    <w:rsid w:val="005E6DF5"/>
    <w:rsid w:val="005E71DC"/>
    <w:rsid w:val="005E75A5"/>
    <w:rsid w:val="005E78B1"/>
    <w:rsid w:val="005E7B16"/>
    <w:rsid w:val="005E7C6F"/>
    <w:rsid w:val="005E7D03"/>
    <w:rsid w:val="005E7F05"/>
    <w:rsid w:val="005E7F5E"/>
    <w:rsid w:val="005E7F6C"/>
    <w:rsid w:val="005F0202"/>
    <w:rsid w:val="005F03A3"/>
    <w:rsid w:val="005F05E6"/>
    <w:rsid w:val="005F08D0"/>
    <w:rsid w:val="005F0941"/>
    <w:rsid w:val="005F0B89"/>
    <w:rsid w:val="005F0C85"/>
    <w:rsid w:val="005F0C9E"/>
    <w:rsid w:val="005F1183"/>
    <w:rsid w:val="005F11D1"/>
    <w:rsid w:val="005F141D"/>
    <w:rsid w:val="005F17E9"/>
    <w:rsid w:val="005F1A52"/>
    <w:rsid w:val="005F1AB1"/>
    <w:rsid w:val="005F1AC1"/>
    <w:rsid w:val="005F1BE1"/>
    <w:rsid w:val="005F20CD"/>
    <w:rsid w:val="005F2124"/>
    <w:rsid w:val="005F2389"/>
    <w:rsid w:val="005F2427"/>
    <w:rsid w:val="005F2447"/>
    <w:rsid w:val="005F2479"/>
    <w:rsid w:val="005F257C"/>
    <w:rsid w:val="005F25C1"/>
    <w:rsid w:val="005F28C3"/>
    <w:rsid w:val="005F2B6F"/>
    <w:rsid w:val="005F2E27"/>
    <w:rsid w:val="005F3383"/>
    <w:rsid w:val="005F3479"/>
    <w:rsid w:val="005F3A0F"/>
    <w:rsid w:val="005F3D45"/>
    <w:rsid w:val="005F40CA"/>
    <w:rsid w:val="005F43B7"/>
    <w:rsid w:val="005F446D"/>
    <w:rsid w:val="005F4CD0"/>
    <w:rsid w:val="005F5003"/>
    <w:rsid w:val="005F51F2"/>
    <w:rsid w:val="005F54F4"/>
    <w:rsid w:val="005F57E8"/>
    <w:rsid w:val="005F5B23"/>
    <w:rsid w:val="005F5BE5"/>
    <w:rsid w:val="005F5D73"/>
    <w:rsid w:val="005F5D86"/>
    <w:rsid w:val="005F5F2B"/>
    <w:rsid w:val="005F5F4C"/>
    <w:rsid w:val="005F615F"/>
    <w:rsid w:val="005F6193"/>
    <w:rsid w:val="005F6428"/>
    <w:rsid w:val="005F7044"/>
    <w:rsid w:val="005F716D"/>
    <w:rsid w:val="005F788E"/>
    <w:rsid w:val="005F78D6"/>
    <w:rsid w:val="005F7DDE"/>
    <w:rsid w:val="005F7E24"/>
    <w:rsid w:val="00600273"/>
    <w:rsid w:val="006003A6"/>
    <w:rsid w:val="006006F3"/>
    <w:rsid w:val="00600971"/>
    <w:rsid w:val="00600D7D"/>
    <w:rsid w:val="00600E86"/>
    <w:rsid w:val="00600FBA"/>
    <w:rsid w:val="00601201"/>
    <w:rsid w:val="0060123A"/>
    <w:rsid w:val="00601692"/>
    <w:rsid w:val="006016BF"/>
    <w:rsid w:val="006017E1"/>
    <w:rsid w:val="0060182B"/>
    <w:rsid w:val="00601935"/>
    <w:rsid w:val="00601AF2"/>
    <w:rsid w:val="00601BC5"/>
    <w:rsid w:val="00601BE4"/>
    <w:rsid w:val="00601E4B"/>
    <w:rsid w:val="00601FFA"/>
    <w:rsid w:val="00602124"/>
    <w:rsid w:val="006021AC"/>
    <w:rsid w:val="00602488"/>
    <w:rsid w:val="00602615"/>
    <w:rsid w:val="00602853"/>
    <w:rsid w:val="0060289B"/>
    <w:rsid w:val="00602939"/>
    <w:rsid w:val="006029F6"/>
    <w:rsid w:val="00602CE2"/>
    <w:rsid w:val="00602E40"/>
    <w:rsid w:val="00603209"/>
    <w:rsid w:val="00603651"/>
    <w:rsid w:val="006036E8"/>
    <w:rsid w:val="00603782"/>
    <w:rsid w:val="00603785"/>
    <w:rsid w:val="006037A8"/>
    <w:rsid w:val="00603873"/>
    <w:rsid w:val="00603A5E"/>
    <w:rsid w:val="00603A82"/>
    <w:rsid w:val="00603AB6"/>
    <w:rsid w:val="00603C7E"/>
    <w:rsid w:val="006040D5"/>
    <w:rsid w:val="00604249"/>
    <w:rsid w:val="006043ED"/>
    <w:rsid w:val="006047DE"/>
    <w:rsid w:val="00604A93"/>
    <w:rsid w:val="00604B85"/>
    <w:rsid w:val="00604F38"/>
    <w:rsid w:val="00605406"/>
    <w:rsid w:val="00605744"/>
    <w:rsid w:val="0060576D"/>
    <w:rsid w:val="006057F4"/>
    <w:rsid w:val="0060597E"/>
    <w:rsid w:val="00605B01"/>
    <w:rsid w:val="00605D29"/>
    <w:rsid w:val="0060658E"/>
    <w:rsid w:val="006067D7"/>
    <w:rsid w:val="00606809"/>
    <w:rsid w:val="006068EB"/>
    <w:rsid w:val="00606ABF"/>
    <w:rsid w:val="00606B34"/>
    <w:rsid w:val="00606C4A"/>
    <w:rsid w:val="00606CB6"/>
    <w:rsid w:val="00606CB9"/>
    <w:rsid w:val="00606DEB"/>
    <w:rsid w:val="006070C1"/>
    <w:rsid w:val="006072C7"/>
    <w:rsid w:val="006072CC"/>
    <w:rsid w:val="006072D2"/>
    <w:rsid w:val="0060754F"/>
    <w:rsid w:val="006078D0"/>
    <w:rsid w:val="006078D6"/>
    <w:rsid w:val="00607966"/>
    <w:rsid w:val="00607E32"/>
    <w:rsid w:val="00607F47"/>
    <w:rsid w:val="0061028A"/>
    <w:rsid w:val="00610483"/>
    <w:rsid w:val="00610D78"/>
    <w:rsid w:val="006116A3"/>
    <w:rsid w:val="00611EAD"/>
    <w:rsid w:val="00611EDE"/>
    <w:rsid w:val="00611F60"/>
    <w:rsid w:val="006124B7"/>
    <w:rsid w:val="00612A13"/>
    <w:rsid w:val="00612C3F"/>
    <w:rsid w:val="00612E19"/>
    <w:rsid w:val="00613057"/>
    <w:rsid w:val="006130A7"/>
    <w:rsid w:val="00613191"/>
    <w:rsid w:val="0061328E"/>
    <w:rsid w:val="00613461"/>
    <w:rsid w:val="00613498"/>
    <w:rsid w:val="0061352C"/>
    <w:rsid w:val="006137CE"/>
    <w:rsid w:val="00613A4C"/>
    <w:rsid w:val="00613AF5"/>
    <w:rsid w:val="00613CCA"/>
    <w:rsid w:val="006140F1"/>
    <w:rsid w:val="006142FF"/>
    <w:rsid w:val="00614561"/>
    <w:rsid w:val="00615263"/>
    <w:rsid w:val="006152D7"/>
    <w:rsid w:val="006153D2"/>
    <w:rsid w:val="006156A1"/>
    <w:rsid w:val="00615EED"/>
    <w:rsid w:val="00615FCC"/>
    <w:rsid w:val="00616378"/>
    <w:rsid w:val="0061652A"/>
    <w:rsid w:val="00616548"/>
    <w:rsid w:val="00616A5B"/>
    <w:rsid w:val="00616ABD"/>
    <w:rsid w:val="00617001"/>
    <w:rsid w:val="0061700E"/>
    <w:rsid w:val="0061733E"/>
    <w:rsid w:val="00617446"/>
    <w:rsid w:val="006175DC"/>
    <w:rsid w:val="006176B3"/>
    <w:rsid w:val="00617B33"/>
    <w:rsid w:val="00617B78"/>
    <w:rsid w:val="00617CAF"/>
    <w:rsid w:val="00617D6F"/>
    <w:rsid w:val="0062040D"/>
    <w:rsid w:val="006206D9"/>
    <w:rsid w:val="006206F1"/>
    <w:rsid w:val="00620819"/>
    <w:rsid w:val="0062084E"/>
    <w:rsid w:val="00620905"/>
    <w:rsid w:val="0062096F"/>
    <w:rsid w:val="00620EE1"/>
    <w:rsid w:val="006210DA"/>
    <w:rsid w:val="0062159C"/>
    <w:rsid w:val="00621732"/>
    <w:rsid w:val="00621C4B"/>
    <w:rsid w:val="00621E11"/>
    <w:rsid w:val="00621EDC"/>
    <w:rsid w:val="006220EF"/>
    <w:rsid w:val="006223EB"/>
    <w:rsid w:val="00622BAA"/>
    <w:rsid w:val="00622BFB"/>
    <w:rsid w:val="00622DB3"/>
    <w:rsid w:val="00623255"/>
    <w:rsid w:val="00623297"/>
    <w:rsid w:val="00623A3B"/>
    <w:rsid w:val="00623B34"/>
    <w:rsid w:val="00623BB7"/>
    <w:rsid w:val="00623EA0"/>
    <w:rsid w:val="00624430"/>
    <w:rsid w:val="006248FD"/>
    <w:rsid w:val="00624D32"/>
    <w:rsid w:val="00624DF0"/>
    <w:rsid w:val="00624F5E"/>
    <w:rsid w:val="00625099"/>
    <w:rsid w:val="006251D0"/>
    <w:rsid w:val="0062522C"/>
    <w:rsid w:val="00625368"/>
    <w:rsid w:val="0062545C"/>
    <w:rsid w:val="006255E8"/>
    <w:rsid w:val="00625889"/>
    <w:rsid w:val="006262AF"/>
    <w:rsid w:val="006264CC"/>
    <w:rsid w:val="006268C5"/>
    <w:rsid w:val="006269AA"/>
    <w:rsid w:val="00626AB2"/>
    <w:rsid w:val="00626AE9"/>
    <w:rsid w:val="00626B99"/>
    <w:rsid w:val="00626C91"/>
    <w:rsid w:val="00626D42"/>
    <w:rsid w:val="00626E95"/>
    <w:rsid w:val="00626F7C"/>
    <w:rsid w:val="00627008"/>
    <w:rsid w:val="006277DE"/>
    <w:rsid w:val="006278D4"/>
    <w:rsid w:val="00627BCE"/>
    <w:rsid w:val="00627BE4"/>
    <w:rsid w:val="00627F0F"/>
    <w:rsid w:val="00630039"/>
    <w:rsid w:val="00630043"/>
    <w:rsid w:val="0063039E"/>
    <w:rsid w:val="00630881"/>
    <w:rsid w:val="00630A6C"/>
    <w:rsid w:val="006312F7"/>
    <w:rsid w:val="0063194E"/>
    <w:rsid w:val="00631BB5"/>
    <w:rsid w:val="00631DA7"/>
    <w:rsid w:val="00631E2A"/>
    <w:rsid w:val="00631E60"/>
    <w:rsid w:val="0063230A"/>
    <w:rsid w:val="006324BF"/>
    <w:rsid w:val="0063251F"/>
    <w:rsid w:val="006325C2"/>
    <w:rsid w:val="0063262D"/>
    <w:rsid w:val="006329A6"/>
    <w:rsid w:val="00632B40"/>
    <w:rsid w:val="00632D8B"/>
    <w:rsid w:val="00632F11"/>
    <w:rsid w:val="006331AE"/>
    <w:rsid w:val="006334A6"/>
    <w:rsid w:val="00633783"/>
    <w:rsid w:val="006339B5"/>
    <w:rsid w:val="00633AA9"/>
    <w:rsid w:val="00633B1C"/>
    <w:rsid w:val="00633C0A"/>
    <w:rsid w:val="006340F1"/>
    <w:rsid w:val="00634487"/>
    <w:rsid w:val="006344EE"/>
    <w:rsid w:val="0063452A"/>
    <w:rsid w:val="00634580"/>
    <w:rsid w:val="006346F1"/>
    <w:rsid w:val="006351F5"/>
    <w:rsid w:val="006355F0"/>
    <w:rsid w:val="00635631"/>
    <w:rsid w:val="0063581E"/>
    <w:rsid w:val="006359F0"/>
    <w:rsid w:val="00635C3B"/>
    <w:rsid w:val="00635D69"/>
    <w:rsid w:val="006360E8"/>
    <w:rsid w:val="0063624E"/>
    <w:rsid w:val="006363B0"/>
    <w:rsid w:val="006363D0"/>
    <w:rsid w:val="006365BE"/>
    <w:rsid w:val="00636776"/>
    <w:rsid w:val="006367A1"/>
    <w:rsid w:val="00636801"/>
    <w:rsid w:val="00636997"/>
    <w:rsid w:val="006369C2"/>
    <w:rsid w:val="00636AB7"/>
    <w:rsid w:val="00636B22"/>
    <w:rsid w:val="00636CF0"/>
    <w:rsid w:val="0063725A"/>
    <w:rsid w:val="0063744B"/>
    <w:rsid w:val="0063758B"/>
    <w:rsid w:val="00637A04"/>
    <w:rsid w:val="00637C79"/>
    <w:rsid w:val="00637DE8"/>
    <w:rsid w:val="00637F94"/>
    <w:rsid w:val="0064000F"/>
    <w:rsid w:val="00640183"/>
    <w:rsid w:val="0064056B"/>
    <w:rsid w:val="006405F6"/>
    <w:rsid w:val="00640818"/>
    <w:rsid w:val="006408D4"/>
    <w:rsid w:val="00640F9D"/>
    <w:rsid w:val="0064124C"/>
    <w:rsid w:val="00641494"/>
    <w:rsid w:val="0064159F"/>
    <w:rsid w:val="00641772"/>
    <w:rsid w:val="006417CE"/>
    <w:rsid w:val="006418DD"/>
    <w:rsid w:val="006419C7"/>
    <w:rsid w:val="006420AD"/>
    <w:rsid w:val="006420CE"/>
    <w:rsid w:val="006425A3"/>
    <w:rsid w:val="006428C3"/>
    <w:rsid w:val="00642979"/>
    <w:rsid w:val="00642DF5"/>
    <w:rsid w:val="00642E27"/>
    <w:rsid w:val="00642EF7"/>
    <w:rsid w:val="006436F7"/>
    <w:rsid w:val="0064381A"/>
    <w:rsid w:val="006439ED"/>
    <w:rsid w:val="00643CF3"/>
    <w:rsid w:val="0064441B"/>
    <w:rsid w:val="00644B49"/>
    <w:rsid w:val="0064532D"/>
    <w:rsid w:val="0064539E"/>
    <w:rsid w:val="006458B0"/>
    <w:rsid w:val="006458DF"/>
    <w:rsid w:val="00645AB9"/>
    <w:rsid w:val="00645FD7"/>
    <w:rsid w:val="006460B9"/>
    <w:rsid w:val="006460D3"/>
    <w:rsid w:val="0064658D"/>
    <w:rsid w:val="00646706"/>
    <w:rsid w:val="006467CE"/>
    <w:rsid w:val="00646981"/>
    <w:rsid w:val="006469F9"/>
    <w:rsid w:val="00646ED8"/>
    <w:rsid w:val="006470B7"/>
    <w:rsid w:val="0064749E"/>
    <w:rsid w:val="006474F9"/>
    <w:rsid w:val="00647741"/>
    <w:rsid w:val="006477B5"/>
    <w:rsid w:val="00647963"/>
    <w:rsid w:val="00647A7A"/>
    <w:rsid w:val="00647ADC"/>
    <w:rsid w:val="00647E75"/>
    <w:rsid w:val="0065055D"/>
    <w:rsid w:val="006506EB"/>
    <w:rsid w:val="00650CA9"/>
    <w:rsid w:val="00650CC3"/>
    <w:rsid w:val="006511C7"/>
    <w:rsid w:val="0065129E"/>
    <w:rsid w:val="00651514"/>
    <w:rsid w:val="00651819"/>
    <w:rsid w:val="00651884"/>
    <w:rsid w:val="00651C07"/>
    <w:rsid w:val="00651C0E"/>
    <w:rsid w:val="00651D9C"/>
    <w:rsid w:val="00651E0D"/>
    <w:rsid w:val="0065269F"/>
    <w:rsid w:val="006529A5"/>
    <w:rsid w:val="00652BA0"/>
    <w:rsid w:val="00652C8D"/>
    <w:rsid w:val="0065306F"/>
    <w:rsid w:val="0065344B"/>
    <w:rsid w:val="00653484"/>
    <w:rsid w:val="0065350A"/>
    <w:rsid w:val="00653600"/>
    <w:rsid w:val="006536EF"/>
    <w:rsid w:val="00653792"/>
    <w:rsid w:val="006537ED"/>
    <w:rsid w:val="00653ADB"/>
    <w:rsid w:val="0065409F"/>
    <w:rsid w:val="00654228"/>
    <w:rsid w:val="006542CE"/>
    <w:rsid w:val="00654545"/>
    <w:rsid w:val="006548CC"/>
    <w:rsid w:val="00654A22"/>
    <w:rsid w:val="00654B27"/>
    <w:rsid w:val="00654D51"/>
    <w:rsid w:val="00654FAD"/>
    <w:rsid w:val="006551A8"/>
    <w:rsid w:val="00655628"/>
    <w:rsid w:val="00655A62"/>
    <w:rsid w:val="00655A9C"/>
    <w:rsid w:val="00656131"/>
    <w:rsid w:val="006568B3"/>
    <w:rsid w:val="00656DA3"/>
    <w:rsid w:val="00656DB0"/>
    <w:rsid w:val="00656F8F"/>
    <w:rsid w:val="0065712A"/>
    <w:rsid w:val="00657137"/>
    <w:rsid w:val="00657286"/>
    <w:rsid w:val="00657357"/>
    <w:rsid w:val="006577F4"/>
    <w:rsid w:val="0065782B"/>
    <w:rsid w:val="00657853"/>
    <w:rsid w:val="0065792D"/>
    <w:rsid w:val="00657D7C"/>
    <w:rsid w:val="00657E5C"/>
    <w:rsid w:val="00660097"/>
    <w:rsid w:val="00660155"/>
    <w:rsid w:val="00660235"/>
    <w:rsid w:val="006602A4"/>
    <w:rsid w:val="0066041F"/>
    <w:rsid w:val="00660983"/>
    <w:rsid w:val="00660A05"/>
    <w:rsid w:val="00661054"/>
    <w:rsid w:val="006610C7"/>
    <w:rsid w:val="006610C8"/>
    <w:rsid w:val="006611BE"/>
    <w:rsid w:val="00661255"/>
    <w:rsid w:val="006617C4"/>
    <w:rsid w:val="0066191D"/>
    <w:rsid w:val="00661AC4"/>
    <w:rsid w:val="0066237E"/>
    <w:rsid w:val="00662D6C"/>
    <w:rsid w:val="00662F67"/>
    <w:rsid w:val="00663328"/>
    <w:rsid w:val="0066389E"/>
    <w:rsid w:val="00663CA6"/>
    <w:rsid w:val="00663EAB"/>
    <w:rsid w:val="00663FCA"/>
    <w:rsid w:val="006640ED"/>
    <w:rsid w:val="00664140"/>
    <w:rsid w:val="0066458B"/>
    <w:rsid w:val="0066478A"/>
    <w:rsid w:val="00664B51"/>
    <w:rsid w:val="00664C28"/>
    <w:rsid w:val="00664CB5"/>
    <w:rsid w:val="00665366"/>
    <w:rsid w:val="0066536E"/>
    <w:rsid w:val="0066541A"/>
    <w:rsid w:val="00665910"/>
    <w:rsid w:val="00665ED5"/>
    <w:rsid w:val="006660F5"/>
    <w:rsid w:val="0066619D"/>
    <w:rsid w:val="00666349"/>
    <w:rsid w:val="0066638D"/>
    <w:rsid w:val="006664A2"/>
    <w:rsid w:val="00666AD9"/>
    <w:rsid w:val="00666C19"/>
    <w:rsid w:val="00666FF6"/>
    <w:rsid w:val="006670AD"/>
    <w:rsid w:val="006671A1"/>
    <w:rsid w:val="006672EB"/>
    <w:rsid w:val="0066770E"/>
    <w:rsid w:val="0066784E"/>
    <w:rsid w:val="006678AD"/>
    <w:rsid w:val="00667A30"/>
    <w:rsid w:val="00667D73"/>
    <w:rsid w:val="00667DB8"/>
    <w:rsid w:val="00667EA5"/>
    <w:rsid w:val="00667FE3"/>
    <w:rsid w:val="00670005"/>
    <w:rsid w:val="006702A7"/>
    <w:rsid w:val="006702EB"/>
    <w:rsid w:val="0067048E"/>
    <w:rsid w:val="0067052E"/>
    <w:rsid w:val="006705CC"/>
    <w:rsid w:val="00670CAB"/>
    <w:rsid w:val="0067136C"/>
    <w:rsid w:val="006713A1"/>
    <w:rsid w:val="006715EC"/>
    <w:rsid w:val="006718E8"/>
    <w:rsid w:val="00671BE3"/>
    <w:rsid w:val="00672312"/>
    <w:rsid w:val="006723B1"/>
    <w:rsid w:val="00672554"/>
    <w:rsid w:val="006726C4"/>
    <w:rsid w:val="006726D5"/>
    <w:rsid w:val="00672CBE"/>
    <w:rsid w:val="00672DA0"/>
    <w:rsid w:val="0067301B"/>
    <w:rsid w:val="0067315E"/>
    <w:rsid w:val="006733C6"/>
    <w:rsid w:val="00673458"/>
    <w:rsid w:val="00673459"/>
    <w:rsid w:val="006735B9"/>
    <w:rsid w:val="00673754"/>
    <w:rsid w:val="006739DF"/>
    <w:rsid w:val="00673D1B"/>
    <w:rsid w:val="00673E66"/>
    <w:rsid w:val="00674035"/>
    <w:rsid w:val="0067404F"/>
    <w:rsid w:val="006742D1"/>
    <w:rsid w:val="0067475B"/>
    <w:rsid w:val="0067479E"/>
    <w:rsid w:val="00674B2F"/>
    <w:rsid w:val="00674BC5"/>
    <w:rsid w:val="00674BC8"/>
    <w:rsid w:val="00674C46"/>
    <w:rsid w:val="00674F40"/>
    <w:rsid w:val="00675229"/>
    <w:rsid w:val="0067549A"/>
    <w:rsid w:val="0067554F"/>
    <w:rsid w:val="006756AB"/>
    <w:rsid w:val="006756E2"/>
    <w:rsid w:val="0067586E"/>
    <w:rsid w:val="00675928"/>
    <w:rsid w:val="00675D36"/>
    <w:rsid w:val="00675E48"/>
    <w:rsid w:val="00675E7B"/>
    <w:rsid w:val="00676169"/>
    <w:rsid w:val="00676199"/>
    <w:rsid w:val="006761AF"/>
    <w:rsid w:val="00676348"/>
    <w:rsid w:val="00676457"/>
    <w:rsid w:val="006766F1"/>
    <w:rsid w:val="00676790"/>
    <w:rsid w:val="00676A3A"/>
    <w:rsid w:val="00676ABD"/>
    <w:rsid w:val="00676EFB"/>
    <w:rsid w:val="00677243"/>
    <w:rsid w:val="00677460"/>
    <w:rsid w:val="006775FF"/>
    <w:rsid w:val="006777A2"/>
    <w:rsid w:val="00677B18"/>
    <w:rsid w:val="00677CEA"/>
    <w:rsid w:val="00677ED5"/>
    <w:rsid w:val="0068016E"/>
    <w:rsid w:val="00680288"/>
    <w:rsid w:val="006802EC"/>
    <w:rsid w:val="0068031E"/>
    <w:rsid w:val="00680809"/>
    <w:rsid w:val="00680A0B"/>
    <w:rsid w:val="00680A51"/>
    <w:rsid w:val="00680F70"/>
    <w:rsid w:val="00681000"/>
    <w:rsid w:val="006810E5"/>
    <w:rsid w:val="0068125C"/>
    <w:rsid w:val="0068166B"/>
    <w:rsid w:val="0068174B"/>
    <w:rsid w:val="00681B98"/>
    <w:rsid w:val="00681C37"/>
    <w:rsid w:val="00681D64"/>
    <w:rsid w:val="00681E43"/>
    <w:rsid w:val="0068230B"/>
    <w:rsid w:val="00682B77"/>
    <w:rsid w:val="00682DCB"/>
    <w:rsid w:val="00682E09"/>
    <w:rsid w:val="00682F95"/>
    <w:rsid w:val="006830F5"/>
    <w:rsid w:val="00683411"/>
    <w:rsid w:val="0068354C"/>
    <w:rsid w:val="0068399E"/>
    <w:rsid w:val="00683BFA"/>
    <w:rsid w:val="00683C2A"/>
    <w:rsid w:val="00684076"/>
    <w:rsid w:val="0068414F"/>
    <w:rsid w:val="00684C1D"/>
    <w:rsid w:val="00684C8E"/>
    <w:rsid w:val="00684D98"/>
    <w:rsid w:val="006855C8"/>
    <w:rsid w:val="00685936"/>
    <w:rsid w:val="00685D0A"/>
    <w:rsid w:val="00685D9C"/>
    <w:rsid w:val="0068617D"/>
    <w:rsid w:val="006861C0"/>
    <w:rsid w:val="0068636B"/>
    <w:rsid w:val="006863EF"/>
    <w:rsid w:val="006865D7"/>
    <w:rsid w:val="00686696"/>
    <w:rsid w:val="00686723"/>
    <w:rsid w:val="006867AF"/>
    <w:rsid w:val="00686D71"/>
    <w:rsid w:val="00686FF5"/>
    <w:rsid w:val="00687017"/>
    <w:rsid w:val="006872E6"/>
    <w:rsid w:val="00687487"/>
    <w:rsid w:val="00687535"/>
    <w:rsid w:val="0068798A"/>
    <w:rsid w:val="00687E00"/>
    <w:rsid w:val="00687F56"/>
    <w:rsid w:val="00690106"/>
    <w:rsid w:val="0069060C"/>
    <w:rsid w:val="00690651"/>
    <w:rsid w:val="00690936"/>
    <w:rsid w:val="00690C6B"/>
    <w:rsid w:val="00690FC6"/>
    <w:rsid w:val="006911A8"/>
    <w:rsid w:val="006916CF"/>
    <w:rsid w:val="00691732"/>
    <w:rsid w:val="00691926"/>
    <w:rsid w:val="00691D93"/>
    <w:rsid w:val="00691EC9"/>
    <w:rsid w:val="00691F18"/>
    <w:rsid w:val="00691F92"/>
    <w:rsid w:val="00692000"/>
    <w:rsid w:val="00692560"/>
    <w:rsid w:val="0069297C"/>
    <w:rsid w:val="00692C27"/>
    <w:rsid w:val="00692C8B"/>
    <w:rsid w:val="00693583"/>
    <w:rsid w:val="00693759"/>
    <w:rsid w:val="006937CC"/>
    <w:rsid w:val="00693B08"/>
    <w:rsid w:val="00693B73"/>
    <w:rsid w:val="00693DED"/>
    <w:rsid w:val="00693FF8"/>
    <w:rsid w:val="0069428E"/>
    <w:rsid w:val="006948C3"/>
    <w:rsid w:val="00694C76"/>
    <w:rsid w:val="00694D5E"/>
    <w:rsid w:val="00694E2B"/>
    <w:rsid w:val="00694E70"/>
    <w:rsid w:val="006951B2"/>
    <w:rsid w:val="0069541E"/>
    <w:rsid w:val="00695469"/>
    <w:rsid w:val="00695605"/>
    <w:rsid w:val="006956A6"/>
    <w:rsid w:val="00695A2B"/>
    <w:rsid w:val="00695CE6"/>
    <w:rsid w:val="006963FB"/>
    <w:rsid w:val="00696606"/>
    <w:rsid w:val="0069745F"/>
    <w:rsid w:val="006974EE"/>
    <w:rsid w:val="006978C8"/>
    <w:rsid w:val="006978CD"/>
    <w:rsid w:val="00697AD0"/>
    <w:rsid w:val="006A0304"/>
    <w:rsid w:val="006A048E"/>
    <w:rsid w:val="006A04CD"/>
    <w:rsid w:val="006A056E"/>
    <w:rsid w:val="006A0BED"/>
    <w:rsid w:val="006A10E0"/>
    <w:rsid w:val="006A1217"/>
    <w:rsid w:val="006A1230"/>
    <w:rsid w:val="006A1840"/>
    <w:rsid w:val="006A1946"/>
    <w:rsid w:val="006A1AA8"/>
    <w:rsid w:val="006A1C29"/>
    <w:rsid w:val="006A1CCF"/>
    <w:rsid w:val="006A1DED"/>
    <w:rsid w:val="006A1F3A"/>
    <w:rsid w:val="006A207F"/>
    <w:rsid w:val="006A20F2"/>
    <w:rsid w:val="006A2310"/>
    <w:rsid w:val="006A259F"/>
    <w:rsid w:val="006A2A19"/>
    <w:rsid w:val="006A2DD8"/>
    <w:rsid w:val="006A2E0C"/>
    <w:rsid w:val="006A3076"/>
    <w:rsid w:val="006A31F0"/>
    <w:rsid w:val="006A3391"/>
    <w:rsid w:val="006A35E6"/>
    <w:rsid w:val="006A3798"/>
    <w:rsid w:val="006A387D"/>
    <w:rsid w:val="006A3D58"/>
    <w:rsid w:val="006A3DF2"/>
    <w:rsid w:val="006A3EC3"/>
    <w:rsid w:val="006A4101"/>
    <w:rsid w:val="006A433F"/>
    <w:rsid w:val="006A4355"/>
    <w:rsid w:val="006A497F"/>
    <w:rsid w:val="006A4B84"/>
    <w:rsid w:val="006A4CE4"/>
    <w:rsid w:val="006A4E17"/>
    <w:rsid w:val="006A5393"/>
    <w:rsid w:val="006A55AF"/>
    <w:rsid w:val="006A59A3"/>
    <w:rsid w:val="006A5A1E"/>
    <w:rsid w:val="006A5AAB"/>
    <w:rsid w:val="006A5B50"/>
    <w:rsid w:val="006A5F9D"/>
    <w:rsid w:val="006A6164"/>
    <w:rsid w:val="006A61E8"/>
    <w:rsid w:val="006A62D6"/>
    <w:rsid w:val="006A6485"/>
    <w:rsid w:val="006A6573"/>
    <w:rsid w:val="006A660F"/>
    <w:rsid w:val="006A66AF"/>
    <w:rsid w:val="006A67FD"/>
    <w:rsid w:val="006A69F1"/>
    <w:rsid w:val="006A6A59"/>
    <w:rsid w:val="006A701F"/>
    <w:rsid w:val="006A75D4"/>
    <w:rsid w:val="006A7925"/>
    <w:rsid w:val="006A7BA6"/>
    <w:rsid w:val="006A7D00"/>
    <w:rsid w:val="006A7D82"/>
    <w:rsid w:val="006A7FC5"/>
    <w:rsid w:val="006B0256"/>
    <w:rsid w:val="006B02D4"/>
    <w:rsid w:val="006B065E"/>
    <w:rsid w:val="006B093C"/>
    <w:rsid w:val="006B0A0B"/>
    <w:rsid w:val="006B0C5B"/>
    <w:rsid w:val="006B0F2C"/>
    <w:rsid w:val="006B1271"/>
    <w:rsid w:val="006B1346"/>
    <w:rsid w:val="006B1448"/>
    <w:rsid w:val="006B150A"/>
    <w:rsid w:val="006B15BE"/>
    <w:rsid w:val="006B1647"/>
    <w:rsid w:val="006B1AB5"/>
    <w:rsid w:val="006B1B5B"/>
    <w:rsid w:val="006B1C3F"/>
    <w:rsid w:val="006B20C8"/>
    <w:rsid w:val="006B23BC"/>
    <w:rsid w:val="006B2419"/>
    <w:rsid w:val="006B2590"/>
    <w:rsid w:val="006B2661"/>
    <w:rsid w:val="006B2951"/>
    <w:rsid w:val="006B2BAA"/>
    <w:rsid w:val="006B3009"/>
    <w:rsid w:val="006B32F0"/>
    <w:rsid w:val="006B383B"/>
    <w:rsid w:val="006B40D7"/>
    <w:rsid w:val="006B41C6"/>
    <w:rsid w:val="006B421E"/>
    <w:rsid w:val="006B4405"/>
    <w:rsid w:val="006B4435"/>
    <w:rsid w:val="006B448D"/>
    <w:rsid w:val="006B463F"/>
    <w:rsid w:val="006B4978"/>
    <w:rsid w:val="006B4EF3"/>
    <w:rsid w:val="006B4FCF"/>
    <w:rsid w:val="006B517A"/>
    <w:rsid w:val="006B521A"/>
    <w:rsid w:val="006B5289"/>
    <w:rsid w:val="006B5298"/>
    <w:rsid w:val="006B54BB"/>
    <w:rsid w:val="006B54BD"/>
    <w:rsid w:val="006B55C2"/>
    <w:rsid w:val="006B57D6"/>
    <w:rsid w:val="006B58E1"/>
    <w:rsid w:val="006B5DCB"/>
    <w:rsid w:val="006B60DE"/>
    <w:rsid w:val="006B60FA"/>
    <w:rsid w:val="006B6244"/>
    <w:rsid w:val="006B62D0"/>
    <w:rsid w:val="006B672D"/>
    <w:rsid w:val="006B6812"/>
    <w:rsid w:val="006B6837"/>
    <w:rsid w:val="006B6989"/>
    <w:rsid w:val="006B6A84"/>
    <w:rsid w:val="006B6E06"/>
    <w:rsid w:val="006B6F64"/>
    <w:rsid w:val="006B71F3"/>
    <w:rsid w:val="006B7288"/>
    <w:rsid w:val="006B73D1"/>
    <w:rsid w:val="006B76C3"/>
    <w:rsid w:val="006B785E"/>
    <w:rsid w:val="006B7C33"/>
    <w:rsid w:val="006B7F79"/>
    <w:rsid w:val="006C00F8"/>
    <w:rsid w:val="006C02C6"/>
    <w:rsid w:val="006C0780"/>
    <w:rsid w:val="006C0ABA"/>
    <w:rsid w:val="006C0EB2"/>
    <w:rsid w:val="006C0EBF"/>
    <w:rsid w:val="006C0FF2"/>
    <w:rsid w:val="006C1008"/>
    <w:rsid w:val="006C1134"/>
    <w:rsid w:val="006C138E"/>
    <w:rsid w:val="006C14BE"/>
    <w:rsid w:val="006C16B4"/>
    <w:rsid w:val="006C18DB"/>
    <w:rsid w:val="006C1A8F"/>
    <w:rsid w:val="006C1CCD"/>
    <w:rsid w:val="006C1FD0"/>
    <w:rsid w:val="006C211E"/>
    <w:rsid w:val="006C2256"/>
    <w:rsid w:val="006C226F"/>
    <w:rsid w:val="006C242D"/>
    <w:rsid w:val="006C271A"/>
    <w:rsid w:val="006C2982"/>
    <w:rsid w:val="006C2A11"/>
    <w:rsid w:val="006C2AA0"/>
    <w:rsid w:val="006C2BC6"/>
    <w:rsid w:val="006C2BD5"/>
    <w:rsid w:val="006C2D6E"/>
    <w:rsid w:val="006C2F2D"/>
    <w:rsid w:val="006C320D"/>
    <w:rsid w:val="006C34C4"/>
    <w:rsid w:val="006C3571"/>
    <w:rsid w:val="006C35A6"/>
    <w:rsid w:val="006C3A16"/>
    <w:rsid w:val="006C3A20"/>
    <w:rsid w:val="006C3AA3"/>
    <w:rsid w:val="006C3BE6"/>
    <w:rsid w:val="006C3FE3"/>
    <w:rsid w:val="006C41A3"/>
    <w:rsid w:val="006C43A0"/>
    <w:rsid w:val="006C4620"/>
    <w:rsid w:val="006C4662"/>
    <w:rsid w:val="006C49B9"/>
    <w:rsid w:val="006C49DD"/>
    <w:rsid w:val="006C4A1D"/>
    <w:rsid w:val="006C4D33"/>
    <w:rsid w:val="006C4FE9"/>
    <w:rsid w:val="006C5049"/>
    <w:rsid w:val="006C5127"/>
    <w:rsid w:val="006C52A7"/>
    <w:rsid w:val="006C59AD"/>
    <w:rsid w:val="006C5AD3"/>
    <w:rsid w:val="006C5BB8"/>
    <w:rsid w:val="006C5E31"/>
    <w:rsid w:val="006C5EEF"/>
    <w:rsid w:val="006C60A0"/>
    <w:rsid w:val="006C61C6"/>
    <w:rsid w:val="006C64C7"/>
    <w:rsid w:val="006C65B9"/>
    <w:rsid w:val="006C7209"/>
    <w:rsid w:val="006C7283"/>
    <w:rsid w:val="006C72DE"/>
    <w:rsid w:val="006C7347"/>
    <w:rsid w:val="006C7B4D"/>
    <w:rsid w:val="006C7D8B"/>
    <w:rsid w:val="006D0225"/>
    <w:rsid w:val="006D0B06"/>
    <w:rsid w:val="006D10D9"/>
    <w:rsid w:val="006D1125"/>
    <w:rsid w:val="006D12D7"/>
    <w:rsid w:val="006D1589"/>
    <w:rsid w:val="006D1E9A"/>
    <w:rsid w:val="006D2674"/>
    <w:rsid w:val="006D2733"/>
    <w:rsid w:val="006D2794"/>
    <w:rsid w:val="006D2973"/>
    <w:rsid w:val="006D2A3A"/>
    <w:rsid w:val="006D2F7C"/>
    <w:rsid w:val="006D3186"/>
    <w:rsid w:val="006D3534"/>
    <w:rsid w:val="006D37EC"/>
    <w:rsid w:val="006D3A7B"/>
    <w:rsid w:val="006D3B50"/>
    <w:rsid w:val="006D4209"/>
    <w:rsid w:val="006D4324"/>
    <w:rsid w:val="006D443F"/>
    <w:rsid w:val="006D448C"/>
    <w:rsid w:val="006D44E2"/>
    <w:rsid w:val="006D460A"/>
    <w:rsid w:val="006D471C"/>
    <w:rsid w:val="006D4AA0"/>
    <w:rsid w:val="006D4CA2"/>
    <w:rsid w:val="006D5134"/>
    <w:rsid w:val="006D52F5"/>
    <w:rsid w:val="006D53AC"/>
    <w:rsid w:val="006D574C"/>
    <w:rsid w:val="006D5992"/>
    <w:rsid w:val="006D59AB"/>
    <w:rsid w:val="006D5A14"/>
    <w:rsid w:val="006D5A3D"/>
    <w:rsid w:val="006D5B6C"/>
    <w:rsid w:val="006D5C68"/>
    <w:rsid w:val="006D5D45"/>
    <w:rsid w:val="006D5D82"/>
    <w:rsid w:val="006D5E51"/>
    <w:rsid w:val="006D6061"/>
    <w:rsid w:val="006D62C5"/>
    <w:rsid w:val="006D63A6"/>
    <w:rsid w:val="006D6444"/>
    <w:rsid w:val="006D6493"/>
    <w:rsid w:val="006D6715"/>
    <w:rsid w:val="006D673A"/>
    <w:rsid w:val="006D6C2E"/>
    <w:rsid w:val="006D6CF9"/>
    <w:rsid w:val="006D6D48"/>
    <w:rsid w:val="006D6EBB"/>
    <w:rsid w:val="006D6FEE"/>
    <w:rsid w:val="006D72CE"/>
    <w:rsid w:val="006D75A1"/>
    <w:rsid w:val="006D79A8"/>
    <w:rsid w:val="006D7DD5"/>
    <w:rsid w:val="006D7E39"/>
    <w:rsid w:val="006D7E75"/>
    <w:rsid w:val="006E019C"/>
    <w:rsid w:val="006E01AD"/>
    <w:rsid w:val="006E0232"/>
    <w:rsid w:val="006E0275"/>
    <w:rsid w:val="006E0419"/>
    <w:rsid w:val="006E094E"/>
    <w:rsid w:val="006E09BE"/>
    <w:rsid w:val="006E0B9A"/>
    <w:rsid w:val="006E0CA3"/>
    <w:rsid w:val="006E1429"/>
    <w:rsid w:val="006E17C0"/>
    <w:rsid w:val="006E1875"/>
    <w:rsid w:val="006E1941"/>
    <w:rsid w:val="006E1A62"/>
    <w:rsid w:val="006E1B4C"/>
    <w:rsid w:val="006E1C35"/>
    <w:rsid w:val="006E1F12"/>
    <w:rsid w:val="006E204B"/>
    <w:rsid w:val="006E2251"/>
    <w:rsid w:val="006E297D"/>
    <w:rsid w:val="006E2B5F"/>
    <w:rsid w:val="006E2C01"/>
    <w:rsid w:val="006E2EF5"/>
    <w:rsid w:val="006E31A7"/>
    <w:rsid w:val="006E31CE"/>
    <w:rsid w:val="006E35DA"/>
    <w:rsid w:val="006E3698"/>
    <w:rsid w:val="006E3945"/>
    <w:rsid w:val="006E3A21"/>
    <w:rsid w:val="006E3ADD"/>
    <w:rsid w:val="006E3F9D"/>
    <w:rsid w:val="006E4037"/>
    <w:rsid w:val="006E42A7"/>
    <w:rsid w:val="006E4324"/>
    <w:rsid w:val="006E43E9"/>
    <w:rsid w:val="006E492A"/>
    <w:rsid w:val="006E494B"/>
    <w:rsid w:val="006E495B"/>
    <w:rsid w:val="006E542D"/>
    <w:rsid w:val="006E547B"/>
    <w:rsid w:val="006E5A0D"/>
    <w:rsid w:val="006E5EC2"/>
    <w:rsid w:val="006E6056"/>
    <w:rsid w:val="006E69D9"/>
    <w:rsid w:val="006E6AA2"/>
    <w:rsid w:val="006E6BD1"/>
    <w:rsid w:val="006E6E78"/>
    <w:rsid w:val="006E7465"/>
    <w:rsid w:val="006E7651"/>
    <w:rsid w:val="006E788A"/>
    <w:rsid w:val="006E79A0"/>
    <w:rsid w:val="006E7C5A"/>
    <w:rsid w:val="006E7E3E"/>
    <w:rsid w:val="006F0273"/>
    <w:rsid w:val="006F057D"/>
    <w:rsid w:val="006F05F7"/>
    <w:rsid w:val="006F0BDB"/>
    <w:rsid w:val="006F1075"/>
    <w:rsid w:val="006F12BE"/>
    <w:rsid w:val="006F13A7"/>
    <w:rsid w:val="006F1531"/>
    <w:rsid w:val="006F1AD4"/>
    <w:rsid w:val="006F1D11"/>
    <w:rsid w:val="006F2111"/>
    <w:rsid w:val="006F229F"/>
    <w:rsid w:val="006F237E"/>
    <w:rsid w:val="006F23E7"/>
    <w:rsid w:val="006F24C9"/>
    <w:rsid w:val="006F27A1"/>
    <w:rsid w:val="006F27B1"/>
    <w:rsid w:val="006F29AC"/>
    <w:rsid w:val="006F2C7C"/>
    <w:rsid w:val="006F2D8B"/>
    <w:rsid w:val="006F3183"/>
    <w:rsid w:val="006F3293"/>
    <w:rsid w:val="006F34C2"/>
    <w:rsid w:val="006F356E"/>
    <w:rsid w:val="006F36B9"/>
    <w:rsid w:val="006F3937"/>
    <w:rsid w:val="006F3C5E"/>
    <w:rsid w:val="006F3EBA"/>
    <w:rsid w:val="006F4C67"/>
    <w:rsid w:val="006F4CF1"/>
    <w:rsid w:val="006F558F"/>
    <w:rsid w:val="006F5965"/>
    <w:rsid w:val="006F6422"/>
    <w:rsid w:val="006F644F"/>
    <w:rsid w:val="006F67E8"/>
    <w:rsid w:val="006F6AFE"/>
    <w:rsid w:val="006F7005"/>
    <w:rsid w:val="006F7712"/>
    <w:rsid w:val="006F781E"/>
    <w:rsid w:val="006F7848"/>
    <w:rsid w:val="006F78AA"/>
    <w:rsid w:val="006F78F6"/>
    <w:rsid w:val="006F7B2E"/>
    <w:rsid w:val="006F7B8E"/>
    <w:rsid w:val="00700013"/>
    <w:rsid w:val="007001EE"/>
    <w:rsid w:val="0070040D"/>
    <w:rsid w:val="007004D6"/>
    <w:rsid w:val="007008B6"/>
    <w:rsid w:val="007009A4"/>
    <w:rsid w:val="00700CC7"/>
    <w:rsid w:val="00700D18"/>
    <w:rsid w:val="0070132D"/>
    <w:rsid w:val="00701571"/>
    <w:rsid w:val="0070174D"/>
    <w:rsid w:val="00701868"/>
    <w:rsid w:val="00701C59"/>
    <w:rsid w:val="00701DAA"/>
    <w:rsid w:val="0070231F"/>
    <w:rsid w:val="00702440"/>
    <w:rsid w:val="00702500"/>
    <w:rsid w:val="007025A2"/>
    <w:rsid w:val="0070266F"/>
    <w:rsid w:val="007028FB"/>
    <w:rsid w:val="00702BE0"/>
    <w:rsid w:val="00702C1E"/>
    <w:rsid w:val="00702DCD"/>
    <w:rsid w:val="00702ED8"/>
    <w:rsid w:val="0070303F"/>
    <w:rsid w:val="00703103"/>
    <w:rsid w:val="007032E8"/>
    <w:rsid w:val="007034C0"/>
    <w:rsid w:val="00703592"/>
    <w:rsid w:val="00703689"/>
    <w:rsid w:val="00703904"/>
    <w:rsid w:val="00703AF4"/>
    <w:rsid w:val="00703D2E"/>
    <w:rsid w:val="00703E78"/>
    <w:rsid w:val="007040BA"/>
    <w:rsid w:val="00704210"/>
    <w:rsid w:val="007045CF"/>
    <w:rsid w:val="00704729"/>
    <w:rsid w:val="007049D1"/>
    <w:rsid w:val="00704B02"/>
    <w:rsid w:val="00704E8F"/>
    <w:rsid w:val="00704EEE"/>
    <w:rsid w:val="0070506F"/>
    <w:rsid w:val="00705446"/>
    <w:rsid w:val="00705605"/>
    <w:rsid w:val="007056B3"/>
    <w:rsid w:val="0070603C"/>
    <w:rsid w:val="007060D2"/>
    <w:rsid w:val="007064C6"/>
    <w:rsid w:val="00706588"/>
    <w:rsid w:val="007068FB"/>
    <w:rsid w:val="00706B12"/>
    <w:rsid w:val="00706BDD"/>
    <w:rsid w:val="00707774"/>
    <w:rsid w:val="00707794"/>
    <w:rsid w:val="007077DB"/>
    <w:rsid w:val="00707877"/>
    <w:rsid w:val="0070796C"/>
    <w:rsid w:val="00707AD8"/>
    <w:rsid w:val="00707D5F"/>
    <w:rsid w:val="00707EB2"/>
    <w:rsid w:val="007100CC"/>
    <w:rsid w:val="007107D5"/>
    <w:rsid w:val="007107F9"/>
    <w:rsid w:val="00710AE6"/>
    <w:rsid w:val="00710B1C"/>
    <w:rsid w:val="00710BA2"/>
    <w:rsid w:val="00710E1E"/>
    <w:rsid w:val="0071113F"/>
    <w:rsid w:val="0071131F"/>
    <w:rsid w:val="0071161C"/>
    <w:rsid w:val="00711ACB"/>
    <w:rsid w:val="00711B21"/>
    <w:rsid w:val="00711EC1"/>
    <w:rsid w:val="00711F66"/>
    <w:rsid w:val="0071211E"/>
    <w:rsid w:val="007123BF"/>
    <w:rsid w:val="007124C7"/>
    <w:rsid w:val="0071268C"/>
    <w:rsid w:val="0071271A"/>
    <w:rsid w:val="0071278E"/>
    <w:rsid w:val="007129B6"/>
    <w:rsid w:val="00712D3C"/>
    <w:rsid w:val="00712DF6"/>
    <w:rsid w:val="00712F7E"/>
    <w:rsid w:val="00712FB9"/>
    <w:rsid w:val="007130BA"/>
    <w:rsid w:val="007131BC"/>
    <w:rsid w:val="00713339"/>
    <w:rsid w:val="00713407"/>
    <w:rsid w:val="00713508"/>
    <w:rsid w:val="00713EC4"/>
    <w:rsid w:val="0071467D"/>
    <w:rsid w:val="007146EA"/>
    <w:rsid w:val="007149AD"/>
    <w:rsid w:val="00714C63"/>
    <w:rsid w:val="00715503"/>
    <w:rsid w:val="00715B0A"/>
    <w:rsid w:val="00715BC0"/>
    <w:rsid w:val="00715D4E"/>
    <w:rsid w:val="00715E3A"/>
    <w:rsid w:val="0071628E"/>
    <w:rsid w:val="00716541"/>
    <w:rsid w:val="00716568"/>
    <w:rsid w:val="0071673A"/>
    <w:rsid w:val="00716920"/>
    <w:rsid w:val="00716A3A"/>
    <w:rsid w:val="00716BA2"/>
    <w:rsid w:val="00716C3A"/>
    <w:rsid w:val="00716D55"/>
    <w:rsid w:val="00716EE7"/>
    <w:rsid w:val="0071728C"/>
    <w:rsid w:val="007172CA"/>
    <w:rsid w:val="007174C0"/>
    <w:rsid w:val="00717602"/>
    <w:rsid w:val="00717B90"/>
    <w:rsid w:val="00717BBD"/>
    <w:rsid w:val="00717DBF"/>
    <w:rsid w:val="00720511"/>
    <w:rsid w:val="007205A8"/>
    <w:rsid w:val="007205C0"/>
    <w:rsid w:val="00720636"/>
    <w:rsid w:val="0072069B"/>
    <w:rsid w:val="0072102C"/>
    <w:rsid w:val="007212A2"/>
    <w:rsid w:val="007213B0"/>
    <w:rsid w:val="0072147D"/>
    <w:rsid w:val="007214AC"/>
    <w:rsid w:val="00721503"/>
    <w:rsid w:val="00721550"/>
    <w:rsid w:val="0072172B"/>
    <w:rsid w:val="007217BB"/>
    <w:rsid w:val="00721980"/>
    <w:rsid w:val="00721CD6"/>
    <w:rsid w:val="00721F54"/>
    <w:rsid w:val="007220E5"/>
    <w:rsid w:val="0072216E"/>
    <w:rsid w:val="00722196"/>
    <w:rsid w:val="007224FA"/>
    <w:rsid w:val="007227DD"/>
    <w:rsid w:val="00722C76"/>
    <w:rsid w:val="00723024"/>
    <w:rsid w:val="00723034"/>
    <w:rsid w:val="00723182"/>
    <w:rsid w:val="00723193"/>
    <w:rsid w:val="00723274"/>
    <w:rsid w:val="007238ED"/>
    <w:rsid w:val="00723A04"/>
    <w:rsid w:val="00723DCB"/>
    <w:rsid w:val="00724290"/>
    <w:rsid w:val="0072438D"/>
    <w:rsid w:val="0072447D"/>
    <w:rsid w:val="007244CA"/>
    <w:rsid w:val="007246B6"/>
    <w:rsid w:val="00724783"/>
    <w:rsid w:val="00724E9E"/>
    <w:rsid w:val="007252EA"/>
    <w:rsid w:val="007253B4"/>
    <w:rsid w:val="007256C6"/>
    <w:rsid w:val="00725AAE"/>
    <w:rsid w:val="00725ABD"/>
    <w:rsid w:val="00725BDD"/>
    <w:rsid w:val="00725C04"/>
    <w:rsid w:val="00725CDE"/>
    <w:rsid w:val="00725D55"/>
    <w:rsid w:val="00725FDD"/>
    <w:rsid w:val="0072602B"/>
    <w:rsid w:val="007263FB"/>
    <w:rsid w:val="007266CF"/>
    <w:rsid w:val="0072677E"/>
    <w:rsid w:val="007268DB"/>
    <w:rsid w:val="007269DB"/>
    <w:rsid w:val="00726A67"/>
    <w:rsid w:val="00726AB2"/>
    <w:rsid w:val="00726AC7"/>
    <w:rsid w:val="00726D8A"/>
    <w:rsid w:val="00726EE2"/>
    <w:rsid w:val="00727333"/>
    <w:rsid w:val="00727401"/>
    <w:rsid w:val="007275EB"/>
    <w:rsid w:val="00727887"/>
    <w:rsid w:val="0072793B"/>
    <w:rsid w:val="00727A82"/>
    <w:rsid w:val="00727FB0"/>
    <w:rsid w:val="007301A4"/>
    <w:rsid w:val="007301AD"/>
    <w:rsid w:val="00730200"/>
    <w:rsid w:val="00730374"/>
    <w:rsid w:val="00730391"/>
    <w:rsid w:val="00730465"/>
    <w:rsid w:val="00730527"/>
    <w:rsid w:val="007305A2"/>
    <w:rsid w:val="00730BB4"/>
    <w:rsid w:val="00730C10"/>
    <w:rsid w:val="00730E3A"/>
    <w:rsid w:val="00730E67"/>
    <w:rsid w:val="00730EA1"/>
    <w:rsid w:val="00730F99"/>
    <w:rsid w:val="007312AE"/>
    <w:rsid w:val="00731374"/>
    <w:rsid w:val="0073147D"/>
    <w:rsid w:val="007315C0"/>
    <w:rsid w:val="00731AFF"/>
    <w:rsid w:val="00731D09"/>
    <w:rsid w:val="00731FFC"/>
    <w:rsid w:val="007320A0"/>
    <w:rsid w:val="00732143"/>
    <w:rsid w:val="00732419"/>
    <w:rsid w:val="0073275B"/>
    <w:rsid w:val="00732998"/>
    <w:rsid w:val="00732A67"/>
    <w:rsid w:val="00732FFD"/>
    <w:rsid w:val="00733233"/>
    <w:rsid w:val="00733390"/>
    <w:rsid w:val="00733702"/>
    <w:rsid w:val="00733790"/>
    <w:rsid w:val="0073396D"/>
    <w:rsid w:val="00733BEA"/>
    <w:rsid w:val="00733C4A"/>
    <w:rsid w:val="00733D16"/>
    <w:rsid w:val="00733E78"/>
    <w:rsid w:val="00733F96"/>
    <w:rsid w:val="00734194"/>
    <w:rsid w:val="007341D2"/>
    <w:rsid w:val="0073441A"/>
    <w:rsid w:val="00734555"/>
    <w:rsid w:val="00734677"/>
    <w:rsid w:val="00734C87"/>
    <w:rsid w:val="00734F27"/>
    <w:rsid w:val="00735173"/>
    <w:rsid w:val="0073582E"/>
    <w:rsid w:val="007359E7"/>
    <w:rsid w:val="00735AAF"/>
    <w:rsid w:val="00735AFF"/>
    <w:rsid w:val="00736296"/>
    <w:rsid w:val="00736476"/>
    <w:rsid w:val="00736518"/>
    <w:rsid w:val="007365E8"/>
    <w:rsid w:val="00736AC8"/>
    <w:rsid w:val="00736BF7"/>
    <w:rsid w:val="00736C27"/>
    <w:rsid w:val="00736C60"/>
    <w:rsid w:val="00736D88"/>
    <w:rsid w:val="00736E8E"/>
    <w:rsid w:val="007370F8"/>
    <w:rsid w:val="00737188"/>
    <w:rsid w:val="007371EB"/>
    <w:rsid w:val="0073744A"/>
    <w:rsid w:val="007375DD"/>
    <w:rsid w:val="00737A6B"/>
    <w:rsid w:val="00737D95"/>
    <w:rsid w:val="00737F1C"/>
    <w:rsid w:val="007403C6"/>
    <w:rsid w:val="00740416"/>
    <w:rsid w:val="007404F8"/>
    <w:rsid w:val="0074054D"/>
    <w:rsid w:val="00740766"/>
    <w:rsid w:val="00740B9F"/>
    <w:rsid w:val="00740BF9"/>
    <w:rsid w:val="00740C1F"/>
    <w:rsid w:val="0074126A"/>
    <w:rsid w:val="0074167C"/>
    <w:rsid w:val="00741C06"/>
    <w:rsid w:val="00741D16"/>
    <w:rsid w:val="00741DC5"/>
    <w:rsid w:val="00741E96"/>
    <w:rsid w:val="00742114"/>
    <w:rsid w:val="007427B3"/>
    <w:rsid w:val="00742C6B"/>
    <w:rsid w:val="00742D77"/>
    <w:rsid w:val="00742EFD"/>
    <w:rsid w:val="0074303E"/>
    <w:rsid w:val="00743291"/>
    <w:rsid w:val="0074335A"/>
    <w:rsid w:val="0074340E"/>
    <w:rsid w:val="00743703"/>
    <w:rsid w:val="007439A9"/>
    <w:rsid w:val="007439B4"/>
    <w:rsid w:val="00743A59"/>
    <w:rsid w:val="00743DA8"/>
    <w:rsid w:val="00743DEB"/>
    <w:rsid w:val="00743DFF"/>
    <w:rsid w:val="00743E0A"/>
    <w:rsid w:val="00743E66"/>
    <w:rsid w:val="00743F9D"/>
    <w:rsid w:val="0074413B"/>
    <w:rsid w:val="007441C8"/>
    <w:rsid w:val="0074426F"/>
    <w:rsid w:val="007446BD"/>
    <w:rsid w:val="00744849"/>
    <w:rsid w:val="00744F37"/>
    <w:rsid w:val="00745401"/>
    <w:rsid w:val="00745449"/>
    <w:rsid w:val="00745488"/>
    <w:rsid w:val="0074554C"/>
    <w:rsid w:val="007459E0"/>
    <w:rsid w:val="00745A2F"/>
    <w:rsid w:val="00745A51"/>
    <w:rsid w:val="00745AA1"/>
    <w:rsid w:val="00745B09"/>
    <w:rsid w:val="00745B23"/>
    <w:rsid w:val="00745D46"/>
    <w:rsid w:val="00745FDB"/>
    <w:rsid w:val="0074603A"/>
    <w:rsid w:val="00746274"/>
    <w:rsid w:val="00746A28"/>
    <w:rsid w:val="00746A4B"/>
    <w:rsid w:val="00746B1E"/>
    <w:rsid w:val="00746EA4"/>
    <w:rsid w:val="00746F56"/>
    <w:rsid w:val="007471C1"/>
    <w:rsid w:val="007472BB"/>
    <w:rsid w:val="007475C0"/>
    <w:rsid w:val="007476AB"/>
    <w:rsid w:val="007477F5"/>
    <w:rsid w:val="00747A5D"/>
    <w:rsid w:val="00747A8F"/>
    <w:rsid w:val="00747CD6"/>
    <w:rsid w:val="00747D7E"/>
    <w:rsid w:val="00747DA8"/>
    <w:rsid w:val="00747E93"/>
    <w:rsid w:val="007504D0"/>
    <w:rsid w:val="00750A31"/>
    <w:rsid w:val="00750BF5"/>
    <w:rsid w:val="00750C30"/>
    <w:rsid w:val="00750C6D"/>
    <w:rsid w:val="00751030"/>
    <w:rsid w:val="00751419"/>
    <w:rsid w:val="007515C7"/>
    <w:rsid w:val="00751A03"/>
    <w:rsid w:val="00751F57"/>
    <w:rsid w:val="00752280"/>
    <w:rsid w:val="00752951"/>
    <w:rsid w:val="00752ACA"/>
    <w:rsid w:val="00752B22"/>
    <w:rsid w:val="00752B35"/>
    <w:rsid w:val="0075347C"/>
    <w:rsid w:val="007534F6"/>
    <w:rsid w:val="00753866"/>
    <w:rsid w:val="00753B74"/>
    <w:rsid w:val="00753F3C"/>
    <w:rsid w:val="0075425E"/>
    <w:rsid w:val="0075480C"/>
    <w:rsid w:val="00754BE8"/>
    <w:rsid w:val="00754C15"/>
    <w:rsid w:val="00754D04"/>
    <w:rsid w:val="00755140"/>
    <w:rsid w:val="007551E7"/>
    <w:rsid w:val="0075537C"/>
    <w:rsid w:val="00755398"/>
    <w:rsid w:val="00755882"/>
    <w:rsid w:val="00755BA9"/>
    <w:rsid w:val="00755E83"/>
    <w:rsid w:val="00755FEE"/>
    <w:rsid w:val="007563FE"/>
    <w:rsid w:val="00756451"/>
    <w:rsid w:val="00756A97"/>
    <w:rsid w:val="00757016"/>
    <w:rsid w:val="0075711A"/>
    <w:rsid w:val="00757384"/>
    <w:rsid w:val="00757448"/>
    <w:rsid w:val="007575A1"/>
    <w:rsid w:val="007576E1"/>
    <w:rsid w:val="00757B81"/>
    <w:rsid w:val="00757C85"/>
    <w:rsid w:val="00757F56"/>
    <w:rsid w:val="00760446"/>
    <w:rsid w:val="007604E5"/>
    <w:rsid w:val="00760914"/>
    <w:rsid w:val="00760A9B"/>
    <w:rsid w:val="00760D6F"/>
    <w:rsid w:val="00760EB9"/>
    <w:rsid w:val="00761BCD"/>
    <w:rsid w:val="00761FEB"/>
    <w:rsid w:val="0076215A"/>
    <w:rsid w:val="007624F4"/>
    <w:rsid w:val="007625E4"/>
    <w:rsid w:val="00762762"/>
    <w:rsid w:val="00762791"/>
    <w:rsid w:val="00762B46"/>
    <w:rsid w:val="00762C2F"/>
    <w:rsid w:val="00762DE2"/>
    <w:rsid w:val="007633EB"/>
    <w:rsid w:val="00763479"/>
    <w:rsid w:val="0076366B"/>
    <w:rsid w:val="00764001"/>
    <w:rsid w:val="00764492"/>
    <w:rsid w:val="0076481F"/>
    <w:rsid w:val="00764B3E"/>
    <w:rsid w:val="00764E9D"/>
    <w:rsid w:val="00765076"/>
    <w:rsid w:val="007650DE"/>
    <w:rsid w:val="007652CC"/>
    <w:rsid w:val="00765772"/>
    <w:rsid w:val="007657BF"/>
    <w:rsid w:val="007658BD"/>
    <w:rsid w:val="00765CD4"/>
    <w:rsid w:val="00765F5F"/>
    <w:rsid w:val="00766034"/>
    <w:rsid w:val="007661D3"/>
    <w:rsid w:val="00766541"/>
    <w:rsid w:val="007666EA"/>
    <w:rsid w:val="00766700"/>
    <w:rsid w:val="00766F14"/>
    <w:rsid w:val="00766F16"/>
    <w:rsid w:val="00766F1D"/>
    <w:rsid w:val="0076738D"/>
    <w:rsid w:val="00767CC8"/>
    <w:rsid w:val="007708B5"/>
    <w:rsid w:val="0077095B"/>
    <w:rsid w:val="007709E1"/>
    <w:rsid w:val="00770AA3"/>
    <w:rsid w:val="00770AF7"/>
    <w:rsid w:val="00770F21"/>
    <w:rsid w:val="00770FA4"/>
    <w:rsid w:val="0077150B"/>
    <w:rsid w:val="007715E0"/>
    <w:rsid w:val="00771749"/>
    <w:rsid w:val="00771776"/>
    <w:rsid w:val="00771B86"/>
    <w:rsid w:val="00771DA9"/>
    <w:rsid w:val="00771E2F"/>
    <w:rsid w:val="00772141"/>
    <w:rsid w:val="0077236D"/>
    <w:rsid w:val="00772B34"/>
    <w:rsid w:val="00772B66"/>
    <w:rsid w:val="00772DA3"/>
    <w:rsid w:val="00772EF4"/>
    <w:rsid w:val="00772F7D"/>
    <w:rsid w:val="00773150"/>
    <w:rsid w:val="00773AE4"/>
    <w:rsid w:val="00773C26"/>
    <w:rsid w:val="00773CBB"/>
    <w:rsid w:val="00773E11"/>
    <w:rsid w:val="00774825"/>
    <w:rsid w:val="0077488E"/>
    <w:rsid w:val="00774B4F"/>
    <w:rsid w:val="00774E16"/>
    <w:rsid w:val="00774F77"/>
    <w:rsid w:val="00774F78"/>
    <w:rsid w:val="007750B6"/>
    <w:rsid w:val="00775200"/>
    <w:rsid w:val="00775484"/>
    <w:rsid w:val="007754BD"/>
    <w:rsid w:val="00775C82"/>
    <w:rsid w:val="00775D77"/>
    <w:rsid w:val="00775D90"/>
    <w:rsid w:val="00775F15"/>
    <w:rsid w:val="00776219"/>
    <w:rsid w:val="007764E7"/>
    <w:rsid w:val="00776757"/>
    <w:rsid w:val="007769F7"/>
    <w:rsid w:val="00776DA4"/>
    <w:rsid w:val="00776DC5"/>
    <w:rsid w:val="00777035"/>
    <w:rsid w:val="0077707D"/>
    <w:rsid w:val="00777110"/>
    <w:rsid w:val="0077744D"/>
    <w:rsid w:val="007775FE"/>
    <w:rsid w:val="00777606"/>
    <w:rsid w:val="0077777A"/>
    <w:rsid w:val="007778DE"/>
    <w:rsid w:val="007779BE"/>
    <w:rsid w:val="00780235"/>
    <w:rsid w:val="0078039A"/>
    <w:rsid w:val="00780592"/>
    <w:rsid w:val="00780882"/>
    <w:rsid w:val="00780A57"/>
    <w:rsid w:val="00780FD7"/>
    <w:rsid w:val="00781066"/>
    <w:rsid w:val="00781077"/>
    <w:rsid w:val="0078125D"/>
    <w:rsid w:val="007813BA"/>
    <w:rsid w:val="00781587"/>
    <w:rsid w:val="007817C2"/>
    <w:rsid w:val="007818E4"/>
    <w:rsid w:val="007819E4"/>
    <w:rsid w:val="00781A42"/>
    <w:rsid w:val="00781EEA"/>
    <w:rsid w:val="007822EC"/>
    <w:rsid w:val="007824D8"/>
    <w:rsid w:val="0078253C"/>
    <w:rsid w:val="0078254E"/>
    <w:rsid w:val="00782639"/>
    <w:rsid w:val="00782A5D"/>
    <w:rsid w:val="00782B1B"/>
    <w:rsid w:val="00782DC5"/>
    <w:rsid w:val="00783165"/>
    <w:rsid w:val="00783300"/>
    <w:rsid w:val="00783357"/>
    <w:rsid w:val="0078336E"/>
    <w:rsid w:val="0078342B"/>
    <w:rsid w:val="00783AD4"/>
    <w:rsid w:val="00783D32"/>
    <w:rsid w:val="00783D91"/>
    <w:rsid w:val="00783EA2"/>
    <w:rsid w:val="0078402E"/>
    <w:rsid w:val="007840A7"/>
    <w:rsid w:val="00784306"/>
    <w:rsid w:val="007846DA"/>
    <w:rsid w:val="007846EE"/>
    <w:rsid w:val="007847BE"/>
    <w:rsid w:val="007848C4"/>
    <w:rsid w:val="00784C66"/>
    <w:rsid w:val="00784CD7"/>
    <w:rsid w:val="00784E4E"/>
    <w:rsid w:val="0078548F"/>
    <w:rsid w:val="0078562F"/>
    <w:rsid w:val="007856CC"/>
    <w:rsid w:val="0078573B"/>
    <w:rsid w:val="00785A13"/>
    <w:rsid w:val="00785A71"/>
    <w:rsid w:val="00785B15"/>
    <w:rsid w:val="00785D21"/>
    <w:rsid w:val="00785F73"/>
    <w:rsid w:val="00785F80"/>
    <w:rsid w:val="00785F94"/>
    <w:rsid w:val="00785FF1"/>
    <w:rsid w:val="0078646B"/>
    <w:rsid w:val="0078681B"/>
    <w:rsid w:val="00786B99"/>
    <w:rsid w:val="00786DBC"/>
    <w:rsid w:val="0078704C"/>
    <w:rsid w:val="0078706A"/>
    <w:rsid w:val="007872B5"/>
    <w:rsid w:val="007872FC"/>
    <w:rsid w:val="0078755A"/>
    <w:rsid w:val="00787B08"/>
    <w:rsid w:val="00787C71"/>
    <w:rsid w:val="00787D81"/>
    <w:rsid w:val="00787E3A"/>
    <w:rsid w:val="00787F39"/>
    <w:rsid w:val="00790340"/>
    <w:rsid w:val="00790790"/>
    <w:rsid w:val="00790ADE"/>
    <w:rsid w:val="00790F26"/>
    <w:rsid w:val="00791248"/>
    <w:rsid w:val="00791316"/>
    <w:rsid w:val="00791575"/>
    <w:rsid w:val="007915AB"/>
    <w:rsid w:val="00791744"/>
    <w:rsid w:val="007919D9"/>
    <w:rsid w:val="00791C77"/>
    <w:rsid w:val="00792511"/>
    <w:rsid w:val="0079252B"/>
    <w:rsid w:val="00792726"/>
    <w:rsid w:val="00792986"/>
    <w:rsid w:val="0079298A"/>
    <w:rsid w:val="00792A56"/>
    <w:rsid w:val="00792B45"/>
    <w:rsid w:val="00792BA4"/>
    <w:rsid w:val="00792D86"/>
    <w:rsid w:val="00792E59"/>
    <w:rsid w:val="00792E73"/>
    <w:rsid w:val="007930E5"/>
    <w:rsid w:val="0079337D"/>
    <w:rsid w:val="007933C4"/>
    <w:rsid w:val="00793441"/>
    <w:rsid w:val="007937B9"/>
    <w:rsid w:val="0079385F"/>
    <w:rsid w:val="007939F5"/>
    <w:rsid w:val="00793AC4"/>
    <w:rsid w:val="007941D3"/>
    <w:rsid w:val="007943B0"/>
    <w:rsid w:val="007948D5"/>
    <w:rsid w:val="007949C1"/>
    <w:rsid w:val="0079501F"/>
    <w:rsid w:val="00795189"/>
    <w:rsid w:val="0079523B"/>
    <w:rsid w:val="007953BB"/>
    <w:rsid w:val="00795425"/>
    <w:rsid w:val="0079542A"/>
    <w:rsid w:val="00795528"/>
    <w:rsid w:val="0079583F"/>
    <w:rsid w:val="00795961"/>
    <w:rsid w:val="007959E2"/>
    <w:rsid w:val="00795BF0"/>
    <w:rsid w:val="00795E56"/>
    <w:rsid w:val="00795E95"/>
    <w:rsid w:val="00796027"/>
    <w:rsid w:val="0079613B"/>
    <w:rsid w:val="007962D1"/>
    <w:rsid w:val="007964B2"/>
    <w:rsid w:val="00796CBA"/>
    <w:rsid w:val="00797212"/>
    <w:rsid w:val="00797434"/>
    <w:rsid w:val="00797504"/>
    <w:rsid w:val="0079757D"/>
    <w:rsid w:val="00797B0C"/>
    <w:rsid w:val="00797C82"/>
    <w:rsid w:val="00797F0D"/>
    <w:rsid w:val="007A00F4"/>
    <w:rsid w:val="007A0AEB"/>
    <w:rsid w:val="007A0CED"/>
    <w:rsid w:val="007A0E8D"/>
    <w:rsid w:val="007A10B6"/>
    <w:rsid w:val="007A13EE"/>
    <w:rsid w:val="007A15EE"/>
    <w:rsid w:val="007A17AF"/>
    <w:rsid w:val="007A1EC0"/>
    <w:rsid w:val="007A207B"/>
    <w:rsid w:val="007A21DD"/>
    <w:rsid w:val="007A25E3"/>
    <w:rsid w:val="007A2779"/>
    <w:rsid w:val="007A2B1C"/>
    <w:rsid w:val="007A2CDD"/>
    <w:rsid w:val="007A32F4"/>
    <w:rsid w:val="007A33B6"/>
    <w:rsid w:val="007A341F"/>
    <w:rsid w:val="007A3536"/>
    <w:rsid w:val="007A354B"/>
    <w:rsid w:val="007A37B1"/>
    <w:rsid w:val="007A39FF"/>
    <w:rsid w:val="007A3C6F"/>
    <w:rsid w:val="007A413E"/>
    <w:rsid w:val="007A4164"/>
    <w:rsid w:val="007A4358"/>
    <w:rsid w:val="007A4768"/>
    <w:rsid w:val="007A477A"/>
    <w:rsid w:val="007A4996"/>
    <w:rsid w:val="007A4B0C"/>
    <w:rsid w:val="007A4F4A"/>
    <w:rsid w:val="007A5054"/>
    <w:rsid w:val="007A542F"/>
    <w:rsid w:val="007A5810"/>
    <w:rsid w:val="007A5AE4"/>
    <w:rsid w:val="007A5CA3"/>
    <w:rsid w:val="007A5CD7"/>
    <w:rsid w:val="007A5F15"/>
    <w:rsid w:val="007A6179"/>
    <w:rsid w:val="007A6582"/>
    <w:rsid w:val="007A6626"/>
    <w:rsid w:val="007A674F"/>
    <w:rsid w:val="007A67E5"/>
    <w:rsid w:val="007A6933"/>
    <w:rsid w:val="007A6A95"/>
    <w:rsid w:val="007A6DB6"/>
    <w:rsid w:val="007A71EE"/>
    <w:rsid w:val="007A7452"/>
    <w:rsid w:val="007A7633"/>
    <w:rsid w:val="007A77D3"/>
    <w:rsid w:val="007A7C3D"/>
    <w:rsid w:val="007A7E0F"/>
    <w:rsid w:val="007A7F2F"/>
    <w:rsid w:val="007B0027"/>
    <w:rsid w:val="007B0129"/>
    <w:rsid w:val="007B013A"/>
    <w:rsid w:val="007B0216"/>
    <w:rsid w:val="007B02C1"/>
    <w:rsid w:val="007B0BDB"/>
    <w:rsid w:val="007B0DB4"/>
    <w:rsid w:val="007B116E"/>
    <w:rsid w:val="007B15ED"/>
    <w:rsid w:val="007B1AEE"/>
    <w:rsid w:val="007B1E09"/>
    <w:rsid w:val="007B1EA1"/>
    <w:rsid w:val="007B1F3E"/>
    <w:rsid w:val="007B20E3"/>
    <w:rsid w:val="007B225A"/>
    <w:rsid w:val="007B228E"/>
    <w:rsid w:val="007B260E"/>
    <w:rsid w:val="007B2B00"/>
    <w:rsid w:val="007B2C74"/>
    <w:rsid w:val="007B2E4B"/>
    <w:rsid w:val="007B2F7B"/>
    <w:rsid w:val="007B2FEB"/>
    <w:rsid w:val="007B32CC"/>
    <w:rsid w:val="007B3794"/>
    <w:rsid w:val="007B387D"/>
    <w:rsid w:val="007B3BAB"/>
    <w:rsid w:val="007B407D"/>
    <w:rsid w:val="007B4252"/>
    <w:rsid w:val="007B42C4"/>
    <w:rsid w:val="007B42DF"/>
    <w:rsid w:val="007B43B4"/>
    <w:rsid w:val="007B4738"/>
    <w:rsid w:val="007B48A0"/>
    <w:rsid w:val="007B48D0"/>
    <w:rsid w:val="007B5115"/>
    <w:rsid w:val="007B523D"/>
    <w:rsid w:val="007B5456"/>
    <w:rsid w:val="007B56D9"/>
    <w:rsid w:val="007B5F9E"/>
    <w:rsid w:val="007B609C"/>
    <w:rsid w:val="007B61D9"/>
    <w:rsid w:val="007B628B"/>
    <w:rsid w:val="007B6A29"/>
    <w:rsid w:val="007B6B5B"/>
    <w:rsid w:val="007B6FD6"/>
    <w:rsid w:val="007B7055"/>
    <w:rsid w:val="007B706C"/>
    <w:rsid w:val="007B7350"/>
    <w:rsid w:val="007B77EC"/>
    <w:rsid w:val="007B7B20"/>
    <w:rsid w:val="007B7BB7"/>
    <w:rsid w:val="007B7BBD"/>
    <w:rsid w:val="007B7BF4"/>
    <w:rsid w:val="007B7E01"/>
    <w:rsid w:val="007B7E54"/>
    <w:rsid w:val="007B7F45"/>
    <w:rsid w:val="007C005F"/>
    <w:rsid w:val="007C00F3"/>
    <w:rsid w:val="007C077B"/>
    <w:rsid w:val="007C0C9B"/>
    <w:rsid w:val="007C1A27"/>
    <w:rsid w:val="007C1BD3"/>
    <w:rsid w:val="007C1C00"/>
    <w:rsid w:val="007C1EEF"/>
    <w:rsid w:val="007C2010"/>
    <w:rsid w:val="007C20F6"/>
    <w:rsid w:val="007C22CC"/>
    <w:rsid w:val="007C2473"/>
    <w:rsid w:val="007C2821"/>
    <w:rsid w:val="007C2897"/>
    <w:rsid w:val="007C290A"/>
    <w:rsid w:val="007C2CF6"/>
    <w:rsid w:val="007C30FB"/>
    <w:rsid w:val="007C3295"/>
    <w:rsid w:val="007C359C"/>
    <w:rsid w:val="007C35A8"/>
    <w:rsid w:val="007C3600"/>
    <w:rsid w:val="007C38BF"/>
    <w:rsid w:val="007C38E3"/>
    <w:rsid w:val="007C3EAE"/>
    <w:rsid w:val="007C3ED4"/>
    <w:rsid w:val="007C4121"/>
    <w:rsid w:val="007C4302"/>
    <w:rsid w:val="007C4571"/>
    <w:rsid w:val="007C473F"/>
    <w:rsid w:val="007C4B63"/>
    <w:rsid w:val="007C4E3B"/>
    <w:rsid w:val="007C513F"/>
    <w:rsid w:val="007C519B"/>
    <w:rsid w:val="007C52A4"/>
    <w:rsid w:val="007C5741"/>
    <w:rsid w:val="007C5747"/>
    <w:rsid w:val="007C58FE"/>
    <w:rsid w:val="007C59A8"/>
    <w:rsid w:val="007C5B38"/>
    <w:rsid w:val="007C5C54"/>
    <w:rsid w:val="007C5CB4"/>
    <w:rsid w:val="007C60E4"/>
    <w:rsid w:val="007C62DC"/>
    <w:rsid w:val="007C636D"/>
    <w:rsid w:val="007C64AB"/>
    <w:rsid w:val="007C6B8B"/>
    <w:rsid w:val="007C6D35"/>
    <w:rsid w:val="007C6DEF"/>
    <w:rsid w:val="007C6FCB"/>
    <w:rsid w:val="007C7481"/>
    <w:rsid w:val="007C7494"/>
    <w:rsid w:val="007C7619"/>
    <w:rsid w:val="007C7ED6"/>
    <w:rsid w:val="007C7F34"/>
    <w:rsid w:val="007D028B"/>
    <w:rsid w:val="007D0309"/>
    <w:rsid w:val="007D0914"/>
    <w:rsid w:val="007D0A74"/>
    <w:rsid w:val="007D0C36"/>
    <w:rsid w:val="007D0CF3"/>
    <w:rsid w:val="007D13F5"/>
    <w:rsid w:val="007D1BD6"/>
    <w:rsid w:val="007D2262"/>
    <w:rsid w:val="007D22EF"/>
    <w:rsid w:val="007D25F1"/>
    <w:rsid w:val="007D2696"/>
    <w:rsid w:val="007D2CA3"/>
    <w:rsid w:val="007D2F31"/>
    <w:rsid w:val="007D3068"/>
    <w:rsid w:val="007D32BF"/>
    <w:rsid w:val="007D3336"/>
    <w:rsid w:val="007D34A8"/>
    <w:rsid w:val="007D380E"/>
    <w:rsid w:val="007D3A05"/>
    <w:rsid w:val="007D3B38"/>
    <w:rsid w:val="007D438F"/>
    <w:rsid w:val="007D4547"/>
    <w:rsid w:val="007D4881"/>
    <w:rsid w:val="007D497D"/>
    <w:rsid w:val="007D4D4C"/>
    <w:rsid w:val="007D501F"/>
    <w:rsid w:val="007D517F"/>
    <w:rsid w:val="007D597C"/>
    <w:rsid w:val="007D5A43"/>
    <w:rsid w:val="007D5A8E"/>
    <w:rsid w:val="007D5FF9"/>
    <w:rsid w:val="007D63E5"/>
    <w:rsid w:val="007D653C"/>
    <w:rsid w:val="007D65CF"/>
    <w:rsid w:val="007D65FB"/>
    <w:rsid w:val="007D6722"/>
    <w:rsid w:val="007D68E4"/>
    <w:rsid w:val="007D6E08"/>
    <w:rsid w:val="007D7215"/>
    <w:rsid w:val="007D762A"/>
    <w:rsid w:val="007D7669"/>
    <w:rsid w:val="007D76B7"/>
    <w:rsid w:val="007D7AFB"/>
    <w:rsid w:val="007D7B3B"/>
    <w:rsid w:val="007D7C57"/>
    <w:rsid w:val="007D7CCC"/>
    <w:rsid w:val="007D7CFD"/>
    <w:rsid w:val="007D7F69"/>
    <w:rsid w:val="007D7FC0"/>
    <w:rsid w:val="007E0016"/>
    <w:rsid w:val="007E0280"/>
    <w:rsid w:val="007E04DD"/>
    <w:rsid w:val="007E06D5"/>
    <w:rsid w:val="007E08E8"/>
    <w:rsid w:val="007E1871"/>
    <w:rsid w:val="007E1ECC"/>
    <w:rsid w:val="007E2031"/>
    <w:rsid w:val="007E21E9"/>
    <w:rsid w:val="007E21EA"/>
    <w:rsid w:val="007E246D"/>
    <w:rsid w:val="007E2518"/>
    <w:rsid w:val="007E2696"/>
    <w:rsid w:val="007E28D8"/>
    <w:rsid w:val="007E2A14"/>
    <w:rsid w:val="007E309F"/>
    <w:rsid w:val="007E39A4"/>
    <w:rsid w:val="007E39B4"/>
    <w:rsid w:val="007E3AFD"/>
    <w:rsid w:val="007E3BC0"/>
    <w:rsid w:val="007E3D4B"/>
    <w:rsid w:val="007E3DA8"/>
    <w:rsid w:val="007E40A6"/>
    <w:rsid w:val="007E40CF"/>
    <w:rsid w:val="007E4173"/>
    <w:rsid w:val="007E4963"/>
    <w:rsid w:val="007E4A61"/>
    <w:rsid w:val="007E54D5"/>
    <w:rsid w:val="007E5957"/>
    <w:rsid w:val="007E59FA"/>
    <w:rsid w:val="007E5B2B"/>
    <w:rsid w:val="007E5DEA"/>
    <w:rsid w:val="007E60B9"/>
    <w:rsid w:val="007E61C8"/>
    <w:rsid w:val="007E624C"/>
    <w:rsid w:val="007E6482"/>
    <w:rsid w:val="007E6630"/>
    <w:rsid w:val="007E66E9"/>
    <w:rsid w:val="007E6BF3"/>
    <w:rsid w:val="007E6E85"/>
    <w:rsid w:val="007E714D"/>
    <w:rsid w:val="007E71F9"/>
    <w:rsid w:val="007E73A5"/>
    <w:rsid w:val="007E73A7"/>
    <w:rsid w:val="007E7A84"/>
    <w:rsid w:val="007E7A98"/>
    <w:rsid w:val="007E7B7F"/>
    <w:rsid w:val="007E7C96"/>
    <w:rsid w:val="007E7D33"/>
    <w:rsid w:val="007E7FE5"/>
    <w:rsid w:val="007F0332"/>
    <w:rsid w:val="007F0567"/>
    <w:rsid w:val="007F05B3"/>
    <w:rsid w:val="007F05EB"/>
    <w:rsid w:val="007F06F0"/>
    <w:rsid w:val="007F07B7"/>
    <w:rsid w:val="007F0A1E"/>
    <w:rsid w:val="007F0CD6"/>
    <w:rsid w:val="007F0FAE"/>
    <w:rsid w:val="007F0FD6"/>
    <w:rsid w:val="007F0FDD"/>
    <w:rsid w:val="007F0FE6"/>
    <w:rsid w:val="007F1361"/>
    <w:rsid w:val="007F15E6"/>
    <w:rsid w:val="007F161A"/>
    <w:rsid w:val="007F180D"/>
    <w:rsid w:val="007F1B1C"/>
    <w:rsid w:val="007F1C78"/>
    <w:rsid w:val="007F2445"/>
    <w:rsid w:val="007F24A2"/>
    <w:rsid w:val="007F24FA"/>
    <w:rsid w:val="007F29A6"/>
    <w:rsid w:val="007F2A65"/>
    <w:rsid w:val="007F3151"/>
    <w:rsid w:val="007F340E"/>
    <w:rsid w:val="007F3508"/>
    <w:rsid w:val="007F3AE7"/>
    <w:rsid w:val="007F3DD9"/>
    <w:rsid w:val="007F3F16"/>
    <w:rsid w:val="007F4130"/>
    <w:rsid w:val="007F47FD"/>
    <w:rsid w:val="007F4868"/>
    <w:rsid w:val="007F4E36"/>
    <w:rsid w:val="007F4F3D"/>
    <w:rsid w:val="007F50FA"/>
    <w:rsid w:val="007F5187"/>
    <w:rsid w:val="007F528E"/>
    <w:rsid w:val="007F5414"/>
    <w:rsid w:val="007F542F"/>
    <w:rsid w:val="007F5641"/>
    <w:rsid w:val="007F56B7"/>
    <w:rsid w:val="007F5A63"/>
    <w:rsid w:val="007F5A70"/>
    <w:rsid w:val="007F5CFF"/>
    <w:rsid w:val="007F5D0B"/>
    <w:rsid w:val="007F6125"/>
    <w:rsid w:val="007F6135"/>
    <w:rsid w:val="007F6150"/>
    <w:rsid w:val="007F6311"/>
    <w:rsid w:val="007F63DE"/>
    <w:rsid w:val="007F64AC"/>
    <w:rsid w:val="007F6570"/>
    <w:rsid w:val="007F6842"/>
    <w:rsid w:val="007F68DA"/>
    <w:rsid w:val="007F6BD6"/>
    <w:rsid w:val="007F6BE4"/>
    <w:rsid w:val="007F6CEA"/>
    <w:rsid w:val="007F711C"/>
    <w:rsid w:val="007F7472"/>
    <w:rsid w:val="007F791D"/>
    <w:rsid w:val="007F793D"/>
    <w:rsid w:val="007F7D84"/>
    <w:rsid w:val="007F7E50"/>
    <w:rsid w:val="00800022"/>
    <w:rsid w:val="00800313"/>
    <w:rsid w:val="0080066E"/>
    <w:rsid w:val="008006DB"/>
    <w:rsid w:val="008007A1"/>
    <w:rsid w:val="00800A30"/>
    <w:rsid w:val="00800A3B"/>
    <w:rsid w:val="00800BEC"/>
    <w:rsid w:val="00800CFA"/>
    <w:rsid w:val="00800E34"/>
    <w:rsid w:val="00800F69"/>
    <w:rsid w:val="008010B7"/>
    <w:rsid w:val="0080134C"/>
    <w:rsid w:val="008018F4"/>
    <w:rsid w:val="00801BAB"/>
    <w:rsid w:val="00801CA7"/>
    <w:rsid w:val="00801F27"/>
    <w:rsid w:val="00802437"/>
    <w:rsid w:val="0080250A"/>
    <w:rsid w:val="00802845"/>
    <w:rsid w:val="008028B7"/>
    <w:rsid w:val="00802BB3"/>
    <w:rsid w:val="008030D1"/>
    <w:rsid w:val="00803210"/>
    <w:rsid w:val="008036EB"/>
    <w:rsid w:val="0080413B"/>
    <w:rsid w:val="008049AE"/>
    <w:rsid w:val="00804A46"/>
    <w:rsid w:val="00804E8A"/>
    <w:rsid w:val="00804F01"/>
    <w:rsid w:val="0080501C"/>
    <w:rsid w:val="008050EF"/>
    <w:rsid w:val="0080557E"/>
    <w:rsid w:val="008056CC"/>
    <w:rsid w:val="008056EF"/>
    <w:rsid w:val="00805747"/>
    <w:rsid w:val="00805CA3"/>
    <w:rsid w:val="00805D71"/>
    <w:rsid w:val="00805DA8"/>
    <w:rsid w:val="00805F50"/>
    <w:rsid w:val="008060D1"/>
    <w:rsid w:val="0080614F"/>
    <w:rsid w:val="008064FF"/>
    <w:rsid w:val="00806590"/>
    <w:rsid w:val="008069BE"/>
    <w:rsid w:val="00806A86"/>
    <w:rsid w:val="00806A8F"/>
    <w:rsid w:val="00806D07"/>
    <w:rsid w:val="00806E3B"/>
    <w:rsid w:val="00806E87"/>
    <w:rsid w:val="00806EFD"/>
    <w:rsid w:val="00807025"/>
    <w:rsid w:val="0080780F"/>
    <w:rsid w:val="00807E1B"/>
    <w:rsid w:val="00810321"/>
    <w:rsid w:val="008106A6"/>
    <w:rsid w:val="00810869"/>
    <w:rsid w:val="0081098A"/>
    <w:rsid w:val="00810C64"/>
    <w:rsid w:val="00810FAF"/>
    <w:rsid w:val="0081109B"/>
    <w:rsid w:val="008114FD"/>
    <w:rsid w:val="00811541"/>
    <w:rsid w:val="00811678"/>
    <w:rsid w:val="008116DC"/>
    <w:rsid w:val="008117AD"/>
    <w:rsid w:val="00811820"/>
    <w:rsid w:val="00811CAC"/>
    <w:rsid w:val="00811ED3"/>
    <w:rsid w:val="00811F1F"/>
    <w:rsid w:val="008120D0"/>
    <w:rsid w:val="0081223B"/>
    <w:rsid w:val="0081227B"/>
    <w:rsid w:val="008123B3"/>
    <w:rsid w:val="0081302F"/>
    <w:rsid w:val="00813060"/>
    <w:rsid w:val="008131E0"/>
    <w:rsid w:val="008133D4"/>
    <w:rsid w:val="0081357C"/>
    <w:rsid w:val="0081380A"/>
    <w:rsid w:val="008138B2"/>
    <w:rsid w:val="008138B5"/>
    <w:rsid w:val="00813AB2"/>
    <w:rsid w:val="00813B23"/>
    <w:rsid w:val="00813B56"/>
    <w:rsid w:val="00813B78"/>
    <w:rsid w:val="00813CBC"/>
    <w:rsid w:val="00813F5F"/>
    <w:rsid w:val="00814E54"/>
    <w:rsid w:val="00815222"/>
    <w:rsid w:val="008154E1"/>
    <w:rsid w:val="0081555E"/>
    <w:rsid w:val="008155D3"/>
    <w:rsid w:val="00815678"/>
    <w:rsid w:val="0081596F"/>
    <w:rsid w:val="00815B57"/>
    <w:rsid w:val="00815EC6"/>
    <w:rsid w:val="008160C3"/>
    <w:rsid w:val="008163FC"/>
    <w:rsid w:val="008164D9"/>
    <w:rsid w:val="00816576"/>
    <w:rsid w:val="008166DD"/>
    <w:rsid w:val="00816922"/>
    <w:rsid w:val="00816ABA"/>
    <w:rsid w:val="00816C0A"/>
    <w:rsid w:val="00816F88"/>
    <w:rsid w:val="00817020"/>
    <w:rsid w:val="00817212"/>
    <w:rsid w:val="0081727A"/>
    <w:rsid w:val="00817317"/>
    <w:rsid w:val="0081736E"/>
    <w:rsid w:val="00817432"/>
    <w:rsid w:val="0081773C"/>
    <w:rsid w:val="008177A6"/>
    <w:rsid w:val="00817A1F"/>
    <w:rsid w:val="00817AAF"/>
    <w:rsid w:val="00817DDE"/>
    <w:rsid w:val="00817E44"/>
    <w:rsid w:val="0082019D"/>
    <w:rsid w:val="0082021E"/>
    <w:rsid w:val="008202D1"/>
    <w:rsid w:val="008205D5"/>
    <w:rsid w:val="00820713"/>
    <w:rsid w:val="00820998"/>
    <w:rsid w:val="008209CD"/>
    <w:rsid w:val="00820EB5"/>
    <w:rsid w:val="008211E7"/>
    <w:rsid w:val="00821354"/>
    <w:rsid w:val="008220FB"/>
    <w:rsid w:val="0082212B"/>
    <w:rsid w:val="00822160"/>
    <w:rsid w:val="00822301"/>
    <w:rsid w:val="00822635"/>
    <w:rsid w:val="00822742"/>
    <w:rsid w:val="00822E98"/>
    <w:rsid w:val="00822FCB"/>
    <w:rsid w:val="008233DC"/>
    <w:rsid w:val="008234D7"/>
    <w:rsid w:val="00823843"/>
    <w:rsid w:val="008238FA"/>
    <w:rsid w:val="0082396B"/>
    <w:rsid w:val="008239DE"/>
    <w:rsid w:val="00823E1A"/>
    <w:rsid w:val="00823FC1"/>
    <w:rsid w:val="0082439F"/>
    <w:rsid w:val="008246CA"/>
    <w:rsid w:val="00824D4B"/>
    <w:rsid w:val="00824E11"/>
    <w:rsid w:val="00825015"/>
    <w:rsid w:val="00825082"/>
    <w:rsid w:val="008259A4"/>
    <w:rsid w:val="008259D9"/>
    <w:rsid w:val="00825A1E"/>
    <w:rsid w:val="00825A4B"/>
    <w:rsid w:val="00825C00"/>
    <w:rsid w:val="00825FF9"/>
    <w:rsid w:val="008263AC"/>
    <w:rsid w:val="008263BD"/>
    <w:rsid w:val="008265CE"/>
    <w:rsid w:val="0082671D"/>
    <w:rsid w:val="0082691C"/>
    <w:rsid w:val="00826969"/>
    <w:rsid w:val="008269D3"/>
    <w:rsid w:val="00826A74"/>
    <w:rsid w:val="00826B7C"/>
    <w:rsid w:val="008270C9"/>
    <w:rsid w:val="00827104"/>
    <w:rsid w:val="00827310"/>
    <w:rsid w:val="0082779E"/>
    <w:rsid w:val="00827A30"/>
    <w:rsid w:val="00827A85"/>
    <w:rsid w:val="00827AA6"/>
    <w:rsid w:val="00827AB8"/>
    <w:rsid w:val="00827B3F"/>
    <w:rsid w:val="00827D9F"/>
    <w:rsid w:val="00827DC9"/>
    <w:rsid w:val="00827DD2"/>
    <w:rsid w:val="00827E23"/>
    <w:rsid w:val="00827FDF"/>
    <w:rsid w:val="008300A5"/>
    <w:rsid w:val="00830231"/>
    <w:rsid w:val="0083037B"/>
    <w:rsid w:val="00830910"/>
    <w:rsid w:val="00830EF4"/>
    <w:rsid w:val="00830F65"/>
    <w:rsid w:val="008310B1"/>
    <w:rsid w:val="0083122E"/>
    <w:rsid w:val="008313C8"/>
    <w:rsid w:val="008317EA"/>
    <w:rsid w:val="008319CA"/>
    <w:rsid w:val="00831F50"/>
    <w:rsid w:val="008326AF"/>
    <w:rsid w:val="00832852"/>
    <w:rsid w:val="008329FE"/>
    <w:rsid w:val="00832A0A"/>
    <w:rsid w:val="00832BDF"/>
    <w:rsid w:val="00832D94"/>
    <w:rsid w:val="00833067"/>
    <w:rsid w:val="008333A0"/>
    <w:rsid w:val="00833646"/>
    <w:rsid w:val="008336FB"/>
    <w:rsid w:val="0083378B"/>
    <w:rsid w:val="00833834"/>
    <w:rsid w:val="00833BDE"/>
    <w:rsid w:val="00833D5B"/>
    <w:rsid w:val="00833D62"/>
    <w:rsid w:val="00833DE0"/>
    <w:rsid w:val="0083417E"/>
    <w:rsid w:val="00834361"/>
    <w:rsid w:val="0083462A"/>
    <w:rsid w:val="008350A7"/>
    <w:rsid w:val="008351D9"/>
    <w:rsid w:val="00835372"/>
    <w:rsid w:val="008354C0"/>
    <w:rsid w:val="008355FE"/>
    <w:rsid w:val="00835EF2"/>
    <w:rsid w:val="008362B8"/>
    <w:rsid w:val="008362D3"/>
    <w:rsid w:val="008367CC"/>
    <w:rsid w:val="00836A63"/>
    <w:rsid w:val="00836B29"/>
    <w:rsid w:val="00836EAF"/>
    <w:rsid w:val="00836F17"/>
    <w:rsid w:val="008370A2"/>
    <w:rsid w:val="008379E2"/>
    <w:rsid w:val="00837CD1"/>
    <w:rsid w:val="00837D09"/>
    <w:rsid w:val="0084005C"/>
    <w:rsid w:val="008401C8"/>
    <w:rsid w:val="00840886"/>
    <w:rsid w:val="00840914"/>
    <w:rsid w:val="00840B57"/>
    <w:rsid w:val="0084107D"/>
    <w:rsid w:val="00841A5D"/>
    <w:rsid w:val="00841BEE"/>
    <w:rsid w:val="00841DDB"/>
    <w:rsid w:val="00841FB3"/>
    <w:rsid w:val="00842003"/>
    <w:rsid w:val="00842020"/>
    <w:rsid w:val="0084222E"/>
    <w:rsid w:val="008423FF"/>
    <w:rsid w:val="00842578"/>
    <w:rsid w:val="00842592"/>
    <w:rsid w:val="008428BB"/>
    <w:rsid w:val="00842ED3"/>
    <w:rsid w:val="00842FEA"/>
    <w:rsid w:val="008432C9"/>
    <w:rsid w:val="00843591"/>
    <w:rsid w:val="0084362F"/>
    <w:rsid w:val="00843B6D"/>
    <w:rsid w:val="00843D2B"/>
    <w:rsid w:val="00843F8A"/>
    <w:rsid w:val="008441B6"/>
    <w:rsid w:val="00844627"/>
    <w:rsid w:val="00844700"/>
    <w:rsid w:val="00844A9E"/>
    <w:rsid w:val="00844B50"/>
    <w:rsid w:val="00844C4F"/>
    <w:rsid w:val="00844F05"/>
    <w:rsid w:val="00844FC0"/>
    <w:rsid w:val="00845277"/>
    <w:rsid w:val="0084537A"/>
    <w:rsid w:val="0084542F"/>
    <w:rsid w:val="008459CB"/>
    <w:rsid w:val="00845E14"/>
    <w:rsid w:val="00845F7D"/>
    <w:rsid w:val="008467E5"/>
    <w:rsid w:val="0084694D"/>
    <w:rsid w:val="00846AE6"/>
    <w:rsid w:val="00846B0F"/>
    <w:rsid w:val="00846DA2"/>
    <w:rsid w:val="00846DB0"/>
    <w:rsid w:val="00846DD6"/>
    <w:rsid w:val="00846FAC"/>
    <w:rsid w:val="008470A1"/>
    <w:rsid w:val="008470F7"/>
    <w:rsid w:val="00847223"/>
    <w:rsid w:val="00847458"/>
    <w:rsid w:val="00847503"/>
    <w:rsid w:val="008475E8"/>
    <w:rsid w:val="00847936"/>
    <w:rsid w:val="00847F77"/>
    <w:rsid w:val="00847F7A"/>
    <w:rsid w:val="00850067"/>
    <w:rsid w:val="00850566"/>
    <w:rsid w:val="008505C9"/>
    <w:rsid w:val="00850666"/>
    <w:rsid w:val="00850730"/>
    <w:rsid w:val="0085082C"/>
    <w:rsid w:val="00850E17"/>
    <w:rsid w:val="00851193"/>
    <w:rsid w:val="00851DA0"/>
    <w:rsid w:val="00851E66"/>
    <w:rsid w:val="008527D3"/>
    <w:rsid w:val="00852829"/>
    <w:rsid w:val="0085296F"/>
    <w:rsid w:val="00852B7C"/>
    <w:rsid w:val="00853011"/>
    <w:rsid w:val="0085307E"/>
    <w:rsid w:val="008532F4"/>
    <w:rsid w:val="00853491"/>
    <w:rsid w:val="008534A4"/>
    <w:rsid w:val="0085390A"/>
    <w:rsid w:val="00853944"/>
    <w:rsid w:val="00853A68"/>
    <w:rsid w:val="00853FAE"/>
    <w:rsid w:val="008541A8"/>
    <w:rsid w:val="008541FE"/>
    <w:rsid w:val="00854238"/>
    <w:rsid w:val="00854331"/>
    <w:rsid w:val="00854722"/>
    <w:rsid w:val="0085496D"/>
    <w:rsid w:val="0085497A"/>
    <w:rsid w:val="00854C53"/>
    <w:rsid w:val="00854FD7"/>
    <w:rsid w:val="00855008"/>
    <w:rsid w:val="008551A3"/>
    <w:rsid w:val="0085524D"/>
    <w:rsid w:val="00855413"/>
    <w:rsid w:val="008554A9"/>
    <w:rsid w:val="008558CF"/>
    <w:rsid w:val="00855909"/>
    <w:rsid w:val="00855D9E"/>
    <w:rsid w:val="00856106"/>
    <w:rsid w:val="00856445"/>
    <w:rsid w:val="00856574"/>
    <w:rsid w:val="008566F8"/>
    <w:rsid w:val="00856A11"/>
    <w:rsid w:val="00856A20"/>
    <w:rsid w:val="00856A76"/>
    <w:rsid w:val="00856F01"/>
    <w:rsid w:val="00856F85"/>
    <w:rsid w:val="008571ED"/>
    <w:rsid w:val="008572C6"/>
    <w:rsid w:val="0085733E"/>
    <w:rsid w:val="008574BA"/>
    <w:rsid w:val="00857A3B"/>
    <w:rsid w:val="00857F03"/>
    <w:rsid w:val="00857F9C"/>
    <w:rsid w:val="00857FEB"/>
    <w:rsid w:val="008601EA"/>
    <w:rsid w:val="00860221"/>
    <w:rsid w:val="008608EA"/>
    <w:rsid w:val="00860FA8"/>
    <w:rsid w:val="008610C1"/>
    <w:rsid w:val="008611F6"/>
    <w:rsid w:val="00861398"/>
    <w:rsid w:val="00861A9A"/>
    <w:rsid w:val="00861B59"/>
    <w:rsid w:val="00861BA9"/>
    <w:rsid w:val="00862516"/>
    <w:rsid w:val="00862625"/>
    <w:rsid w:val="0086275F"/>
    <w:rsid w:val="008627F9"/>
    <w:rsid w:val="00862BD2"/>
    <w:rsid w:val="00862BD3"/>
    <w:rsid w:val="00862D2F"/>
    <w:rsid w:val="00862F31"/>
    <w:rsid w:val="00863435"/>
    <w:rsid w:val="0086353B"/>
    <w:rsid w:val="0086367A"/>
    <w:rsid w:val="00863737"/>
    <w:rsid w:val="00863CBC"/>
    <w:rsid w:val="00864630"/>
    <w:rsid w:val="00864733"/>
    <w:rsid w:val="00864ACD"/>
    <w:rsid w:val="00864C67"/>
    <w:rsid w:val="00864D20"/>
    <w:rsid w:val="00864E83"/>
    <w:rsid w:val="008651DC"/>
    <w:rsid w:val="00865448"/>
    <w:rsid w:val="0086566C"/>
    <w:rsid w:val="008656E1"/>
    <w:rsid w:val="008657F8"/>
    <w:rsid w:val="00865995"/>
    <w:rsid w:val="00865BCC"/>
    <w:rsid w:val="00865C36"/>
    <w:rsid w:val="00866192"/>
    <w:rsid w:val="00866307"/>
    <w:rsid w:val="00866346"/>
    <w:rsid w:val="00866883"/>
    <w:rsid w:val="008672DF"/>
    <w:rsid w:val="008674FC"/>
    <w:rsid w:val="0086777E"/>
    <w:rsid w:val="00867791"/>
    <w:rsid w:val="00867A84"/>
    <w:rsid w:val="008700F6"/>
    <w:rsid w:val="00870280"/>
    <w:rsid w:val="008703B2"/>
    <w:rsid w:val="00870782"/>
    <w:rsid w:val="00870816"/>
    <w:rsid w:val="00870AA6"/>
    <w:rsid w:val="00870AE8"/>
    <w:rsid w:val="00870B16"/>
    <w:rsid w:val="008719BC"/>
    <w:rsid w:val="0087211C"/>
    <w:rsid w:val="008723CF"/>
    <w:rsid w:val="008726BD"/>
    <w:rsid w:val="008727DA"/>
    <w:rsid w:val="00872F15"/>
    <w:rsid w:val="00872F5D"/>
    <w:rsid w:val="00873080"/>
    <w:rsid w:val="0087349F"/>
    <w:rsid w:val="00873A01"/>
    <w:rsid w:val="00873DD1"/>
    <w:rsid w:val="00874448"/>
    <w:rsid w:val="00874859"/>
    <w:rsid w:val="00874995"/>
    <w:rsid w:val="00874D5D"/>
    <w:rsid w:val="00874DD3"/>
    <w:rsid w:val="00875391"/>
    <w:rsid w:val="0087578A"/>
    <w:rsid w:val="0087584E"/>
    <w:rsid w:val="008758E2"/>
    <w:rsid w:val="00875992"/>
    <w:rsid w:val="00875B6F"/>
    <w:rsid w:val="00875D71"/>
    <w:rsid w:val="00875F11"/>
    <w:rsid w:val="00875F48"/>
    <w:rsid w:val="0087618F"/>
    <w:rsid w:val="008763D0"/>
    <w:rsid w:val="008766F6"/>
    <w:rsid w:val="00876C4D"/>
    <w:rsid w:val="00876C62"/>
    <w:rsid w:val="00877552"/>
    <w:rsid w:val="008777A9"/>
    <w:rsid w:val="00877AB1"/>
    <w:rsid w:val="00877B93"/>
    <w:rsid w:val="00880000"/>
    <w:rsid w:val="008800D5"/>
    <w:rsid w:val="0088037F"/>
    <w:rsid w:val="008807C4"/>
    <w:rsid w:val="00880DD5"/>
    <w:rsid w:val="00881003"/>
    <w:rsid w:val="008810F4"/>
    <w:rsid w:val="008813E3"/>
    <w:rsid w:val="008816F4"/>
    <w:rsid w:val="008817B5"/>
    <w:rsid w:val="00881A51"/>
    <w:rsid w:val="00881AC2"/>
    <w:rsid w:val="00881ADF"/>
    <w:rsid w:val="00881B06"/>
    <w:rsid w:val="00881D1D"/>
    <w:rsid w:val="00882440"/>
    <w:rsid w:val="00882A07"/>
    <w:rsid w:val="00882E9E"/>
    <w:rsid w:val="00883168"/>
    <w:rsid w:val="00883866"/>
    <w:rsid w:val="0088396F"/>
    <w:rsid w:val="00883D3C"/>
    <w:rsid w:val="00884445"/>
    <w:rsid w:val="00884C7F"/>
    <w:rsid w:val="00884EC8"/>
    <w:rsid w:val="00885A62"/>
    <w:rsid w:val="00885B25"/>
    <w:rsid w:val="00885CA0"/>
    <w:rsid w:val="00885E0B"/>
    <w:rsid w:val="00885E5A"/>
    <w:rsid w:val="00885F07"/>
    <w:rsid w:val="00885FD4"/>
    <w:rsid w:val="008866D5"/>
    <w:rsid w:val="00886971"/>
    <w:rsid w:val="00886B86"/>
    <w:rsid w:val="00886FB2"/>
    <w:rsid w:val="00887114"/>
    <w:rsid w:val="00887281"/>
    <w:rsid w:val="008873CB"/>
    <w:rsid w:val="00887449"/>
    <w:rsid w:val="00887562"/>
    <w:rsid w:val="008875AD"/>
    <w:rsid w:val="0088775A"/>
    <w:rsid w:val="00887A93"/>
    <w:rsid w:val="00887A9A"/>
    <w:rsid w:val="00887ED6"/>
    <w:rsid w:val="00890222"/>
    <w:rsid w:val="008905C8"/>
    <w:rsid w:val="008906C5"/>
    <w:rsid w:val="008909F1"/>
    <w:rsid w:val="00890C55"/>
    <w:rsid w:val="00891392"/>
    <w:rsid w:val="00891457"/>
    <w:rsid w:val="0089186A"/>
    <w:rsid w:val="00891A29"/>
    <w:rsid w:val="00891E0C"/>
    <w:rsid w:val="008920D1"/>
    <w:rsid w:val="00892221"/>
    <w:rsid w:val="008922DB"/>
    <w:rsid w:val="0089254A"/>
    <w:rsid w:val="00892650"/>
    <w:rsid w:val="0089269B"/>
    <w:rsid w:val="008926A6"/>
    <w:rsid w:val="008927D9"/>
    <w:rsid w:val="00892994"/>
    <w:rsid w:val="00892C6A"/>
    <w:rsid w:val="00892EA0"/>
    <w:rsid w:val="00892ED0"/>
    <w:rsid w:val="0089328C"/>
    <w:rsid w:val="00893389"/>
    <w:rsid w:val="008934C1"/>
    <w:rsid w:val="00893DEC"/>
    <w:rsid w:val="0089440D"/>
    <w:rsid w:val="008945A7"/>
    <w:rsid w:val="008947E7"/>
    <w:rsid w:val="00894C74"/>
    <w:rsid w:val="008951FE"/>
    <w:rsid w:val="008953A3"/>
    <w:rsid w:val="008954FD"/>
    <w:rsid w:val="00895BCC"/>
    <w:rsid w:val="00895C03"/>
    <w:rsid w:val="00895D5D"/>
    <w:rsid w:val="00895F0C"/>
    <w:rsid w:val="008960A6"/>
    <w:rsid w:val="008960FA"/>
    <w:rsid w:val="00896152"/>
    <w:rsid w:val="008962B8"/>
    <w:rsid w:val="0089697B"/>
    <w:rsid w:val="008969BD"/>
    <w:rsid w:val="00896BD3"/>
    <w:rsid w:val="00896ECD"/>
    <w:rsid w:val="00897676"/>
    <w:rsid w:val="00897871"/>
    <w:rsid w:val="008978A4"/>
    <w:rsid w:val="008978FC"/>
    <w:rsid w:val="00897E0B"/>
    <w:rsid w:val="008A00E6"/>
    <w:rsid w:val="008A0365"/>
    <w:rsid w:val="008A0452"/>
    <w:rsid w:val="008A04CC"/>
    <w:rsid w:val="008A06AA"/>
    <w:rsid w:val="008A07DD"/>
    <w:rsid w:val="008A0B82"/>
    <w:rsid w:val="008A0C65"/>
    <w:rsid w:val="008A0E03"/>
    <w:rsid w:val="008A1742"/>
    <w:rsid w:val="008A1DA3"/>
    <w:rsid w:val="008A1DBD"/>
    <w:rsid w:val="008A1F9D"/>
    <w:rsid w:val="008A2176"/>
    <w:rsid w:val="008A21E6"/>
    <w:rsid w:val="008A2214"/>
    <w:rsid w:val="008A229E"/>
    <w:rsid w:val="008A249A"/>
    <w:rsid w:val="008A25A1"/>
    <w:rsid w:val="008A2623"/>
    <w:rsid w:val="008A27E3"/>
    <w:rsid w:val="008A2BC1"/>
    <w:rsid w:val="008A2C93"/>
    <w:rsid w:val="008A2DF0"/>
    <w:rsid w:val="008A2DF3"/>
    <w:rsid w:val="008A2EAA"/>
    <w:rsid w:val="008A30EA"/>
    <w:rsid w:val="008A30F8"/>
    <w:rsid w:val="008A326A"/>
    <w:rsid w:val="008A3599"/>
    <w:rsid w:val="008A3984"/>
    <w:rsid w:val="008A3F66"/>
    <w:rsid w:val="008A415A"/>
    <w:rsid w:val="008A448E"/>
    <w:rsid w:val="008A44A7"/>
    <w:rsid w:val="008A4572"/>
    <w:rsid w:val="008A4712"/>
    <w:rsid w:val="008A4AEE"/>
    <w:rsid w:val="008A4CB2"/>
    <w:rsid w:val="008A4D53"/>
    <w:rsid w:val="008A4DC9"/>
    <w:rsid w:val="008A4FA9"/>
    <w:rsid w:val="008A509C"/>
    <w:rsid w:val="008A52EB"/>
    <w:rsid w:val="008A54E8"/>
    <w:rsid w:val="008A58DC"/>
    <w:rsid w:val="008A58E0"/>
    <w:rsid w:val="008A59AD"/>
    <w:rsid w:val="008A5C48"/>
    <w:rsid w:val="008A5CDB"/>
    <w:rsid w:val="008A5EB8"/>
    <w:rsid w:val="008A6200"/>
    <w:rsid w:val="008A658B"/>
    <w:rsid w:val="008A67CF"/>
    <w:rsid w:val="008A6856"/>
    <w:rsid w:val="008A6BDA"/>
    <w:rsid w:val="008A6C86"/>
    <w:rsid w:val="008A6D7D"/>
    <w:rsid w:val="008A6E14"/>
    <w:rsid w:val="008A6ECD"/>
    <w:rsid w:val="008A778B"/>
    <w:rsid w:val="008A77FB"/>
    <w:rsid w:val="008A79AA"/>
    <w:rsid w:val="008A7DC2"/>
    <w:rsid w:val="008A7FA9"/>
    <w:rsid w:val="008B041D"/>
    <w:rsid w:val="008B06ED"/>
    <w:rsid w:val="008B07F6"/>
    <w:rsid w:val="008B0883"/>
    <w:rsid w:val="008B0959"/>
    <w:rsid w:val="008B0C60"/>
    <w:rsid w:val="008B0D7C"/>
    <w:rsid w:val="008B10A9"/>
    <w:rsid w:val="008B1455"/>
    <w:rsid w:val="008B14BB"/>
    <w:rsid w:val="008B1746"/>
    <w:rsid w:val="008B19A5"/>
    <w:rsid w:val="008B1CC3"/>
    <w:rsid w:val="008B211D"/>
    <w:rsid w:val="008B22C8"/>
    <w:rsid w:val="008B2BF9"/>
    <w:rsid w:val="008B2C20"/>
    <w:rsid w:val="008B2C93"/>
    <w:rsid w:val="008B3242"/>
    <w:rsid w:val="008B3387"/>
    <w:rsid w:val="008B357F"/>
    <w:rsid w:val="008B366F"/>
    <w:rsid w:val="008B3720"/>
    <w:rsid w:val="008B3AD2"/>
    <w:rsid w:val="008B3C7C"/>
    <w:rsid w:val="008B3E15"/>
    <w:rsid w:val="008B411E"/>
    <w:rsid w:val="008B435E"/>
    <w:rsid w:val="008B4852"/>
    <w:rsid w:val="008B4946"/>
    <w:rsid w:val="008B4972"/>
    <w:rsid w:val="008B49ED"/>
    <w:rsid w:val="008B4A6E"/>
    <w:rsid w:val="008B4F6D"/>
    <w:rsid w:val="008B514A"/>
    <w:rsid w:val="008B51F5"/>
    <w:rsid w:val="008B553B"/>
    <w:rsid w:val="008B567C"/>
    <w:rsid w:val="008B568C"/>
    <w:rsid w:val="008B582C"/>
    <w:rsid w:val="008B5940"/>
    <w:rsid w:val="008B5D0D"/>
    <w:rsid w:val="008B5D5D"/>
    <w:rsid w:val="008B5EA3"/>
    <w:rsid w:val="008B60AE"/>
    <w:rsid w:val="008B60DE"/>
    <w:rsid w:val="008B613A"/>
    <w:rsid w:val="008B6568"/>
    <w:rsid w:val="008B679A"/>
    <w:rsid w:val="008B6854"/>
    <w:rsid w:val="008B6948"/>
    <w:rsid w:val="008B6E06"/>
    <w:rsid w:val="008B6F81"/>
    <w:rsid w:val="008B73EA"/>
    <w:rsid w:val="008B745C"/>
    <w:rsid w:val="008B79C9"/>
    <w:rsid w:val="008B7BC3"/>
    <w:rsid w:val="008B7E66"/>
    <w:rsid w:val="008B7F3E"/>
    <w:rsid w:val="008C011E"/>
    <w:rsid w:val="008C0305"/>
    <w:rsid w:val="008C0386"/>
    <w:rsid w:val="008C04CF"/>
    <w:rsid w:val="008C05C1"/>
    <w:rsid w:val="008C06B9"/>
    <w:rsid w:val="008C0851"/>
    <w:rsid w:val="008C0867"/>
    <w:rsid w:val="008C0AD8"/>
    <w:rsid w:val="008C0C4A"/>
    <w:rsid w:val="008C0C4E"/>
    <w:rsid w:val="008C0D52"/>
    <w:rsid w:val="008C0DBC"/>
    <w:rsid w:val="008C1001"/>
    <w:rsid w:val="008C1022"/>
    <w:rsid w:val="008C1051"/>
    <w:rsid w:val="008C1156"/>
    <w:rsid w:val="008C12D2"/>
    <w:rsid w:val="008C13C7"/>
    <w:rsid w:val="008C1909"/>
    <w:rsid w:val="008C194F"/>
    <w:rsid w:val="008C19D7"/>
    <w:rsid w:val="008C1BE0"/>
    <w:rsid w:val="008C1EA6"/>
    <w:rsid w:val="008C2800"/>
    <w:rsid w:val="008C2905"/>
    <w:rsid w:val="008C2AE4"/>
    <w:rsid w:val="008C2DFC"/>
    <w:rsid w:val="008C2E36"/>
    <w:rsid w:val="008C337D"/>
    <w:rsid w:val="008C37F1"/>
    <w:rsid w:val="008C39FD"/>
    <w:rsid w:val="008C3D7E"/>
    <w:rsid w:val="008C3E4D"/>
    <w:rsid w:val="008C4361"/>
    <w:rsid w:val="008C43F9"/>
    <w:rsid w:val="008C4776"/>
    <w:rsid w:val="008C4A8B"/>
    <w:rsid w:val="008C4C26"/>
    <w:rsid w:val="008C4E13"/>
    <w:rsid w:val="008C4EB5"/>
    <w:rsid w:val="008C500C"/>
    <w:rsid w:val="008C55C3"/>
    <w:rsid w:val="008C57D7"/>
    <w:rsid w:val="008C587C"/>
    <w:rsid w:val="008C5B33"/>
    <w:rsid w:val="008C5B3E"/>
    <w:rsid w:val="008C5E98"/>
    <w:rsid w:val="008C6125"/>
    <w:rsid w:val="008C64E0"/>
    <w:rsid w:val="008C6759"/>
    <w:rsid w:val="008C6987"/>
    <w:rsid w:val="008C69E1"/>
    <w:rsid w:val="008C6A78"/>
    <w:rsid w:val="008C6ACE"/>
    <w:rsid w:val="008C6E1E"/>
    <w:rsid w:val="008C70DC"/>
    <w:rsid w:val="008C7219"/>
    <w:rsid w:val="008C7287"/>
    <w:rsid w:val="008C72C7"/>
    <w:rsid w:val="008C761F"/>
    <w:rsid w:val="008C7641"/>
    <w:rsid w:val="008C76E6"/>
    <w:rsid w:val="008C794C"/>
    <w:rsid w:val="008C7C9D"/>
    <w:rsid w:val="008C7EB9"/>
    <w:rsid w:val="008D0042"/>
    <w:rsid w:val="008D03DB"/>
    <w:rsid w:val="008D065A"/>
    <w:rsid w:val="008D0703"/>
    <w:rsid w:val="008D0A98"/>
    <w:rsid w:val="008D0C71"/>
    <w:rsid w:val="008D0EA1"/>
    <w:rsid w:val="008D1409"/>
    <w:rsid w:val="008D1779"/>
    <w:rsid w:val="008D188D"/>
    <w:rsid w:val="008D18A3"/>
    <w:rsid w:val="008D1CF6"/>
    <w:rsid w:val="008D1F3C"/>
    <w:rsid w:val="008D2238"/>
    <w:rsid w:val="008D22E4"/>
    <w:rsid w:val="008D2664"/>
    <w:rsid w:val="008D2683"/>
    <w:rsid w:val="008D2C33"/>
    <w:rsid w:val="008D30AD"/>
    <w:rsid w:val="008D30CC"/>
    <w:rsid w:val="008D30D3"/>
    <w:rsid w:val="008D310E"/>
    <w:rsid w:val="008D333F"/>
    <w:rsid w:val="008D3847"/>
    <w:rsid w:val="008D4163"/>
    <w:rsid w:val="008D4D4B"/>
    <w:rsid w:val="008D4E03"/>
    <w:rsid w:val="008D51B0"/>
    <w:rsid w:val="008D5765"/>
    <w:rsid w:val="008D5792"/>
    <w:rsid w:val="008D579E"/>
    <w:rsid w:val="008D58DE"/>
    <w:rsid w:val="008D5980"/>
    <w:rsid w:val="008D59EA"/>
    <w:rsid w:val="008D5C61"/>
    <w:rsid w:val="008D5D83"/>
    <w:rsid w:val="008D5E2A"/>
    <w:rsid w:val="008D6010"/>
    <w:rsid w:val="008D6033"/>
    <w:rsid w:val="008D6060"/>
    <w:rsid w:val="008D63F3"/>
    <w:rsid w:val="008D645E"/>
    <w:rsid w:val="008D6C17"/>
    <w:rsid w:val="008D6C70"/>
    <w:rsid w:val="008D6D84"/>
    <w:rsid w:val="008D739F"/>
    <w:rsid w:val="008D7416"/>
    <w:rsid w:val="008D7666"/>
    <w:rsid w:val="008D7A4E"/>
    <w:rsid w:val="008D7F22"/>
    <w:rsid w:val="008E00B3"/>
    <w:rsid w:val="008E0531"/>
    <w:rsid w:val="008E0547"/>
    <w:rsid w:val="008E0AD9"/>
    <w:rsid w:val="008E0AE2"/>
    <w:rsid w:val="008E0E34"/>
    <w:rsid w:val="008E0FD0"/>
    <w:rsid w:val="008E117B"/>
    <w:rsid w:val="008E17DF"/>
    <w:rsid w:val="008E1B6C"/>
    <w:rsid w:val="008E1BE6"/>
    <w:rsid w:val="008E1C80"/>
    <w:rsid w:val="008E1F9E"/>
    <w:rsid w:val="008E2397"/>
    <w:rsid w:val="008E23C6"/>
    <w:rsid w:val="008E2430"/>
    <w:rsid w:val="008E2554"/>
    <w:rsid w:val="008E26F1"/>
    <w:rsid w:val="008E2842"/>
    <w:rsid w:val="008E2B49"/>
    <w:rsid w:val="008E2BE7"/>
    <w:rsid w:val="008E3100"/>
    <w:rsid w:val="008E3B98"/>
    <w:rsid w:val="008E3D12"/>
    <w:rsid w:val="008E3D89"/>
    <w:rsid w:val="008E3F8B"/>
    <w:rsid w:val="008E40E0"/>
    <w:rsid w:val="008E4698"/>
    <w:rsid w:val="008E474D"/>
    <w:rsid w:val="008E49D9"/>
    <w:rsid w:val="008E4A6B"/>
    <w:rsid w:val="008E4ADF"/>
    <w:rsid w:val="008E4C9C"/>
    <w:rsid w:val="008E4D96"/>
    <w:rsid w:val="008E53A1"/>
    <w:rsid w:val="008E53C0"/>
    <w:rsid w:val="008E581D"/>
    <w:rsid w:val="008E5C21"/>
    <w:rsid w:val="008E5C4F"/>
    <w:rsid w:val="008E5E1E"/>
    <w:rsid w:val="008E60DD"/>
    <w:rsid w:val="008E63C9"/>
    <w:rsid w:val="008E63E2"/>
    <w:rsid w:val="008E6510"/>
    <w:rsid w:val="008E6512"/>
    <w:rsid w:val="008E6742"/>
    <w:rsid w:val="008E67C0"/>
    <w:rsid w:val="008E692D"/>
    <w:rsid w:val="008E6CF5"/>
    <w:rsid w:val="008E7C19"/>
    <w:rsid w:val="008E7ECA"/>
    <w:rsid w:val="008F01D0"/>
    <w:rsid w:val="008F01F1"/>
    <w:rsid w:val="008F0541"/>
    <w:rsid w:val="008F0729"/>
    <w:rsid w:val="008F0D8E"/>
    <w:rsid w:val="008F0E90"/>
    <w:rsid w:val="008F0FAE"/>
    <w:rsid w:val="008F0FC5"/>
    <w:rsid w:val="008F14FB"/>
    <w:rsid w:val="008F150C"/>
    <w:rsid w:val="008F15F9"/>
    <w:rsid w:val="008F1AD6"/>
    <w:rsid w:val="008F1D1F"/>
    <w:rsid w:val="008F1DC5"/>
    <w:rsid w:val="008F1E9E"/>
    <w:rsid w:val="008F1EF2"/>
    <w:rsid w:val="008F2178"/>
    <w:rsid w:val="008F21CC"/>
    <w:rsid w:val="008F236C"/>
    <w:rsid w:val="008F265F"/>
    <w:rsid w:val="008F29DD"/>
    <w:rsid w:val="008F2CB2"/>
    <w:rsid w:val="008F2D2F"/>
    <w:rsid w:val="008F2E41"/>
    <w:rsid w:val="008F2FFA"/>
    <w:rsid w:val="008F343A"/>
    <w:rsid w:val="008F409D"/>
    <w:rsid w:val="008F41DA"/>
    <w:rsid w:val="008F431C"/>
    <w:rsid w:val="008F4426"/>
    <w:rsid w:val="008F4640"/>
    <w:rsid w:val="008F4684"/>
    <w:rsid w:val="008F47AF"/>
    <w:rsid w:val="008F4912"/>
    <w:rsid w:val="008F4C08"/>
    <w:rsid w:val="008F4DF4"/>
    <w:rsid w:val="008F5180"/>
    <w:rsid w:val="008F5445"/>
    <w:rsid w:val="008F5475"/>
    <w:rsid w:val="008F5513"/>
    <w:rsid w:val="008F55A0"/>
    <w:rsid w:val="008F5707"/>
    <w:rsid w:val="008F5FB1"/>
    <w:rsid w:val="008F6162"/>
    <w:rsid w:val="008F617D"/>
    <w:rsid w:val="008F6250"/>
    <w:rsid w:val="008F63A3"/>
    <w:rsid w:val="008F658C"/>
    <w:rsid w:val="008F6983"/>
    <w:rsid w:val="008F6C00"/>
    <w:rsid w:val="008F6C3B"/>
    <w:rsid w:val="008F6D73"/>
    <w:rsid w:val="008F6E6B"/>
    <w:rsid w:val="008F7225"/>
    <w:rsid w:val="008F755D"/>
    <w:rsid w:val="008F7659"/>
    <w:rsid w:val="008F78A5"/>
    <w:rsid w:val="008F7BE5"/>
    <w:rsid w:val="008F7E49"/>
    <w:rsid w:val="009000E9"/>
    <w:rsid w:val="0090010C"/>
    <w:rsid w:val="009001A6"/>
    <w:rsid w:val="009002B0"/>
    <w:rsid w:val="009005DA"/>
    <w:rsid w:val="0090068B"/>
    <w:rsid w:val="00900A6A"/>
    <w:rsid w:val="00900B4D"/>
    <w:rsid w:val="00900BFE"/>
    <w:rsid w:val="00900EEF"/>
    <w:rsid w:val="00901001"/>
    <w:rsid w:val="00901230"/>
    <w:rsid w:val="00901453"/>
    <w:rsid w:val="0090200D"/>
    <w:rsid w:val="00902014"/>
    <w:rsid w:val="0090212A"/>
    <w:rsid w:val="009021D0"/>
    <w:rsid w:val="009021DC"/>
    <w:rsid w:val="0090237B"/>
    <w:rsid w:val="0090249B"/>
    <w:rsid w:val="00902A58"/>
    <w:rsid w:val="00902B86"/>
    <w:rsid w:val="00902D3C"/>
    <w:rsid w:val="009030DE"/>
    <w:rsid w:val="009031CE"/>
    <w:rsid w:val="00903522"/>
    <w:rsid w:val="0090358D"/>
    <w:rsid w:val="00903C18"/>
    <w:rsid w:val="00903E56"/>
    <w:rsid w:val="00903FF1"/>
    <w:rsid w:val="0090413F"/>
    <w:rsid w:val="009041E1"/>
    <w:rsid w:val="009042B0"/>
    <w:rsid w:val="00904305"/>
    <w:rsid w:val="00904525"/>
    <w:rsid w:val="009046E4"/>
    <w:rsid w:val="009047EA"/>
    <w:rsid w:val="00904908"/>
    <w:rsid w:val="00904961"/>
    <w:rsid w:val="00904A58"/>
    <w:rsid w:val="00904AAD"/>
    <w:rsid w:val="00904AE8"/>
    <w:rsid w:val="00904D88"/>
    <w:rsid w:val="00904FC4"/>
    <w:rsid w:val="0090520E"/>
    <w:rsid w:val="009052F0"/>
    <w:rsid w:val="00905686"/>
    <w:rsid w:val="009058A9"/>
    <w:rsid w:val="00905976"/>
    <w:rsid w:val="009059E1"/>
    <w:rsid w:val="00905EE3"/>
    <w:rsid w:val="00906A45"/>
    <w:rsid w:val="00906BCF"/>
    <w:rsid w:val="00906BF0"/>
    <w:rsid w:val="00906DDB"/>
    <w:rsid w:val="00906F3D"/>
    <w:rsid w:val="009070FF"/>
    <w:rsid w:val="0090722B"/>
    <w:rsid w:val="00907A1A"/>
    <w:rsid w:val="00907D3E"/>
    <w:rsid w:val="00907D82"/>
    <w:rsid w:val="0091009B"/>
    <w:rsid w:val="0091024A"/>
    <w:rsid w:val="00910535"/>
    <w:rsid w:val="009107C1"/>
    <w:rsid w:val="00910983"/>
    <w:rsid w:val="00910CEC"/>
    <w:rsid w:val="00910E34"/>
    <w:rsid w:val="00910FAF"/>
    <w:rsid w:val="009110B3"/>
    <w:rsid w:val="009110F5"/>
    <w:rsid w:val="009115EE"/>
    <w:rsid w:val="0091184C"/>
    <w:rsid w:val="009119AA"/>
    <w:rsid w:val="00911ACB"/>
    <w:rsid w:val="00911E1A"/>
    <w:rsid w:val="00912267"/>
    <w:rsid w:val="009122FB"/>
    <w:rsid w:val="00912435"/>
    <w:rsid w:val="00912617"/>
    <w:rsid w:val="00912758"/>
    <w:rsid w:val="00912825"/>
    <w:rsid w:val="00912A0F"/>
    <w:rsid w:val="00912F40"/>
    <w:rsid w:val="00912F87"/>
    <w:rsid w:val="0091302C"/>
    <w:rsid w:val="009130C3"/>
    <w:rsid w:val="009130F2"/>
    <w:rsid w:val="0091374A"/>
    <w:rsid w:val="00913877"/>
    <w:rsid w:val="00913A82"/>
    <w:rsid w:val="00913F8A"/>
    <w:rsid w:val="00914062"/>
    <w:rsid w:val="00914480"/>
    <w:rsid w:val="0091468A"/>
    <w:rsid w:val="00914DF7"/>
    <w:rsid w:val="009152B9"/>
    <w:rsid w:val="009156C4"/>
    <w:rsid w:val="00915752"/>
    <w:rsid w:val="00915BB6"/>
    <w:rsid w:val="00916160"/>
    <w:rsid w:val="0091624F"/>
    <w:rsid w:val="00916372"/>
    <w:rsid w:val="00916458"/>
    <w:rsid w:val="00916532"/>
    <w:rsid w:val="009166E8"/>
    <w:rsid w:val="00916B56"/>
    <w:rsid w:val="00916BE2"/>
    <w:rsid w:val="00916DE4"/>
    <w:rsid w:val="00916E4A"/>
    <w:rsid w:val="00917248"/>
    <w:rsid w:val="0091728E"/>
    <w:rsid w:val="00917315"/>
    <w:rsid w:val="00917507"/>
    <w:rsid w:val="0091755E"/>
    <w:rsid w:val="00917BD9"/>
    <w:rsid w:val="00917BFF"/>
    <w:rsid w:val="00920430"/>
    <w:rsid w:val="00920559"/>
    <w:rsid w:val="009205A3"/>
    <w:rsid w:val="009208E9"/>
    <w:rsid w:val="00920915"/>
    <w:rsid w:val="00920932"/>
    <w:rsid w:val="00920D95"/>
    <w:rsid w:val="00920EF3"/>
    <w:rsid w:val="00921178"/>
    <w:rsid w:val="009211BC"/>
    <w:rsid w:val="009211D5"/>
    <w:rsid w:val="0092128D"/>
    <w:rsid w:val="00921296"/>
    <w:rsid w:val="00921438"/>
    <w:rsid w:val="00921671"/>
    <w:rsid w:val="00921C14"/>
    <w:rsid w:val="00921C7C"/>
    <w:rsid w:val="00921DB8"/>
    <w:rsid w:val="00921F05"/>
    <w:rsid w:val="00922069"/>
    <w:rsid w:val="00922585"/>
    <w:rsid w:val="009227FB"/>
    <w:rsid w:val="00922C42"/>
    <w:rsid w:val="00922D6D"/>
    <w:rsid w:val="0092315D"/>
    <w:rsid w:val="009231B8"/>
    <w:rsid w:val="00923480"/>
    <w:rsid w:val="009238EA"/>
    <w:rsid w:val="0092398C"/>
    <w:rsid w:val="009239B1"/>
    <w:rsid w:val="00923D0F"/>
    <w:rsid w:val="00923F8D"/>
    <w:rsid w:val="009243E9"/>
    <w:rsid w:val="00924530"/>
    <w:rsid w:val="00924810"/>
    <w:rsid w:val="00924A69"/>
    <w:rsid w:val="0092519B"/>
    <w:rsid w:val="0092534B"/>
    <w:rsid w:val="00925893"/>
    <w:rsid w:val="009259C5"/>
    <w:rsid w:val="00925BD3"/>
    <w:rsid w:val="00925BF6"/>
    <w:rsid w:val="00925D04"/>
    <w:rsid w:val="00925D4F"/>
    <w:rsid w:val="00925ECF"/>
    <w:rsid w:val="00926795"/>
    <w:rsid w:val="00926821"/>
    <w:rsid w:val="00926958"/>
    <w:rsid w:val="00926D00"/>
    <w:rsid w:val="00927178"/>
    <w:rsid w:val="009271FB"/>
    <w:rsid w:val="009274FF"/>
    <w:rsid w:val="0092761A"/>
    <w:rsid w:val="00927BFB"/>
    <w:rsid w:val="00927FA7"/>
    <w:rsid w:val="0093039D"/>
    <w:rsid w:val="00930518"/>
    <w:rsid w:val="009306B1"/>
    <w:rsid w:val="009309F4"/>
    <w:rsid w:val="00930B18"/>
    <w:rsid w:val="00930B89"/>
    <w:rsid w:val="009313D1"/>
    <w:rsid w:val="00931496"/>
    <w:rsid w:val="009317AF"/>
    <w:rsid w:val="0093183C"/>
    <w:rsid w:val="00931C5C"/>
    <w:rsid w:val="0093273D"/>
    <w:rsid w:val="00932B44"/>
    <w:rsid w:val="00933135"/>
    <w:rsid w:val="009331E3"/>
    <w:rsid w:val="009342FE"/>
    <w:rsid w:val="0093478C"/>
    <w:rsid w:val="00934975"/>
    <w:rsid w:val="009349F8"/>
    <w:rsid w:val="00934BFE"/>
    <w:rsid w:val="00934DC5"/>
    <w:rsid w:val="00935CEF"/>
    <w:rsid w:val="00936096"/>
    <w:rsid w:val="009363D5"/>
    <w:rsid w:val="00936435"/>
    <w:rsid w:val="0093644B"/>
    <w:rsid w:val="00936884"/>
    <w:rsid w:val="00936C2A"/>
    <w:rsid w:val="00936CA2"/>
    <w:rsid w:val="00936CBE"/>
    <w:rsid w:val="00936DB8"/>
    <w:rsid w:val="00936ED0"/>
    <w:rsid w:val="00937094"/>
    <w:rsid w:val="00937448"/>
    <w:rsid w:val="0093751D"/>
    <w:rsid w:val="009376A3"/>
    <w:rsid w:val="009377AA"/>
    <w:rsid w:val="009377D5"/>
    <w:rsid w:val="009378A3"/>
    <w:rsid w:val="009379CB"/>
    <w:rsid w:val="00937F1B"/>
    <w:rsid w:val="00940072"/>
    <w:rsid w:val="009400D3"/>
    <w:rsid w:val="00940178"/>
    <w:rsid w:val="0094023A"/>
    <w:rsid w:val="009406CC"/>
    <w:rsid w:val="0094083B"/>
    <w:rsid w:val="00940842"/>
    <w:rsid w:val="00940AD3"/>
    <w:rsid w:val="00940CFF"/>
    <w:rsid w:val="00940EDE"/>
    <w:rsid w:val="00940EF1"/>
    <w:rsid w:val="00940F11"/>
    <w:rsid w:val="009413EC"/>
    <w:rsid w:val="009413F2"/>
    <w:rsid w:val="00941609"/>
    <w:rsid w:val="0094182A"/>
    <w:rsid w:val="00941BD6"/>
    <w:rsid w:val="00941C23"/>
    <w:rsid w:val="00941FC4"/>
    <w:rsid w:val="009420C5"/>
    <w:rsid w:val="00942244"/>
    <w:rsid w:val="009425B9"/>
    <w:rsid w:val="009428B9"/>
    <w:rsid w:val="00943033"/>
    <w:rsid w:val="00943084"/>
    <w:rsid w:val="00943251"/>
    <w:rsid w:val="00943528"/>
    <w:rsid w:val="009438A5"/>
    <w:rsid w:val="00943CFA"/>
    <w:rsid w:val="00943E83"/>
    <w:rsid w:val="00944297"/>
    <w:rsid w:val="009444A8"/>
    <w:rsid w:val="009449EC"/>
    <w:rsid w:val="00944AA9"/>
    <w:rsid w:val="00944DBA"/>
    <w:rsid w:val="00944E0F"/>
    <w:rsid w:val="00945058"/>
    <w:rsid w:val="009450DC"/>
    <w:rsid w:val="0094538B"/>
    <w:rsid w:val="009456A8"/>
    <w:rsid w:val="00945756"/>
    <w:rsid w:val="00945E68"/>
    <w:rsid w:val="00945E97"/>
    <w:rsid w:val="0094627B"/>
    <w:rsid w:val="009463D6"/>
    <w:rsid w:val="0094647E"/>
    <w:rsid w:val="00946527"/>
    <w:rsid w:val="00946D18"/>
    <w:rsid w:val="00946F03"/>
    <w:rsid w:val="009471E5"/>
    <w:rsid w:val="009475EE"/>
    <w:rsid w:val="00947B45"/>
    <w:rsid w:val="009500ED"/>
    <w:rsid w:val="00950110"/>
    <w:rsid w:val="009503AE"/>
    <w:rsid w:val="0095041B"/>
    <w:rsid w:val="00950574"/>
    <w:rsid w:val="00950899"/>
    <w:rsid w:val="009508E0"/>
    <w:rsid w:val="00950ADB"/>
    <w:rsid w:val="00950B74"/>
    <w:rsid w:val="00950CB8"/>
    <w:rsid w:val="00950DB8"/>
    <w:rsid w:val="00950FD0"/>
    <w:rsid w:val="009511E1"/>
    <w:rsid w:val="00951243"/>
    <w:rsid w:val="0095134C"/>
    <w:rsid w:val="0095172D"/>
    <w:rsid w:val="00951903"/>
    <w:rsid w:val="00951912"/>
    <w:rsid w:val="0095193E"/>
    <w:rsid w:val="00951A8E"/>
    <w:rsid w:val="009528FF"/>
    <w:rsid w:val="00952DED"/>
    <w:rsid w:val="00952EAB"/>
    <w:rsid w:val="00952EDA"/>
    <w:rsid w:val="00952F9A"/>
    <w:rsid w:val="0095304D"/>
    <w:rsid w:val="0095315B"/>
    <w:rsid w:val="00953318"/>
    <w:rsid w:val="0095331C"/>
    <w:rsid w:val="009537FC"/>
    <w:rsid w:val="00953947"/>
    <w:rsid w:val="00953A10"/>
    <w:rsid w:val="00953E99"/>
    <w:rsid w:val="00953EA3"/>
    <w:rsid w:val="00953F20"/>
    <w:rsid w:val="0095433D"/>
    <w:rsid w:val="009544F5"/>
    <w:rsid w:val="00954510"/>
    <w:rsid w:val="009545D4"/>
    <w:rsid w:val="00954AAE"/>
    <w:rsid w:val="00954D37"/>
    <w:rsid w:val="00954DD5"/>
    <w:rsid w:val="00954ED3"/>
    <w:rsid w:val="0095503C"/>
    <w:rsid w:val="00955208"/>
    <w:rsid w:val="0095531C"/>
    <w:rsid w:val="00955327"/>
    <w:rsid w:val="009556C7"/>
    <w:rsid w:val="009557DE"/>
    <w:rsid w:val="00955B5D"/>
    <w:rsid w:val="00956097"/>
    <w:rsid w:val="009562ED"/>
    <w:rsid w:val="00956479"/>
    <w:rsid w:val="009564CA"/>
    <w:rsid w:val="009565D9"/>
    <w:rsid w:val="00956A59"/>
    <w:rsid w:val="00957059"/>
    <w:rsid w:val="0095717D"/>
    <w:rsid w:val="00957375"/>
    <w:rsid w:val="009574DE"/>
    <w:rsid w:val="00957C7B"/>
    <w:rsid w:val="00960260"/>
    <w:rsid w:val="009603E4"/>
    <w:rsid w:val="0096082B"/>
    <w:rsid w:val="009608A0"/>
    <w:rsid w:val="0096098B"/>
    <w:rsid w:val="00960D75"/>
    <w:rsid w:val="00960DAB"/>
    <w:rsid w:val="00960E27"/>
    <w:rsid w:val="00960ED5"/>
    <w:rsid w:val="0096105F"/>
    <w:rsid w:val="0096195B"/>
    <w:rsid w:val="00961AB2"/>
    <w:rsid w:val="00961BF5"/>
    <w:rsid w:val="00961EE7"/>
    <w:rsid w:val="00962415"/>
    <w:rsid w:val="0096243C"/>
    <w:rsid w:val="00962483"/>
    <w:rsid w:val="0096253E"/>
    <w:rsid w:val="009625CB"/>
    <w:rsid w:val="009626E4"/>
    <w:rsid w:val="00962960"/>
    <w:rsid w:val="00962A2A"/>
    <w:rsid w:val="00962B1B"/>
    <w:rsid w:val="00962C60"/>
    <w:rsid w:val="00962C69"/>
    <w:rsid w:val="00962F83"/>
    <w:rsid w:val="00962FD4"/>
    <w:rsid w:val="00963021"/>
    <w:rsid w:val="00963153"/>
    <w:rsid w:val="00963288"/>
    <w:rsid w:val="00963695"/>
    <w:rsid w:val="00963820"/>
    <w:rsid w:val="00963A9F"/>
    <w:rsid w:val="00964099"/>
    <w:rsid w:val="00964302"/>
    <w:rsid w:val="0096440E"/>
    <w:rsid w:val="0096449B"/>
    <w:rsid w:val="00964912"/>
    <w:rsid w:val="00964C12"/>
    <w:rsid w:val="00964E17"/>
    <w:rsid w:val="00964FF6"/>
    <w:rsid w:val="009650AE"/>
    <w:rsid w:val="009650D8"/>
    <w:rsid w:val="00965845"/>
    <w:rsid w:val="009658CF"/>
    <w:rsid w:val="00965C17"/>
    <w:rsid w:val="00965E03"/>
    <w:rsid w:val="00965E95"/>
    <w:rsid w:val="009660E3"/>
    <w:rsid w:val="009660F3"/>
    <w:rsid w:val="009663B6"/>
    <w:rsid w:val="0096695A"/>
    <w:rsid w:val="00966995"/>
    <w:rsid w:val="00966DD2"/>
    <w:rsid w:val="00966EBF"/>
    <w:rsid w:val="00966FE1"/>
    <w:rsid w:val="00967087"/>
    <w:rsid w:val="009671BC"/>
    <w:rsid w:val="00967673"/>
    <w:rsid w:val="00967C5B"/>
    <w:rsid w:val="00967C96"/>
    <w:rsid w:val="00970160"/>
    <w:rsid w:val="0097023B"/>
    <w:rsid w:val="0097037D"/>
    <w:rsid w:val="009703F4"/>
    <w:rsid w:val="009704EC"/>
    <w:rsid w:val="00970555"/>
    <w:rsid w:val="00970CE9"/>
    <w:rsid w:val="00970D4D"/>
    <w:rsid w:val="00970F2D"/>
    <w:rsid w:val="00970F8F"/>
    <w:rsid w:val="00971315"/>
    <w:rsid w:val="009713DF"/>
    <w:rsid w:val="0097153E"/>
    <w:rsid w:val="00971682"/>
    <w:rsid w:val="009716D7"/>
    <w:rsid w:val="009718BE"/>
    <w:rsid w:val="00971B69"/>
    <w:rsid w:val="00972507"/>
    <w:rsid w:val="00972C60"/>
    <w:rsid w:val="0097311B"/>
    <w:rsid w:val="00973127"/>
    <w:rsid w:val="009733AB"/>
    <w:rsid w:val="009735DA"/>
    <w:rsid w:val="009735EC"/>
    <w:rsid w:val="00973637"/>
    <w:rsid w:val="009738BE"/>
    <w:rsid w:val="00974063"/>
    <w:rsid w:val="009746DD"/>
    <w:rsid w:val="00974F6B"/>
    <w:rsid w:val="00975289"/>
    <w:rsid w:val="00975290"/>
    <w:rsid w:val="0097558C"/>
    <w:rsid w:val="009756EC"/>
    <w:rsid w:val="00975814"/>
    <w:rsid w:val="009758CB"/>
    <w:rsid w:val="00975C16"/>
    <w:rsid w:val="00975D2B"/>
    <w:rsid w:val="0097605A"/>
    <w:rsid w:val="00976119"/>
    <w:rsid w:val="0097618A"/>
    <w:rsid w:val="009761AF"/>
    <w:rsid w:val="00976208"/>
    <w:rsid w:val="00976580"/>
    <w:rsid w:val="009767C6"/>
    <w:rsid w:val="00976B34"/>
    <w:rsid w:val="00976D73"/>
    <w:rsid w:val="009776ED"/>
    <w:rsid w:val="00977748"/>
    <w:rsid w:val="00977C75"/>
    <w:rsid w:val="00977CF5"/>
    <w:rsid w:val="0098041B"/>
    <w:rsid w:val="0098096E"/>
    <w:rsid w:val="00980A46"/>
    <w:rsid w:val="00980E10"/>
    <w:rsid w:val="009812C6"/>
    <w:rsid w:val="00981481"/>
    <w:rsid w:val="009816C0"/>
    <w:rsid w:val="009819BE"/>
    <w:rsid w:val="00981BF2"/>
    <w:rsid w:val="00981E02"/>
    <w:rsid w:val="009821D9"/>
    <w:rsid w:val="00982227"/>
    <w:rsid w:val="009822A9"/>
    <w:rsid w:val="0098244F"/>
    <w:rsid w:val="00982503"/>
    <w:rsid w:val="00982679"/>
    <w:rsid w:val="009829BA"/>
    <w:rsid w:val="00982A5A"/>
    <w:rsid w:val="00982C29"/>
    <w:rsid w:val="00982DF0"/>
    <w:rsid w:val="00982F70"/>
    <w:rsid w:val="00982FE9"/>
    <w:rsid w:val="009830EE"/>
    <w:rsid w:val="009831EB"/>
    <w:rsid w:val="00983474"/>
    <w:rsid w:val="00983499"/>
    <w:rsid w:val="009834D1"/>
    <w:rsid w:val="0098365A"/>
    <w:rsid w:val="0098386D"/>
    <w:rsid w:val="00983ACB"/>
    <w:rsid w:val="00983F90"/>
    <w:rsid w:val="009840A6"/>
    <w:rsid w:val="00984115"/>
    <w:rsid w:val="0098437C"/>
    <w:rsid w:val="009843F4"/>
    <w:rsid w:val="00984472"/>
    <w:rsid w:val="0098472E"/>
    <w:rsid w:val="00984740"/>
    <w:rsid w:val="00984905"/>
    <w:rsid w:val="009849F3"/>
    <w:rsid w:val="00984CEF"/>
    <w:rsid w:val="00985018"/>
    <w:rsid w:val="00985089"/>
    <w:rsid w:val="009850E7"/>
    <w:rsid w:val="0098530E"/>
    <w:rsid w:val="009854E8"/>
    <w:rsid w:val="00985676"/>
    <w:rsid w:val="00986525"/>
    <w:rsid w:val="00986529"/>
    <w:rsid w:val="00986645"/>
    <w:rsid w:val="0098664D"/>
    <w:rsid w:val="009866BD"/>
    <w:rsid w:val="0098696F"/>
    <w:rsid w:val="009869DF"/>
    <w:rsid w:val="009878CA"/>
    <w:rsid w:val="0098791F"/>
    <w:rsid w:val="00987A53"/>
    <w:rsid w:val="00987BC4"/>
    <w:rsid w:val="00987C37"/>
    <w:rsid w:val="00987F69"/>
    <w:rsid w:val="00990033"/>
    <w:rsid w:val="00990250"/>
    <w:rsid w:val="00990515"/>
    <w:rsid w:val="00990657"/>
    <w:rsid w:val="0099068E"/>
    <w:rsid w:val="00990950"/>
    <w:rsid w:val="00990B14"/>
    <w:rsid w:val="00990CE9"/>
    <w:rsid w:val="00990D0E"/>
    <w:rsid w:val="00990D2B"/>
    <w:rsid w:val="00990E2A"/>
    <w:rsid w:val="00990EF5"/>
    <w:rsid w:val="00991157"/>
    <w:rsid w:val="00991265"/>
    <w:rsid w:val="0099161D"/>
    <w:rsid w:val="0099166E"/>
    <w:rsid w:val="00991A07"/>
    <w:rsid w:val="009920F9"/>
    <w:rsid w:val="00992271"/>
    <w:rsid w:val="009922D6"/>
    <w:rsid w:val="009922FF"/>
    <w:rsid w:val="009924F7"/>
    <w:rsid w:val="0099257C"/>
    <w:rsid w:val="00992B5A"/>
    <w:rsid w:val="00992DB6"/>
    <w:rsid w:val="00992EC2"/>
    <w:rsid w:val="00993111"/>
    <w:rsid w:val="009936D1"/>
    <w:rsid w:val="009939DE"/>
    <w:rsid w:val="00993B09"/>
    <w:rsid w:val="00993B2B"/>
    <w:rsid w:val="00993F7B"/>
    <w:rsid w:val="009940CC"/>
    <w:rsid w:val="00994210"/>
    <w:rsid w:val="009946B5"/>
    <w:rsid w:val="009946F1"/>
    <w:rsid w:val="00994929"/>
    <w:rsid w:val="00994B97"/>
    <w:rsid w:val="00994BF7"/>
    <w:rsid w:val="00994CED"/>
    <w:rsid w:val="00994D00"/>
    <w:rsid w:val="00994F55"/>
    <w:rsid w:val="00995307"/>
    <w:rsid w:val="009953B5"/>
    <w:rsid w:val="0099544E"/>
    <w:rsid w:val="009956FB"/>
    <w:rsid w:val="00995A3B"/>
    <w:rsid w:val="00995B4B"/>
    <w:rsid w:val="00995C5B"/>
    <w:rsid w:val="00995E21"/>
    <w:rsid w:val="00996183"/>
    <w:rsid w:val="00996468"/>
    <w:rsid w:val="0099658A"/>
    <w:rsid w:val="00996953"/>
    <w:rsid w:val="00996965"/>
    <w:rsid w:val="009969DC"/>
    <w:rsid w:val="00996FCB"/>
    <w:rsid w:val="00997163"/>
    <w:rsid w:val="00997606"/>
    <w:rsid w:val="00997807"/>
    <w:rsid w:val="009978B0"/>
    <w:rsid w:val="0099796E"/>
    <w:rsid w:val="009979D0"/>
    <w:rsid w:val="00997C27"/>
    <w:rsid w:val="00997E93"/>
    <w:rsid w:val="00997EB3"/>
    <w:rsid w:val="009A0037"/>
    <w:rsid w:val="009A016F"/>
    <w:rsid w:val="009A02CB"/>
    <w:rsid w:val="009A05FE"/>
    <w:rsid w:val="009A08C7"/>
    <w:rsid w:val="009A0A3C"/>
    <w:rsid w:val="009A0BCA"/>
    <w:rsid w:val="009A0D88"/>
    <w:rsid w:val="009A0E10"/>
    <w:rsid w:val="009A0E9C"/>
    <w:rsid w:val="009A0FBC"/>
    <w:rsid w:val="009A1044"/>
    <w:rsid w:val="009A1308"/>
    <w:rsid w:val="009A21A5"/>
    <w:rsid w:val="009A27AA"/>
    <w:rsid w:val="009A2EE6"/>
    <w:rsid w:val="009A31C1"/>
    <w:rsid w:val="009A3566"/>
    <w:rsid w:val="009A3AF5"/>
    <w:rsid w:val="009A3C46"/>
    <w:rsid w:val="009A4073"/>
    <w:rsid w:val="009A4235"/>
    <w:rsid w:val="009A48CC"/>
    <w:rsid w:val="009A4AE6"/>
    <w:rsid w:val="009A4D26"/>
    <w:rsid w:val="009A50F1"/>
    <w:rsid w:val="009A5493"/>
    <w:rsid w:val="009A55AF"/>
    <w:rsid w:val="009A5887"/>
    <w:rsid w:val="009A5C72"/>
    <w:rsid w:val="009A5D5D"/>
    <w:rsid w:val="009A5F41"/>
    <w:rsid w:val="009A6241"/>
    <w:rsid w:val="009A6435"/>
    <w:rsid w:val="009A654B"/>
    <w:rsid w:val="009A6699"/>
    <w:rsid w:val="009A66EC"/>
    <w:rsid w:val="009A6906"/>
    <w:rsid w:val="009A6928"/>
    <w:rsid w:val="009A6B53"/>
    <w:rsid w:val="009A6B56"/>
    <w:rsid w:val="009A6CD0"/>
    <w:rsid w:val="009A71DE"/>
    <w:rsid w:val="009A72C3"/>
    <w:rsid w:val="009A74AB"/>
    <w:rsid w:val="009A7661"/>
    <w:rsid w:val="009A78EA"/>
    <w:rsid w:val="009A7AF9"/>
    <w:rsid w:val="009A7B0B"/>
    <w:rsid w:val="009A7CEC"/>
    <w:rsid w:val="009B0152"/>
    <w:rsid w:val="009B0184"/>
    <w:rsid w:val="009B05ED"/>
    <w:rsid w:val="009B0771"/>
    <w:rsid w:val="009B0816"/>
    <w:rsid w:val="009B0D06"/>
    <w:rsid w:val="009B0E48"/>
    <w:rsid w:val="009B0F0E"/>
    <w:rsid w:val="009B0F5A"/>
    <w:rsid w:val="009B0F83"/>
    <w:rsid w:val="009B0FD9"/>
    <w:rsid w:val="009B0FFE"/>
    <w:rsid w:val="009B1268"/>
    <w:rsid w:val="009B17CE"/>
    <w:rsid w:val="009B190D"/>
    <w:rsid w:val="009B1A05"/>
    <w:rsid w:val="009B1CA1"/>
    <w:rsid w:val="009B1D31"/>
    <w:rsid w:val="009B1D60"/>
    <w:rsid w:val="009B20C3"/>
    <w:rsid w:val="009B246F"/>
    <w:rsid w:val="009B254C"/>
    <w:rsid w:val="009B2A31"/>
    <w:rsid w:val="009B2DF8"/>
    <w:rsid w:val="009B3177"/>
    <w:rsid w:val="009B371B"/>
    <w:rsid w:val="009B3852"/>
    <w:rsid w:val="009B39AE"/>
    <w:rsid w:val="009B3BFF"/>
    <w:rsid w:val="009B3CAA"/>
    <w:rsid w:val="009B3E32"/>
    <w:rsid w:val="009B43F3"/>
    <w:rsid w:val="009B44F8"/>
    <w:rsid w:val="009B473E"/>
    <w:rsid w:val="009B4A00"/>
    <w:rsid w:val="009B4C80"/>
    <w:rsid w:val="009B4F1A"/>
    <w:rsid w:val="009B564A"/>
    <w:rsid w:val="009B5957"/>
    <w:rsid w:val="009B5D36"/>
    <w:rsid w:val="009B5E50"/>
    <w:rsid w:val="009B5E60"/>
    <w:rsid w:val="009B6097"/>
    <w:rsid w:val="009B626B"/>
    <w:rsid w:val="009B6292"/>
    <w:rsid w:val="009B62C8"/>
    <w:rsid w:val="009B643D"/>
    <w:rsid w:val="009B6603"/>
    <w:rsid w:val="009B68D7"/>
    <w:rsid w:val="009B6A06"/>
    <w:rsid w:val="009B6BD6"/>
    <w:rsid w:val="009B6E4F"/>
    <w:rsid w:val="009B7163"/>
    <w:rsid w:val="009B7221"/>
    <w:rsid w:val="009B735E"/>
    <w:rsid w:val="009C00C3"/>
    <w:rsid w:val="009C0547"/>
    <w:rsid w:val="009C06A0"/>
    <w:rsid w:val="009C0AA9"/>
    <w:rsid w:val="009C0BBA"/>
    <w:rsid w:val="009C0E08"/>
    <w:rsid w:val="009C0FFC"/>
    <w:rsid w:val="009C153C"/>
    <w:rsid w:val="009C1609"/>
    <w:rsid w:val="009C19F1"/>
    <w:rsid w:val="009C1FB9"/>
    <w:rsid w:val="009C2345"/>
    <w:rsid w:val="009C24C2"/>
    <w:rsid w:val="009C298E"/>
    <w:rsid w:val="009C2FCC"/>
    <w:rsid w:val="009C320D"/>
    <w:rsid w:val="009C343C"/>
    <w:rsid w:val="009C362E"/>
    <w:rsid w:val="009C3A9B"/>
    <w:rsid w:val="009C3D5B"/>
    <w:rsid w:val="009C3E95"/>
    <w:rsid w:val="009C3EEB"/>
    <w:rsid w:val="009C3F74"/>
    <w:rsid w:val="009C40BE"/>
    <w:rsid w:val="009C4304"/>
    <w:rsid w:val="009C4A1E"/>
    <w:rsid w:val="009C4ADF"/>
    <w:rsid w:val="009C4BBD"/>
    <w:rsid w:val="009C4C96"/>
    <w:rsid w:val="009C5007"/>
    <w:rsid w:val="009C50B0"/>
    <w:rsid w:val="009C50E1"/>
    <w:rsid w:val="009C5618"/>
    <w:rsid w:val="009C566B"/>
    <w:rsid w:val="009C59C8"/>
    <w:rsid w:val="009C5D7D"/>
    <w:rsid w:val="009C61F3"/>
    <w:rsid w:val="009C62E9"/>
    <w:rsid w:val="009C641A"/>
    <w:rsid w:val="009C653F"/>
    <w:rsid w:val="009C6601"/>
    <w:rsid w:val="009C670B"/>
    <w:rsid w:val="009C6995"/>
    <w:rsid w:val="009C6D34"/>
    <w:rsid w:val="009C6D79"/>
    <w:rsid w:val="009C7623"/>
    <w:rsid w:val="009C7821"/>
    <w:rsid w:val="009C7BCF"/>
    <w:rsid w:val="009C7CE8"/>
    <w:rsid w:val="009C7D10"/>
    <w:rsid w:val="009C7E46"/>
    <w:rsid w:val="009C7EC6"/>
    <w:rsid w:val="009D0240"/>
    <w:rsid w:val="009D02FC"/>
    <w:rsid w:val="009D04F6"/>
    <w:rsid w:val="009D0700"/>
    <w:rsid w:val="009D09D8"/>
    <w:rsid w:val="009D15A4"/>
    <w:rsid w:val="009D1A19"/>
    <w:rsid w:val="009D1AF6"/>
    <w:rsid w:val="009D1B29"/>
    <w:rsid w:val="009D1E07"/>
    <w:rsid w:val="009D20D6"/>
    <w:rsid w:val="009D243B"/>
    <w:rsid w:val="009D247E"/>
    <w:rsid w:val="009D2BFB"/>
    <w:rsid w:val="009D2C4E"/>
    <w:rsid w:val="009D2C75"/>
    <w:rsid w:val="009D2C9A"/>
    <w:rsid w:val="009D3089"/>
    <w:rsid w:val="009D3282"/>
    <w:rsid w:val="009D32F4"/>
    <w:rsid w:val="009D336F"/>
    <w:rsid w:val="009D34B0"/>
    <w:rsid w:val="009D34DB"/>
    <w:rsid w:val="009D3CFF"/>
    <w:rsid w:val="009D4405"/>
    <w:rsid w:val="009D465C"/>
    <w:rsid w:val="009D4B3C"/>
    <w:rsid w:val="009D4E36"/>
    <w:rsid w:val="009D5070"/>
    <w:rsid w:val="009D5211"/>
    <w:rsid w:val="009D528E"/>
    <w:rsid w:val="009D5434"/>
    <w:rsid w:val="009D576C"/>
    <w:rsid w:val="009D57BC"/>
    <w:rsid w:val="009D59F5"/>
    <w:rsid w:val="009D5AC3"/>
    <w:rsid w:val="009D5D02"/>
    <w:rsid w:val="009D5DFD"/>
    <w:rsid w:val="009D63E8"/>
    <w:rsid w:val="009D6804"/>
    <w:rsid w:val="009D6A02"/>
    <w:rsid w:val="009D6ED2"/>
    <w:rsid w:val="009D6F58"/>
    <w:rsid w:val="009D6F60"/>
    <w:rsid w:val="009D7200"/>
    <w:rsid w:val="009D722E"/>
    <w:rsid w:val="009D7355"/>
    <w:rsid w:val="009D75DF"/>
    <w:rsid w:val="009D76FA"/>
    <w:rsid w:val="009D7B35"/>
    <w:rsid w:val="009D7E7B"/>
    <w:rsid w:val="009E0046"/>
    <w:rsid w:val="009E038C"/>
    <w:rsid w:val="009E069A"/>
    <w:rsid w:val="009E06C9"/>
    <w:rsid w:val="009E07C2"/>
    <w:rsid w:val="009E07FB"/>
    <w:rsid w:val="009E0A4C"/>
    <w:rsid w:val="009E0ACC"/>
    <w:rsid w:val="009E0D1E"/>
    <w:rsid w:val="009E13F1"/>
    <w:rsid w:val="009E179E"/>
    <w:rsid w:val="009E180E"/>
    <w:rsid w:val="009E1A87"/>
    <w:rsid w:val="009E1AF4"/>
    <w:rsid w:val="009E1B77"/>
    <w:rsid w:val="009E1E91"/>
    <w:rsid w:val="009E1F3A"/>
    <w:rsid w:val="009E2181"/>
    <w:rsid w:val="009E271D"/>
    <w:rsid w:val="009E28C7"/>
    <w:rsid w:val="009E28F8"/>
    <w:rsid w:val="009E2B28"/>
    <w:rsid w:val="009E335E"/>
    <w:rsid w:val="009E3404"/>
    <w:rsid w:val="009E3634"/>
    <w:rsid w:val="009E36AA"/>
    <w:rsid w:val="009E375A"/>
    <w:rsid w:val="009E3A93"/>
    <w:rsid w:val="009E3DAF"/>
    <w:rsid w:val="009E424B"/>
    <w:rsid w:val="009E4518"/>
    <w:rsid w:val="009E4561"/>
    <w:rsid w:val="009E4563"/>
    <w:rsid w:val="009E475D"/>
    <w:rsid w:val="009E4A1D"/>
    <w:rsid w:val="009E4CD5"/>
    <w:rsid w:val="009E4D44"/>
    <w:rsid w:val="009E5044"/>
    <w:rsid w:val="009E50CD"/>
    <w:rsid w:val="009E52F7"/>
    <w:rsid w:val="009E5537"/>
    <w:rsid w:val="009E5637"/>
    <w:rsid w:val="009E5B1D"/>
    <w:rsid w:val="009E5BAD"/>
    <w:rsid w:val="009E5F9B"/>
    <w:rsid w:val="009E6016"/>
    <w:rsid w:val="009E6515"/>
    <w:rsid w:val="009E6A09"/>
    <w:rsid w:val="009E6CFB"/>
    <w:rsid w:val="009E73D8"/>
    <w:rsid w:val="009E763D"/>
    <w:rsid w:val="009E7682"/>
    <w:rsid w:val="009E79CF"/>
    <w:rsid w:val="009E7BD2"/>
    <w:rsid w:val="009E7C6E"/>
    <w:rsid w:val="009E7C9D"/>
    <w:rsid w:val="009F0218"/>
    <w:rsid w:val="009F05AA"/>
    <w:rsid w:val="009F08B1"/>
    <w:rsid w:val="009F09D9"/>
    <w:rsid w:val="009F10E9"/>
    <w:rsid w:val="009F15CC"/>
    <w:rsid w:val="009F1617"/>
    <w:rsid w:val="009F1638"/>
    <w:rsid w:val="009F1677"/>
    <w:rsid w:val="009F1908"/>
    <w:rsid w:val="009F1A38"/>
    <w:rsid w:val="009F1C26"/>
    <w:rsid w:val="009F1DCA"/>
    <w:rsid w:val="009F2556"/>
    <w:rsid w:val="009F2AE6"/>
    <w:rsid w:val="009F2B12"/>
    <w:rsid w:val="009F2D6C"/>
    <w:rsid w:val="009F2D6D"/>
    <w:rsid w:val="009F2EF2"/>
    <w:rsid w:val="009F3580"/>
    <w:rsid w:val="009F386A"/>
    <w:rsid w:val="009F390A"/>
    <w:rsid w:val="009F39FB"/>
    <w:rsid w:val="009F3B5C"/>
    <w:rsid w:val="009F3BFE"/>
    <w:rsid w:val="009F3CDB"/>
    <w:rsid w:val="009F3F09"/>
    <w:rsid w:val="009F403F"/>
    <w:rsid w:val="009F4586"/>
    <w:rsid w:val="009F47A3"/>
    <w:rsid w:val="009F4CEE"/>
    <w:rsid w:val="009F4FB8"/>
    <w:rsid w:val="009F53EA"/>
    <w:rsid w:val="009F5993"/>
    <w:rsid w:val="009F5BBA"/>
    <w:rsid w:val="009F5F95"/>
    <w:rsid w:val="009F625A"/>
    <w:rsid w:val="009F64E1"/>
    <w:rsid w:val="009F6784"/>
    <w:rsid w:val="009F68E4"/>
    <w:rsid w:val="009F6EBC"/>
    <w:rsid w:val="009F6F2B"/>
    <w:rsid w:val="009F7176"/>
    <w:rsid w:val="009F72E4"/>
    <w:rsid w:val="009F7CB4"/>
    <w:rsid w:val="009F7EAC"/>
    <w:rsid w:val="00A00052"/>
    <w:rsid w:val="00A005B3"/>
    <w:rsid w:val="00A006B5"/>
    <w:rsid w:val="00A00802"/>
    <w:rsid w:val="00A00B3C"/>
    <w:rsid w:val="00A00CEA"/>
    <w:rsid w:val="00A00D56"/>
    <w:rsid w:val="00A0131A"/>
    <w:rsid w:val="00A01732"/>
    <w:rsid w:val="00A0184E"/>
    <w:rsid w:val="00A01859"/>
    <w:rsid w:val="00A01979"/>
    <w:rsid w:val="00A01B92"/>
    <w:rsid w:val="00A01D41"/>
    <w:rsid w:val="00A02453"/>
    <w:rsid w:val="00A0253F"/>
    <w:rsid w:val="00A0259F"/>
    <w:rsid w:val="00A026D8"/>
    <w:rsid w:val="00A0272D"/>
    <w:rsid w:val="00A02BFD"/>
    <w:rsid w:val="00A02CFF"/>
    <w:rsid w:val="00A02E6A"/>
    <w:rsid w:val="00A03063"/>
    <w:rsid w:val="00A0306B"/>
    <w:rsid w:val="00A033CC"/>
    <w:rsid w:val="00A03465"/>
    <w:rsid w:val="00A03660"/>
    <w:rsid w:val="00A03B11"/>
    <w:rsid w:val="00A03B1E"/>
    <w:rsid w:val="00A03BC9"/>
    <w:rsid w:val="00A03EC6"/>
    <w:rsid w:val="00A04440"/>
    <w:rsid w:val="00A04458"/>
    <w:rsid w:val="00A0470C"/>
    <w:rsid w:val="00A04986"/>
    <w:rsid w:val="00A04E17"/>
    <w:rsid w:val="00A0500E"/>
    <w:rsid w:val="00A0504B"/>
    <w:rsid w:val="00A05193"/>
    <w:rsid w:val="00A05566"/>
    <w:rsid w:val="00A05569"/>
    <w:rsid w:val="00A05991"/>
    <w:rsid w:val="00A05A3C"/>
    <w:rsid w:val="00A05AFA"/>
    <w:rsid w:val="00A05B2B"/>
    <w:rsid w:val="00A05DE9"/>
    <w:rsid w:val="00A05ED3"/>
    <w:rsid w:val="00A05FB4"/>
    <w:rsid w:val="00A060CC"/>
    <w:rsid w:val="00A061A6"/>
    <w:rsid w:val="00A06430"/>
    <w:rsid w:val="00A0685C"/>
    <w:rsid w:val="00A0687A"/>
    <w:rsid w:val="00A06932"/>
    <w:rsid w:val="00A069BC"/>
    <w:rsid w:val="00A06C26"/>
    <w:rsid w:val="00A0705F"/>
    <w:rsid w:val="00A07299"/>
    <w:rsid w:val="00A07324"/>
    <w:rsid w:val="00A0750E"/>
    <w:rsid w:val="00A07700"/>
    <w:rsid w:val="00A07733"/>
    <w:rsid w:val="00A077E3"/>
    <w:rsid w:val="00A07D3A"/>
    <w:rsid w:val="00A103A9"/>
    <w:rsid w:val="00A10482"/>
    <w:rsid w:val="00A107B6"/>
    <w:rsid w:val="00A1090B"/>
    <w:rsid w:val="00A10970"/>
    <w:rsid w:val="00A10DE6"/>
    <w:rsid w:val="00A10EDD"/>
    <w:rsid w:val="00A111ED"/>
    <w:rsid w:val="00A11257"/>
    <w:rsid w:val="00A116A7"/>
    <w:rsid w:val="00A11C0D"/>
    <w:rsid w:val="00A11C66"/>
    <w:rsid w:val="00A11D62"/>
    <w:rsid w:val="00A11EBC"/>
    <w:rsid w:val="00A11EF5"/>
    <w:rsid w:val="00A11F6E"/>
    <w:rsid w:val="00A12238"/>
    <w:rsid w:val="00A1243C"/>
    <w:rsid w:val="00A12CD3"/>
    <w:rsid w:val="00A12E35"/>
    <w:rsid w:val="00A12E6D"/>
    <w:rsid w:val="00A13467"/>
    <w:rsid w:val="00A13B31"/>
    <w:rsid w:val="00A13BAB"/>
    <w:rsid w:val="00A13E43"/>
    <w:rsid w:val="00A13F0C"/>
    <w:rsid w:val="00A141B4"/>
    <w:rsid w:val="00A14388"/>
    <w:rsid w:val="00A143B1"/>
    <w:rsid w:val="00A14747"/>
    <w:rsid w:val="00A1481F"/>
    <w:rsid w:val="00A14895"/>
    <w:rsid w:val="00A15305"/>
    <w:rsid w:val="00A15469"/>
    <w:rsid w:val="00A155F6"/>
    <w:rsid w:val="00A159B7"/>
    <w:rsid w:val="00A15B5E"/>
    <w:rsid w:val="00A15EDC"/>
    <w:rsid w:val="00A15F3D"/>
    <w:rsid w:val="00A163AC"/>
    <w:rsid w:val="00A16B8A"/>
    <w:rsid w:val="00A16F00"/>
    <w:rsid w:val="00A178A4"/>
    <w:rsid w:val="00A17A8E"/>
    <w:rsid w:val="00A17E00"/>
    <w:rsid w:val="00A17EBC"/>
    <w:rsid w:val="00A201E2"/>
    <w:rsid w:val="00A205C7"/>
    <w:rsid w:val="00A205FC"/>
    <w:rsid w:val="00A20775"/>
    <w:rsid w:val="00A20CF1"/>
    <w:rsid w:val="00A20FE7"/>
    <w:rsid w:val="00A212B3"/>
    <w:rsid w:val="00A21777"/>
    <w:rsid w:val="00A21833"/>
    <w:rsid w:val="00A21D8B"/>
    <w:rsid w:val="00A21F13"/>
    <w:rsid w:val="00A22347"/>
    <w:rsid w:val="00A224D0"/>
    <w:rsid w:val="00A225A4"/>
    <w:rsid w:val="00A226C2"/>
    <w:rsid w:val="00A22C1C"/>
    <w:rsid w:val="00A23116"/>
    <w:rsid w:val="00A2312C"/>
    <w:rsid w:val="00A231D4"/>
    <w:rsid w:val="00A2326C"/>
    <w:rsid w:val="00A232DA"/>
    <w:rsid w:val="00A23607"/>
    <w:rsid w:val="00A23905"/>
    <w:rsid w:val="00A239BF"/>
    <w:rsid w:val="00A23A73"/>
    <w:rsid w:val="00A23B6E"/>
    <w:rsid w:val="00A23F1B"/>
    <w:rsid w:val="00A23F21"/>
    <w:rsid w:val="00A24082"/>
    <w:rsid w:val="00A240E3"/>
    <w:rsid w:val="00A245FA"/>
    <w:rsid w:val="00A2465E"/>
    <w:rsid w:val="00A24680"/>
    <w:rsid w:val="00A246E7"/>
    <w:rsid w:val="00A247B4"/>
    <w:rsid w:val="00A2504D"/>
    <w:rsid w:val="00A2529A"/>
    <w:rsid w:val="00A255A0"/>
    <w:rsid w:val="00A255AD"/>
    <w:rsid w:val="00A255C2"/>
    <w:rsid w:val="00A257E8"/>
    <w:rsid w:val="00A25A5B"/>
    <w:rsid w:val="00A25A81"/>
    <w:rsid w:val="00A25DA8"/>
    <w:rsid w:val="00A26039"/>
    <w:rsid w:val="00A26277"/>
    <w:rsid w:val="00A26619"/>
    <w:rsid w:val="00A26C86"/>
    <w:rsid w:val="00A26D12"/>
    <w:rsid w:val="00A26FEC"/>
    <w:rsid w:val="00A270BB"/>
    <w:rsid w:val="00A2716D"/>
    <w:rsid w:val="00A27C09"/>
    <w:rsid w:val="00A27DAD"/>
    <w:rsid w:val="00A3016A"/>
    <w:rsid w:val="00A30944"/>
    <w:rsid w:val="00A30ADC"/>
    <w:rsid w:val="00A30D7A"/>
    <w:rsid w:val="00A30EFE"/>
    <w:rsid w:val="00A31069"/>
    <w:rsid w:val="00A310E1"/>
    <w:rsid w:val="00A311BD"/>
    <w:rsid w:val="00A313D0"/>
    <w:rsid w:val="00A31DD8"/>
    <w:rsid w:val="00A31FAA"/>
    <w:rsid w:val="00A31FF7"/>
    <w:rsid w:val="00A3234B"/>
    <w:rsid w:val="00A323B2"/>
    <w:rsid w:val="00A3264A"/>
    <w:rsid w:val="00A32707"/>
    <w:rsid w:val="00A329D9"/>
    <w:rsid w:val="00A32A59"/>
    <w:rsid w:val="00A32D81"/>
    <w:rsid w:val="00A33497"/>
    <w:rsid w:val="00A33E11"/>
    <w:rsid w:val="00A34066"/>
    <w:rsid w:val="00A340FA"/>
    <w:rsid w:val="00A34490"/>
    <w:rsid w:val="00A34720"/>
    <w:rsid w:val="00A348C8"/>
    <w:rsid w:val="00A34B4E"/>
    <w:rsid w:val="00A35082"/>
    <w:rsid w:val="00A350E6"/>
    <w:rsid w:val="00A35812"/>
    <w:rsid w:val="00A35AFD"/>
    <w:rsid w:val="00A36087"/>
    <w:rsid w:val="00A36755"/>
    <w:rsid w:val="00A367D8"/>
    <w:rsid w:val="00A36E8B"/>
    <w:rsid w:val="00A3709F"/>
    <w:rsid w:val="00A374E1"/>
    <w:rsid w:val="00A37A5E"/>
    <w:rsid w:val="00A37B7C"/>
    <w:rsid w:val="00A37CD6"/>
    <w:rsid w:val="00A40230"/>
    <w:rsid w:val="00A403E6"/>
    <w:rsid w:val="00A40736"/>
    <w:rsid w:val="00A407C2"/>
    <w:rsid w:val="00A40C43"/>
    <w:rsid w:val="00A40C5E"/>
    <w:rsid w:val="00A40F88"/>
    <w:rsid w:val="00A410EF"/>
    <w:rsid w:val="00A41220"/>
    <w:rsid w:val="00A41644"/>
    <w:rsid w:val="00A41789"/>
    <w:rsid w:val="00A41A06"/>
    <w:rsid w:val="00A41AB2"/>
    <w:rsid w:val="00A41D29"/>
    <w:rsid w:val="00A4200D"/>
    <w:rsid w:val="00A420D6"/>
    <w:rsid w:val="00A420DB"/>
    <w:rsid w:val="00A4227A"/>
    <w:rsid w:val="00A42582"/>
    <w:rsid w:val="00A42673"/>
    <w:rsid w:val="00A42700"/>
    <w:rsid w:val="00A429BC"/>
    <w:rsid w:val="00A42D77"/>
    <w:rsid w:val="00A42F10"/>
    <w:rsid w:val="00A43126"/>
    <w:rsid w:val="00A43238"/>
    <w:rsid w:val="00A435E2"/>
    <w:rsid w:val="00A439E5"/>
    <w:rsid w:val="00A43B39"/>
    <w:rsid w:val="00A43C1C"/>
    <w:rsid w:val="00A44027"/>
    <w:rsid w:val="00A444CF"/>
    <w:rsid w:val="00A44707"/>
    <w:rsid w:val="00A448CD"/>
    <w:rsid w:val="00A449DC"/>
    <w:rsid w:val="00A44A24"/>
    <w:rsid w:val="00A4501B"/>
    <w:rsid w:val="00A4515E"/>
    <w:rsid w:val="00A45172"/>
    <w:rsid w:val="00A4519D"/>
    <w:rsid w:val="00A453B2"/>
    <w:rsid w:val="00A4589F"/>
    <w:rsid w:val="00A45FD7"/>
    <w:rsid w:val="00A4627C"/>
    <w:rsid w:val="00A463D9"/>
    <w:rsid w:val="00A46576"/>
    <w:rsid w:val="00A4668C"/>
    <w:rsid w:val="00A46725"/>
    <w:rsid w:val="00A46E55"/>
    <w:rsid w:val="00A47210"/>
    <w:rsid w:val="00A4756A"/>
    <w:rsid w:val="00A47891"/>
    <w:rsid w:val="00A47CBB"/>
    <w:rsid w:val="00A47DC0"/>
    <w:rsid w:val="00A47E26"/>
    <w:rsid w:val="00A47E80"/>
    <w:rsid w:val="00A50012"/>
    <w:rsid w:val="00A50231"/>
    <w:rsid w:val="00A505CE"/>
    <w:rsid w:val="00A50641"/>
    <w:rsid w:val="00A50D77"/>
    <w:rsid w:val="00A50FB1"/>
    <w:rsid w:val="00A512D2"/>
    <w:rsid w:val="00A519EC"/>
    <w:rsid w:val="00A51A9D"/>
    <w:rsid w:val="00A51BB9"/>
    <w:rsid w:val="00A51D80"/>
    <w:rsid w:val="00A51DB8"/>
    <w:rsid w:val="00A5231A"/>
    <w:rsid w:val="00A52367"/>
    <w:rsid w:val="00A52392"/>
    <w:rsid w:val="00A529A4"/>
    <w:rsid w:val="00A52F7F"/>
    <w:rsid w:val="00A52FAB"/>
    <w:rsid w:val="00A537F2"/>
    <w:rsid w:val="00A53B86"/>
    <w:rsid w:val="00A545AD"/>
    <w:rsid w:val="00A54690"/>
    <w:rsid w:val="00A54752"/>
    <w:rsid w:val="00A54768"/>
    <w:rsid w:val="00A54A43"/>
    <w:rsid w:val="00A54B14"/>
    <w:rsid w:val="00A54B3D"/>
    <w:rsid w:val="00A54D3C"/>
    <w:rsid w:val="00A54E76"/>
    <w:rsid w:val="00A5532A"/>
    <w:rsid w:val="00A55385"/>
    <w:rsid w:val="00A55641"/>
    <w:rsid w:val="00A55C0F"/>
    <w:rsid w:val="00A55D18"/>
    <w:rsid w:val="00A561D6"/>
    <w:rsid w:val="00A563CC"/>
    <w:rsid w:val="00A566CF"/>
    <w:rsid w:val="00A56716"/>
    <w:rsid w:val="00A56BC3"/>
    <w:rsid w:val="00A56BFA"/>
    <w:rsid w:val="00A57465"/>
    <w:rsid w:val="00A57545"/>
    <w:rsid w:val="00A578A0"/>
    <w:rsid w:val="00A57B83"/>
    <w:rsid w:val="00A57E9B"/>
    <w:rsid w:val="00A60421"/>
    <w:rsid w:val="00A60A40"/>
    <w:rsid w:val="00A60C6D"/>
    <w:rsid w:val="00A60EAC"/>
    <w:rsid w:val="00A60FCB"/>
    <w:rsid w:val="00A60FEF"/>
    <w:rsid w:val="00A61202"/>
    <w:rsid w:val="00A617AA"/>
    <w:rsid w:val="00A6196F"/>
    <w:rsid w:val="00A619CB"/>
    <w:rsid w:val="00A61C8A"/>
    <w:rsid w:val="00A61E4F"/>
    <w:rsid w:val="00A6271E"/>
    <w:rsid w:val="00A6301A"/>
    <w:rsid w:val="00A6348F"/>
    <w:rsid w:val="00A637DF"/>
    <w:rsid w:val="00A639C5"/>
    <w:rsid w:val="00A63DAB"/>
    <w:rsid w:val="00A63EBC"/>
    <w:rsid w:val="00A63EDD"/>
    <w:rsid w:val="00A64B4C"/>
    <w:rsid w:val="00A64E14"/>
    <w:rsid w:val="00A64EDA"/>
    <w:rsid w:val="00A64FB2"/>
    <w:rsid w:val="00A6564C"/>
    <w:rsid w:val="00A656CC"/>
    <w:rsid w:val="00A65BA2"/>
    <w:rsid w:val="00A65BC0"/>
    <w:rsid w:val="00A65C29"/>
    <w:rsid w:val="00A65CC2"/>
    <w:rsid w:val="00A6640A"/>
    <w:rsid w:val="00A6672F"/>
    <w:rsid w:val="00A66B33"/>
    <w:rsid w:val="00A66CA3"/>
    <w:rsid w:val="00A66FC1"/>
    <w:rsid w:val="00A67137"/>
    <w:rsid w:val="00A67307"/>
    <w:rsid w:val="00A67713"/>
    <w:rsid w:val="00A678E0"/>
    <w:rsid w:val="00A67BB2"/>
    <w:rsid w:val="00A67C61"/>
    <w:rsid w:val="00A67C90"/>
    <w:rsid w:val="00A700AB"/>
    <w:rsid w:val="00A7041C"/>
    <w:rsid w:val="00A70425"/>
    <w:rsid w:val="00A704FA"/>
    <w:rsid w:val="00A70A91"/>
    <w:rsid w:val="00A70BAA"/>
    <w:rsid w:val="00A70CE7"/>
    <w:rsid w:val="00A71614"/>
    <w:rsid w:val="00A71A63"/>
    <w:rsid w:val="00A71B43"/>
    <w:rsid w:val="00A71DC2"/>
    <w:rsid w:val="00A72061"/>
    <w:rsid w:val="00A72101"/>
    <w:rsid w:val="00A72160"/>
    <w:rsid w:val="00A7222A"/>
    <w:rsid w:val="00A7227C"/>
    <w:rsid w:val="00A72413"/>
    <w:rsid w:val="00A72747"/>
    <w:rsid w:val="00A73103"/>
    <w:rsid w:val="00A7343B"/>
    <w:rsid w:val="00A735E9"/>
    <w:rsid w:val="00A737A2"/>
    <w:rsid w:val="00A737C3"/>
    <w:rsid w:val="00A739BA"/>
    <w:rsid w:val="00A73D2F"/>
    <w:rsid w:val="00A743E1"/>
    <w:rsid w:val="00A744B6"/>
    <w:rsid w:val="00A74B2B"/>
    <w:rsid w:val="00A74D91"/>
    <w:rsid w:val="00A75139"/>
    <w:rsid w:val="00A752C9"/>
    <w:rsid w:val="00A75356"/>
    <w:rsid w:val="00A75C06"/>
    <w:rsid w:val="00A75DD1"/>
    <w:rsid w:val="00A75EBB"/>
    <w:rsid w:val="00A75FDA"/>
    <w:rsid w:val="00A7622C"/>
    <w:rsid w:val="00A762E2"/>
    <w:rsid w:val="00A76363"/>
    <w:rsid w:val="00A7640F"/>
    <w:rsid w:val="00A76463"/>
    <w:rsid w:val="00A765FB"/>
    <w:rsid w:val="00A76AB4"/>
    <w:rsid w:val="00A76ADA"/>
    <w:rsid w:val="00A7735D"/>
    <w:rsid w:val="00A7736F"/>
    <w:rsid w:val="00A77901"/>
    <w:rsid w:val="00A77A48"/>
    <w:rsid w:val="00A77C86"/>
    <w:rsid w:val="00A77D88"/>
    <w:rsid w:val="00A80077"/>
    <w:rsid w:val="00A8016B"/>
    <w:rsid w:val="00A80891"/>
    <w:rsid w:val="00A808AC"/>
    <w:rsid w:val="00A809C6"/>
    <w:rsid w:val="00A80BFB"/>
    <w:rsid w:val="00A80C5E"/>
    <w:rsid w:val="00A80CF4"/>
    <w:rsid w:val="00A8116B"/>
    <w:rsid w:val="00A8136F"/>
    <w:rsid w:val="00A814E2"/>
    <w:rsid w:val="00A8154C"/>
    <w:rsid w:val="00A81C00"/>
    <w:rsid w:val="00A821FD"/>
    <w:rsid w:val="00A8238E"/>
    <w:rsid w:val="00A823D4"/>
    <w:rsid w:val="00A82809"/>
    <w:rsid w:val="00A8291F"/>
    <w:rsid w:val="00A82A49"/>
    <w:rsid w:val="00A82AA7"/>
    <w:rsid w:val="00A82AD8"/>
    <w:rsid w:val="00A82C0D"/>
    <w:rsid w:val="00A82CFB"/>
    <w:rsid w:val="00A82E41"/>
    <w:rsid w:val="00A82E86"/>
    <w:rsid w:val="00A82EDC"/>
    <w:rsid w:val="00A82F87"/>
    <w:rsid w:val="00A8325E"/>
    <w:rsid w:val="00A83459"/>
    <w:rsid w:val="00A83499"/>
    <w:rsid w:val="00A83862"/>
    <w:rsid w:val="00A839BC"/>
    <w:rsid w:val="00A83AE0"/>
    <w:rsid w:val="00A83B77"/>
    <w:rsid w:val="00A83E43"/>
    <w:rsid w:val="00A842DD"/>
    <w:rsid w:val="00A84556"/>
    <w:rsid w:val="00A8455F"/>
    <w:rsid w:val="00A845F5"/>
    <w:rsid w:val="00A84663"/>
    <w:rsid w:val="00A8467D"/>
    <w:rsid w:val="00A846FD"/>
    <w:rsid w:val="00A84C9E"/>
    <w:rsid w:val="00A84F49"/>
    <w:rsid w:val="00A84F5D"/>
    <w:rsid w:val="00A84F87"/>
    <w:rsid w:val="00A852F0"/>
    <w:rsid w:val="00A855DA"/>
    <w:rsid w:val="00A85974"/>
    <w:rsid w:val="00A85F58"/>
    <w:rsid w:val="00A85FF2"/>
    <w:rsid w:val="00A86393"/>
    <w:rsid w:val="00A86627"/>
    <w:rsid w:val="00A869B2"/>
    <w:rsid w:val="00A86B9F"/>
    <w:rsid w:val="00A86C2B"/>
    <w:rsid w:val="00A86D8F"/>
    <w:rsid w:val="00A86FBE"/>
    <w:rsid w:val="00A87196"/>
    <w:rsid w:val="00A8753E"/>
    <w:rsid w:val="00A87641"/>
    <w:rsid w:val="00A87AA3"/>
    <w:rsid w:val="00A87F7E"/>
    <w:rsid w:val="00A90365"/>
    <w:rsid w:val="00A90564"/>
    <w:rsid w:val="00A90839"/>
    <w:rsid w:val="00A9095A"/>
    <w:rsid w:val="00A90A35"/>
    <w:rsid w:val="00A90BD4"/>
    <w:rsid w:val="00A90CD4"/>
    <w:rsid w:val="00A90DE6"/>
    <w:rsid w:val="00A913D2"/>
    <w:rsid w:val="00A9186A"/>
    <w:rsid w:val="00A91940"/>
    <w:rsid w:val="00A91F63"/>
    <w:rsid w:val="00A9203E"/>
    <w:rsid w:val="00A921D4"/>
    <w:rsid w:val="00A92211"/>
    <w:rsid w:val="00A928D3"/>
    <w:rsid w:val="00A92E31"/>
    <w:rsid w:val="00A92F91"/>
    <w:rsid w:val="00A93166"/>
    <w:rsid w:val="00A93192"/>
    <w:rsid w:val="00A93660"/>
    <w:rsid w:val="00A9373A"/>
    <w:rsid w:val="00A93B4B"/>
    <w:rsid w:val="00A93CBF"/>
    <w:rsid w:val="00A93DB4"/>
    <w:rsid w:val="00A93E79"/>
    <w:rsid w:val="00A93F78"/>
    <w:rsid w:val="00A94393"/>
    <w:rsid w:val="00A945F5"/>
    <w:rsid w:val="00A946AB"/>
    <w:rsid w:val="00A94C6B"/>
    <w:rsid w:val="00A94D96"/>
    <w:rsid w:val="00A9513B"/>
    <w:rsid w:val="00A95436"/>
    <w:rsid w:val="00A954A8"/>
    <w:rsid w:val="00A954D4"/>
    <w:rsid w:val="00A956D3"/>
    <w:rsid w:val="00A95A38"/>
    <w:rsid w:val="00A95A6F"/>
    <w:rsid w:val="00A95AE4"/>
    <w:rsid w:val="00A95BFD"/>
    <w:rsid w:val="00A95C36"/>
    <w:rsid w:val="00A964ED"/>
    <w:rsid w:val="00A96685"/>
    <w:rsid w:val="00A96687"/>
    <w:rsid w:val="00A96747"/>
    <w:rsid w:val="00A96C6A"/>
    <w:rsid w:val="00A96DBE"/>
    <w:rsid w:val="00A96E10"/>
    <w:rsid w:val="00A96E9D"/>
    <w:rsid w:val="00A96EEE"/>
    <w:rsid w:val="00A971DD"/>
    <w:rsid w:val="00A9733A"/>
    <w:rsid w:val="00A97351"/>
    <w:rsid w:val="00A9770A"/>
    <w:rsid w:val="00A97A6C"/>
    <w:rsid w:val="00A97DB6"/>
    <w:rsid w:val="00A97DE0"/>
    <w:rsid w:val="00A97F1B"/>
    <w:rsid w:val="00AA00D8"/>
    <w:rsid w:val="00AA029B"/>
    <w:rsid w:val="00AA048B"/>
    <w:rsid w:val="00AA07C9"/>
    <w:rsid w:val="00AA0A21"/>
    <w:rsid w:val="00AA0BCD"/>
    <w:rsid w:val="00AA0FF8"/>
    <w:rsid w:val="00AA1155"/>
    <w:rsid w:val="00AA133A"/>
    <w:rsid w:val="00AA1359"/>
    <w:rsid w:val="00AA160F"/>
    <w:rsid w:val="00AA167B"/>
    <w:rsid w:val="00AA17BE"/>
    <w:rsid w:val="00AA1853"/>
    <w:rsid w:val="00AA1E42"/>
    <w:rsid w:val="00AA215C"/>
    <w:rsid w:val="00AA2615"/>
    <w:rsid w:val="00AA2B59"/>
    <w:rsid w:val="00AA2C8E"/>
    <w:rsid w:val="00AA2D14"/>
    <w:rsid w:val="00AA2EE2"/>
    <w:rsid w:val="00AA3050"/>
    <w:rsid w:val="00AA3333"/>
    <w:rsid w:val="00AA3611"/>
    <w:rsid w:val="00AA3C98"/>
    <w:rsid w:val="00AA3CCB"/>
    <w:rsid w:val="00AA3D27"/>
    <w:rsid w:val="00AA4604"/>
    <w:rsid w:val="00AA4752"/>
    <w:rsid w:val="00AA4821"/>
    <w:rsid w:val="00AA4AAE"/>
    <w:rsid w:val="00AA4C70"/>
    <w:rsid w:val="00AA4CF1"/>
    <w:rsid w:val="00AA56E6"/>
    <w:rsid w:val="00AA59F4"/>
    <w:rsid w:val="00AA5A34"/>
    <w:rsid w:val="00AA5B7C"/>
    <w:rsid w:val="00AA5CD9"/>
    <w:rsid w:val="00AA60EF"/>
    <w:rsid w:val="00AA61EC"/>
    <w:rsid w:val="00AA6202"/>
    <w:rsid w:val="00AA6334"/>
    <w:rsid w:val="00AA655D"/>
    <w:rsid w:val="00AA66F3"/>
    <w:rsid w:val="00AA6A9C"/>
    <w:rsid w:val="00AA6BA0"/>
    <w:rsid w:val="00AA6D8D"/>
    <w:rsid w:val="00AA6DA1"/>
    <w:rsid w:val="00AA71B3"/>
    <w:rsid w:val="00AA7310"/>
    <w:rsid w:val="00AA7583"/>
    <w:rsid w:val="00AA76BA"/>
    <w:rsid w:val="00AA7D74"/>
    <w:rsid w:val="00AB0286"/>
    <w:rsid w:val="00AB0331"/>
    <w:rsid w:val="00AB0341"/>
    <w:rsid w:val="00AB061B"/>
    <w:rsid w:val="00AB1011"/>
    <w:rsid w:val="00AB112E"/>
    <w:rsid w:val="00AB14B9"/>
    <w:rsid w:val="00AB17A4"/>
    <w:rsid w:val="00AB1A41"/>
    <w:rsid w:val="00AB2046"/>
    <w:rsid w:val="00AB2927"/>
    <w:rsid w:val="00AB2C97"/>
    <w:rsid w:val="00AB3159"/>
    <w:rsid w:val="00AB3163"/>
    <w:rsid w:val="00AB3478"/>
    <w:rsid w:val="00AB3711"/>
    <w:rsid w:val="00AB3A36"/>
    <w:rsid w:val="00AB3AEC"/>
    <w:rsid w:val="00AB3DEB"/>
    <w:rsid w:val="00AB3E83"/>
    <w:rsid w:val="00AB3E8B"/>
    <w:rsid w:val="00AB3F4D"/>
    <w:rsid w:val="00AB42EA"/>
    <w:rsid w:val="00AB47DB"/>
    <w:rsid w:val="00AB4A50"/>
    <w:rsid w:val="00AB4A68"/>
    <w:rsid w:val="00AB4D46"/>
    <w:rsid w:val="00AB4D51"/>
    <w:rsid w:val="00AB4F1E"/>
    <w:rsid w:val="00AB4FAF"/>
    <w:rsid w:val="00AB4FD4"/>
    <w:rsid w:val="00AB5210"/>
    <w:rsid w:val="00AB52BA"/>
    <w:rsid w:val="00AB5621"/>
    <w:rsid w:val="00AB5CDF"/>
    <w:rsid w:val="00AB602B"/>
    <w:rsid w:val="00AB60B5"/>
    <w:rsid w:val="00AB6144"/>
    <w:rsid w:val="00AB6497"/>
    <w:rsid w:val="00AB667D"/>
    <w:rsid w:val="00AB68C1"/>
    <w:rsid w:val="00AB70BB"/>
    <w:rsid w:val="00AB716C"/>
    <w:rsid w:val="00AB76B1"/>
    <w:rsid w:val="00AB76E5"/>
    <w:rsid w:val="00AB777E"/>
    <w:rsid w:val="00AB7A10"/>
    <w:rsid w:val="00AB7B7E"/>
    <w:rsid w:val="00AB7FED"/>
    <w:rsid w:val="00AC0E34"/>
    <w:rsid w:val="00AC1011"/>
    <w:rsid w:val="00AC1209"/>
    <w:rsid w:val="00AC1225"/>
    <w:rsid w:val="00AC1397"/>
    <w:rsid w:val="00AC214B"/>
    <w:rsid w:val="00AC2186"/>
    <w:rsid w:val="00AC243B"/>
    <w:rsid w:val="00AC2452"/>
    <w:rsid w:val="00AC247A"/>
    <w:rsid w:val="00AC2530"/>
    <w:rsid w:val="00AC2814"/>
    <w:rsid w:val="00AC2967"/>
    <w:rsid w:val="00AC2B81"/>
    <w:rsid w:val="00AC2C4E"/>
    <w:rsid w:val="00AC2D4D"/>
    <w:rsid w:val="00AC2D80"/>
    <w:rsid w:val="00AC2E1B"/>
    <w:rsid w:val="00AC2E62"/>
    <w:rsid w:val="00AC2F47"/>
    <w:rsid w:val="00AC3296"/>
    <w:rsid w:val="00AC3591"/>
    <w:rsid w:val="00AC362C"/>
    <w:rsid w:val="00AC3A08"/>
    <w:rsid w:val="00AC3AF2"/>
    <w:rsid w:val="00AC4182"/>
    <w:rsid w:val="00AC4241"/>
    <w:rsid w:val="00AC42DE"/>
    <w:rsid w:val="00AC444C"/>
    <w:rsid w:val="00AC44D7"/>
    <w:rsid w:val="00AC4763"/>
    <w:rsid w:val="00AC4B76"/>
    <w:rsid w:val="00AC4F31"/>
    <w:rsid w:val="00AC4FBC"/>
    <w:rsid w:val="00AC5013"/>
    <w:rsid w:val="00AC54DA"/>
    <w:rsid w:val="00AC5896"/>
    <w:rsid w:val="00AC59E4"/>
    <w:rsid w:val="00AC5C46"/>
    <w:rsid w:val="00AC5ECB"/>
    <w:rsid w:val="00AC5F4F"/>
    <w:rsid w:val="00AC613D"/>
    <w:rsid w:val="00AC61A8"/>
    <w:rsid w:val="00AC685B"/>
    <w:rsid w:val="00AC68B0"/>
    <w:rsid w:val="00AC6BC5"/>
    <w:rsid w:val="00AC6F53"/>
    <w:rsid w:val="00AC7359"/>
    <w:rsid w:val="00AC7466"/>
    <w:rsid w:val="00AC749C"/>
    <w:rsid w:val="00AC75B5"/>
    <w:rsid w:val="00AC7F6C"/>
    <w:rsid w:val="00AD02CE"/>
    <w:rsid w:val="00AD0825"/>
    <w:rsid w:val="00AD0B9E"/>
    <w:rsid w:val="00AD0E88"/>
    <w:rsid w:val="00AD0FC6"/>
    <w:rsid w:val="00AD105C"/>
    <w:rsid w:val="00AD1286"/>
    <w:rsid w:val="00AD1608"/>
    <w:rsid w:val="00AD16CC"/>
    <w:rsid w:val="00AD1842"/>
    <w:rsid w:val="00AD1876"/>
    <w:rsid w:val="00AD1BB4"/>
    <w:rsid w:val="00AD2062"/>
    <w:rsid w:val="00AD21B6"/>
    <w:rsid w:val="00AD2281"/>
    <w:rsid w:val="00AD22E3"/>
    <w:rsid w:val="00AD28BE"/>
    <w:rsid w:val="00AD2CD5"/>
    <w:rsid w:val="00AD2E2A"/>
    <w:rsid w:val="00AD34E4"/>
    <w:rsid w:val="00AD3835"/>
    <w:rsid w:val="00AD3AD6"/>
    <w:rsid w:val="00AD3B50"/>
    <w:rsid w:val="00AD3DBA"/>
    <w:rsid w:val="00AD44EF"/>
    <w:rsid w:val="00AD48EC"/>
    <w:rsid w:val="00AD4BC5"/>
    <w:rsid w:val="00AD4DB1"/>
    <w:rsid w:val="00AD4F5B"/>
    <w:rsid w:val="00AD501E"/>
    <w:rsid w:val="00AD5222"/>
    <w:rsid w:val="00AD5227"/>
    <w:rsid w:val="00AD551C"/>
    <w:rsid w:val="00AD5832"/>
    <w:rsid w:val="00AD59E0"/>
    <w:rsid w:val="00AD5BDB"/>
    <w:rsid w:val="00AD5C46"/>
    <w:rsid w:val="00AD5D0F"/>
    <w:rsid w:val="00AD5E64"/>
    <w:rsid w:val="00AD5F9A"/>
    <w:rsid w:val="00AD6052"/>
    <w:rsid w:val="00AD610E"/>
    <w:rsid w:val="00AD6226"/>
    <w:rsid w:val="00AD6583"/>
    <w:rsid w:val="00AD65C3"/>
    <w:rsid w:val="00AD6624"/>
    <w:rsid w:val="00AD67E5"/>
    <w:rsid w:val="00AD695B"/>
    <w:rsid w:val="00AD6BAB"/>
    <w:rsid w:val="00AD6C76"/>
    <w:rsid w:val="00AD6F16"/>
    <w:rsid w:val="00AD78F3"/>
    <w:rsid w:val="00AD7ACA"/>
    <w:rsid w:val="00AD7B8C"/>
    <w:rsid w:val="00AD7B98"/>
    <w:rsid w:val="00AD7CA1"/>
    <w:rsid w:val="00AD7D57"/>
    <w:rsid w:val="00AD7FDA"/>
    <w:rsid w:val="00AE0164"/>
    <w:rsid w:val="00AE03A8"/>
    <w:rsid w:val="00AE03AF"/>
    <w:rsid w:val="00AE084B"/>
    <w:rsid w:val="00AE1230"/>
    <w:rsid w:val="00AE12B6"/>
    <w:rsid w:val="00AE1C2E"/>
    <w:rsid w:val="00AE1C57"/>
    <w:rsid w:val="00AE1C84"/>
    <w:rsid w:val="00AE1CEA"/>
    <w:rsid w:val="00AE1E3D"/>
    <w:rsid w:val="00AE20BF"/>
    <w:rsid w:val="00AE21C9"/>
    <w:rsid w:val="00AE237D"/>
    <w:rsid w:val="00AE2534"/>
    <w:rsid w:val="00AE290A"/>
    <w:rsid w:val="00AE2CBB"/>
    <w:rsid w:val="00AE2DC6"/>
    <w:rsid w:val="00AE33ED"/>
    <w:rsid w:val="00AE35CC"/>
    <w:rsid w:val="00AE384A"/>
    <w:rsid w:val="00AE39B1"/>
    <w:rsid w:val="00AE3E15"/>
    <w:rsid w:val="00AE41CC"/>
    <w:rsid w:val="00AE4332"/>
    <w:rsid w:val="00AE4337"/>
    <w:rsid w:val="00AE43C1"/>
    <w:rsid w:val="00AE463E"/>
    <w:rsid w:val="00AE46E0"/>
    <w:rsid w:val="00AE484C"/>
    <w:rsid w:val="00AE4A2D"/>
    <w:rsid w:val="00AE4AB7"/>
    <w:rsid w:val="00AE5316"/>
    <w:rsid w:val="00AE5378"/>
    <w:rsid w:val="00AE5444"/>
    <w:rsid w:val="00AE56A3"/>
    <w:rsid w:val="00AE5939"/>
    <w:rsid w:val="00AE6412"/>
    <w:rsid w:val="00AE64E1"/>
    <w:rsid w:val="00AE66FD"/>
    <w:rsid w:val="00AE6787"/>
    <w:rsid w:val="00AE68CB"/>
    <w:rsid w:val="00AE68F4"/>
    <w:rsid w:val="00AE6C25"/>
    <w:rsid w:val="00AE6CB2"/>
    <w:rsid w:val="00AE761D"/>
    <w:rsid w:val="00AE7A82"/>
    <w:rsid w:val="00AE7BCA"/>
    <w:rsid w:val="00AE7FD5"/>
    <w:rsid w:val="00AF00BB"/>
    <w:rsid w:val="00AF0368"/>
    <w:rsid w:val="00AF090F"/>
    <w:rsid w:val="00AF146F"/>
    <w:rsid w:val="00AF1A48"/>
    <w:rsid w:val="00AF1A66"/>
    <w:rsid w:val="00AF1E10"/>
    <w:rsid w:val="00AF1E2F"/>
    <w:rsid w:val="00AF1E5E"/>
    <w:rsid w:val="00AF21CB"/>
    <w:rsid w:val="00AF2284"/>
    <w:rsid w:val="00AF2A72"/>
    <w:rsid w:val="00AF2B86"/>
    <w:rsid w:val="00AF2C23"/>
    <w:rsid w:val="00AF327D"/>
    <w:rsid w:val="00AF327F"/>
    <w:rsid w:val="00AF3578"/>
    <w:rsid w:val="00AF36EA"/>
    <w:rsid w:val="00AF3D6D"/>
    <w:rsid w:val="00AF3DD2"/>
    <w:rsid w:val="00AF403D"/>
    <w:rsid w:val="00AF41A3"/>
    <w:rsid w:val="00AF442D"/>
    <w:rsid w:val="00AF45A0"/>
    <w:rsid w:val="00AF4916"/>
    <w:rsid w:val="00AF4921"/>
    <w:rsid w:val="00AF4964"/>
    <w:rsid w:val="00AF4A8B"/>
    <w:rsid w:val="00AF4DAB"/>
    <w:rsid w:val="00AF4F2E"/>
    <w:rsid w:val="00AF516E"/>
    <w:rsid w:val="00AF55AA"/>
    <w:rsid w:val="00AF57BA"/>
    <w:rsid w:val="00AF5AD9"/>
    <w:rsid w:val="00AF5CFF"/>
    <w:rsid w:val="00AF5D4C"/>
    <w:rsid w:val="00AF64CD"/>
    <w:rsid w:val="00AF662A"/>
    <w:rsid w:val="00AF686A"/>
    <w:rsid w:val="00AF6AD1"/>
    <w:rsid w:val="00AF6B4F"/>
    <w:rsid w:val="00AF6F83"/>
    <w:rsid w:val="00AF71A3"/>
    <w:rsid w:val="00AF7355"/>
    <w:rsid w:val="00AF73DB"/>
    <w:rsid w:val="00AF751D"/>
    <w:rsid w:val="00AF7848"/>
    <w:rsid w:val="00AF7C7B"/>
    <w:rsid w:val="00AF7CC7"/>
    <w:rsid w:val="00AF7DA0"/>
    <w:rsid w:val="00AF7FC1"/>
    <w:rsid w:val="00B0015C"/>
    <w:rsid w:val="00B00230"/>
    <w:rsid w:val="00B002DF"/>
    <w:rsid w:val="00B0051D"/>
    <w:rsid w:val="00B00B65"/>
    <w:rsid w:val="00B00CAE"/>
    <w:rsid w:val="00B01126"/>
    <w:rsid w:val="00B01330"/>
    <w:rsid w:val="00B01611"/>
    <w:rsid w:val="00B0166A"/>
    <w:rsid w:val="00B017C6"/>
    <w:rsid w:val="00B01878"/>
    <w:rsid w:val="00B0192F"/>
    <w:rsid w:val="00B01DA2"/>
    <w:rsid w:val="00B02176"/>
    <w:rsid w:val="00B02206"/>
    <w:rsid w:val="00B02252"/>
    <w:rsid w:val="00B024EC"/>
    <w:rsid w:val="00B02596"/>
    <w:rsid w:val="00B0270A"/>
    <w:rsid w:val="00B028A5"/>
    <w:rsid w:val="00B02983"/>
    <w:rsid w:val="00B02CF0"/>
    <w:rsid w:val="00B02EC3"/>
    <w:rsid w:val="00B03130"/>
    <w:rsid w:val="00B0318D"/>
    <w:rsid w:val="00B0368B"/>
    <w:rsid w:val="00B03695"/>
    <w:rsid w:val="00B037F8"/>
    <w:rsid w:val="00B04352"/>
    <w:rsid w:val="00B04730"/>
    <w:rsid w:val="00B04932"/>
    <w:rsid w:val="00B04A4E"/>
    <w:rsid w:val="00B04CB6"/>
    <w:rsid w:val="00B04CC7"/>
    <w:rsid w:val="00B04D6A"/>
    <w:rsid w:val="00B0515B"/>
    <w:rsid w:val="00B0523F"/>
    <w:rsid w:val="00B05284"/>
    <w:rsid w:val="00B052E4"/>
    <w:rsid w:val="00B05473"/>
    <w:rsid w:val="00B054C7"/>
    <w:rsid w:val="00B05787"/>
    <w:rsid w:val="00B057F5"/>
    <w:rsid w:val="00B058C8"/>
    <w:rsid w:val="00B05D07"/>
    <w:rsid w:val="00B05DC6"/>
    <w:rsid w:val="00B05ED1"/>
    <w:rsid w:val="00B064AA"/>
    <w:rsid w:val="00B068DC"/>
    <w:rsid w:val="00B06D4A"/>
    <w:rsid w:val="00B06F05"/>
    <w:rsid w:val="00B06F26"/>
    <w:rsid w:val="00B07347"/>
    <w:rsid w:val="00B07371"/>
    <w:rsid w:val="00B07464"/>
    <w:rsid w:val="00B07654"/>
    <w:rsid w:val="00B078DA"/>
    <w:rsid w:val="00B079C3"/>
    <w:rsid w:val="00B07A95"/>
    <w:rsid w:val="00B07ACF"/>
    <w:rsid w:val="00B07B54"/>
    <w:rsid w:val="00B07C59"/>
    <w:rsid w:val="00B07DB6"/>
    <w:rsid w:val="00B07E03"/>
    <w:rsid w:val="00B07EE3"/>
    <w:rsid w:val="00B07F41"/>
    <w:rsid w:val="00B10195"/>
    <w:rsid w:val="00B1022F"/>
    <w:rsid w:val="00B102E8"/>
    <w:rsid w:val="00B10312"/>
    <w:rsid w:val="00B10908"/>
    <w:rsid w:val="00B10975"/>
    <w:rsid w:val="00B109E6"/>
    <w:rsid w:val="00B10DD7"/>
    <w:rsid w:val="00B11308"/>
    <w:rsid w:val="00B11612"/>
    <w:rsid w:val="00B11816"/>
    <w:rsid w:val="00B11D10"/>
    <w:rsid w:val="00B12395"/>
    <w:rsid w:val="00B125B0"/>
    <w:rsid w:val="00B12985"/>
    <w:rsid w:val="00B12A89"/>
    <w:rsid w:val="00B130D5"/>
    <w:rsid w:val="00B132C3"/>
    <w:rsid w:val="00B136FA"/>
    <w:rsid w:val="00B1379D"/>
    <w:rsid w:val="00B13A6A"/>
    <w:rsid w:val="00B13BE5"/>
    <w:rsid w:val="00B13D06"/>
    <w:rsid w:val="00B13E8E"/>
    <w:rsid w:val="00B14003"/>
    <w:rsid w:val="00B143A1"/>
    <w:rsid w:val="00B14595"/>
    <w:rsid w:val="00B146D4"/>
    <w:rsid w:val="00B1474C"/>
    <w:rsid w:val="00B14816"/>
    <w:rsid w:val="00B148FC"/>
    <w:rsid w:val="00B14A35"/>
    <w:rsid w:val="00B14AA7"/>
    <w:rsid w:val="00B14B18"/>
    <w:rsid w:val="00B14E1C"/>
    <w:rsid w:val="00B14EC0"/>
    <w:rsid w:val="00B150DE"/>
    <w:rsid w:val="00B150EC"/>
    <w:rsid w:val="00B152AD"/>
    <w:rsid w:val="00B15327"/>
    <w:rsid w:val="00B1537C"/>
    <w:rsid w:val="00B15992"/>
    <w:rsid w:val="00B15A3A"/>
    <w:rsid w:val="00B15B22"/>
    <w:rsid w:val="00B15DF7"/>
    <w:rsid w:val="00B15E77"/>
    <w:rsid w:val="00B160D7"/>
    <w:rsid w:val="00B163D8"/>
    <w:rsid w:val="00B1669D"/>
    <w:rsid w:val="00B168C8"/>
    <w:rsid w:val="00B16A6D"/>
    <w:rsid w:val="00B16A9E"/>
    <w:rsid w:val="00B16C79"/>
    <w:rsid w:val="00B16E7D"/>
    <w:rsid w:val="00B16E85"/>
    <w:rsid w:val="00B16FE7"/>
    <w:rsid w:val="00B173FB"/>
    <w:rsid w:val="00B17637"/>
    <w:rsid w:val="00B1783A"/>
    <w:rsid w:val="00B17D46"/>
    <w:rsid w:val="00B17FB6"/>
    <w:rsid w:val="00B20052"/>
    <w:rsid w:val="00B2005B"/>
    <w:rsid w:val="00B202CB"/>
    <w:rsid w:val="00B20311"/>
    <w:rsid w:val="00B203CD"/>
    <w:rsid w:val="00B20489"/>
    <w:rsid w:val="00B20862"/>
    <w:rsid w:val="00B209D2"/>
    <w:rsid w:val="00B20BD0"/>
    <w:rsid w:val="00B20C78"/>
    <w:rsid w:val="00B20DE7"/>
    <w:rsid w:val="00B2109B"/>
    <w:rsid w:val="00B210E5"/>
    <w:rsid w:val="00B21523"/>
    <w:rsid w:val="00B21B53"/>
    <w:rsid w:val="00B21D13"/>
    <w:rsid w:val="00B21E63"/>
    <w:rsid w:val="00B228AB"/>
    <w:rsid w:val="00B22B31"/>
    <w:rsid w:val="00B2311C"/>
    <w:rsid w:val="00B2329B"/>
    <w:rsid w:val="00B235F6"/>
    <w:rsid w:val="00B2375E"/>
    <w:rsid w:val="00B2379A"/>
    <w:rsid w:val="00B23A18"/>
    <w:rsid w:val="00B23B0B"/>
    <w:rsid w:val="00B23C93"/>
    <w:rsid w:val="00B23E6A"/>
    <w:rsid w:val="00B23E84"/>
    <w:rsid w:val="00B23F45"/>
    <w:rsid w:val="00B2467A"/>
    <w:rsid w:val="00B24761"/>
    <w:rsid w:val="00B24785"/>
    <w:rsid w:val="00B247D0"/>
    <w:rsid w:val="00B24B84"/>
    <w:rsid w:val="00B256C0"/>
    <w:rsid w:val="00B25A83"/>
    <w:rsid w:val="00B25DD4"/>
    <w:rsid w:val="00B25EA8"/>
    <w:rsid w:val="00B261FD"/>
    <w:rsid w:val="00B2649B"/>
    <w:rsid w:val="00B264DF"/>
    <w:rsid w:val="00B2666B"/>
    <w:rsid w:val="00B266E5"/>
    <w:rsid w:val="00B2684C"/>
    <w:rsid w:val="00B269E9"/>
    <w:rsid w:val="00B26BA4"/>
    <w:rsid w:val="00B271F8"/>
    <w:rsid w:val="00B27226"/>
    <w:rsid w:val="00B273A7"/>
    <w:rsid w:val="00B276F5"/>
    <w:rsid w:val="00B27B86"/>
    <w:rsid w:val="00B27BD3"/>
    <w:rsid w:val="00B27D1B"/>
    <w:rsid w:val="00B27DC0"/>
    <w:rsid w:val="00B27F79"/>
    <w:rsid w:val="00B30016"/>
    <w:rsid w:val="00B30159"/>
    <w:rsid w:val="00B30345"/>
    <w:rsid w:val="00B30805"/>
    <w:rsid w:val="00B308D4"/>
    <w:rsid w:val="00B30A20"/>
    <w:rsid w:val="00B30C8F"/>
    <w:rsid w:val="00B313C8"/>
    <w:rsid w:val="00B31475"/>
    <w:rsid w:val="00B31B53"/>
    <w:rsid w:val="00B31D36"/>
    <w:rsid w:val="00B31EDB"/>
    <w:rsid w:val="00B324AE"/>
    <w:rsid w:val="00B326DC"/>
    <w:rsid w:val="00B3281F"/>
    <w:rsid w:val="00B32F01"/>
    <w:rsid w:val="00B32F3A"/>
    <w:rsid w:val="00B330B7"/>
    <w:rsid w:val="00B330E9"/>
    <w:rsid w:val="00B33405"/>
    <w:rsid w:val="00B33577"/>
    <w:rsid w:val="00B3375A"/>
    <w:rsid w:val="00B33B7E"/>
    <w:rsid w:val="00B33E94"/>
    <w:rsid w:val="00B33EC1"/>
    <w:rsid w:val="00B34376"/>
    <w:rsid w:val="00B34532"/>
    <w:rsid w:val="00B34611"/>
    <w:rsid w:val="00B3476A"/>
    <w:rsid w:val="00B348BA"/>
    <w:rsid w:val="00B348E5"/>
    <w:rsid w:val="00B3499F"/>
    <w:rsid w:val="00B35224"/>
    <w:rsid w:val="00B354DA"/>
    <w:rsid w:val="00B3575F"/>
    <w:rsid w:val="00B35A21"/>
    <w:rsid w:val="00B35A2C"/>
    <w:rsid w:val="00B35BD9"/>
    <w:rsid w:val="00B35F0F"/>
    <w:rsid w:val="00B361F3"/>
    <w:rsid w:val="00B36219"/>
    <w:rsid w:val="00B36512"/>
    <w:rsid w:val="00B36573"/>
    <w:rsid w:val="00B365E3"/>
    <w:rsid w:val="00B36687"/>
    <w:rsid w:val="00B37163"/>
    <w:rsid w:val="00B37C5B"/>
    <w:rsid w:val="00B37D08"/>
    <w:rsid w:val="00B37DE7"/>
    <w:rsid w:val="00B37E35"/>
    <w:rsid w:val="00B400C7"/>
    <w:rsid w:val="00B40195"/>
    <w:rsid w:val="00B4019B"/>
    <w:rsid w:val="00B4057A"/>
    <w:rsid w:val="00B405CD"/>
    <w:rsid w:val="00B40969"/>
    <w:rsid w:val="00B41324"/>
    <w:rsid w:val="00B41480"/>
    <w:rsid w:val="00B4159A"/>
    <w:rsid w:val="00B41661"/>
    <w:rsid w:val="00B4166D"/>
    <w:rsid w:val="00B41747"/>
    <w:rsid w:val="00B41864"/>
    <w:rsid w:val="00B41900"/>
    <w:rsid w:val="00B41928"/>
    <w:rsid w:val="00B419BE"/>
    <w:rsid w:val="00B41C6A"/>
    <w:rsid w:val="00B41ED7"/>
    <w:rsid w:val="00B42488"/>
    <w:rsid w:val="00B42680"/>
    <w:rsid w:val="00B4278F"/>
    <w:rsid w:val="00B42848"/>
    <w:rsid w:val="00B429B8"/>
    <w:rsid w:val="00B42D13"/>
    <w:rsid w:val="00B42E81"/>
    <w:rsid w:val="00B42F50"/>
    <w:rsid w:val="00B42FB4"/>
    <w:rsid w:val="00B430E4"/>
    <w:rsid w:val="00B43197"/>
    <w:rsid w:val="00B431F7"/>
    <w:rsid w:val="00B4373F"/>
    <w:rsid w:val="00B4382D"/>
    <w:rsid w:val="00B43A20"/>
    <w:rsid w:val="00B43AAF"/>
    <w:rsid w:val="00B43C78"/>
    <w:rsid w:val="00B43CA5"/>
    <w:rsid w:val="00B43DDF"/>
    <w:rsid w:val="00B441D9"/>
    <w:rsid w:val="00B4490D"/>
    <w:rsid w:val="00B44D88"/>
    <w:rsid w:val="00B44E6A"/>
    <w:rsid w:val="00B451B0"/>
    <w:rsid w:val="00B45284"/>
    <w:rsid w:val="00B4534E"/>
    <w:rsid w:val="00B4555B"/>
    <w:rsid w:val="00B4585D"/>
    <w:rsid w:val="00B45C0A"/>
    <w:rsid w:val="00B45C54"/>
    <w:rsid w:val="00B45D87"/>
    <w:rsid w:val="00B45F30"/>
    <w:rsid w:val="00B45FDD"/>
    <w:rsid w:val="00B46085"/>
    <w:rsid w:val="00B46292"/>
    <w:rsid w:val="00B46333"/>
    <w:rsid w:val="00B46397"/>
    <w:rsid w:val="00B466CC"/>
    <w:rsid w:val="00B466D6"/>
    <w:rsid w:val="00B4682D"/>
    <w:rsid w:val="00B46997"/>
    <w:rsid w:val="00B47051"/>
    <w:rsid w:val="00B47935"/>
    <w:rsid w:val="00B479CE"/>
    <w:rsid w:val="00B47A3F"/>
    <w:rsid w:val="00B47EC0"/>
    <w:rsid w:val="00B50146"/>
    <w:rsid w:val="00B5034A"/>
    <w:rsid w:val="00B50433"/>
    <w:rsid w:val="00B5046D"/>
    <w:rsid w:val="00B50724"/>
    <w:rsid w:val="00B50ABB"/>
    <w:rsid w:val="00B50AC7"/>
    <w:rsid w:val="00B50E95"/>
    <w:rsid w:val="00B510C1"/>
    <w:rsid w:val="00B51135"/>
    <w:rsid w:val="00B51464"/>
    <w:rsid w:val="00B5146F"/>
    <w:rsid w:val="00B518DD"/>
    <w:rsid w:val="00B51BAB"/>
    <w:rsid w:val="00B51E47"/>
    <w:rsid w:val="00B51EA8"/>
    <w:rsid w:val="00B521AB"/>
    <w:rsid w:val="00B52201"/>
    <w:rsid w:val="00B524AF"/>
    <w:rsid w:val="00B5253C"/>
    <w:rsid w:val="00B52649"/>
    <w:rsid w:val="00B528FE"/>
    <w:rsid w:val="00B52B1D"/>
    <w:rsid w:val="00B52C86"/>
    <w:rsid w:val="00B53483"/>
    <w:rsid w:val="00B535D6"/>
    <w:rsid w:val="00B53685"/>
    <w:rsid w:val="00B53937"/>
    <w:rsid w:val="00B53BEB"/>
    <w:rsid w:val="00B5405C"/>
    <w:rsid w:val="00B5408A"/>
    <w:rsid w:val="00B54268"/>
    <w:rsid w:val="00B54938"/>
    <w:rsid w:val="00B54C59"/>
    <w:rsid w:val="00B54EAC"/>
    <w:rsid w:val="00B55105"/>
    <w:rsid w:val="00B55112"/>
    <w:rsid w:val="00B55151"/>
    <w:rsid w:val="00B55203"/>
    <w:rsid w:val="00B55227"/>
    <w:rsid w:val="00B55649"/>
    <w:rsid w:val="00B558BD"/>
    <w:rsid w:val="00B55978"/>
    <w:rsid w:val="00B55AA3"/>
    <w:rsid w:val="00B55C48"/>
    <w:rsid w:val="00B55E55"/>
    <w:rsid w:val="00B56083"/>
    <w:rsid w:val="00B5624B"/>
    <w:rsid w:val="00B5639C"/>
    <w:rsid w:val="00B56497"/>
    <w:rsid w:val="00B5653A"/>
    <w:rsid w:val="00B56728"/>
    <w:rsid w:val="00B574AD"/>
    <w:rsid w:val="00B57645"/>
    <w:rsid w:val="00B576A1"/>
    <w:rsid w:val="00B5795A"/>
    <w:rsid w:val="00B57D00"/>
    <w:rsid w:val="00B57D3B"/>
    <w:rsid w:val="00B57D6F"/>
    <w:rsid w:val="00B57D93"/>
    <w:rsid w:val="00B57E24"/>
    <w:rsid w:val="00B57EDA"/>
    <w:rsid w:val="00B60143"/>
    <w:rsid w:val="00B60A05"/>
    <w:rsid w:val="00B60DA3"/>
    <w:rsid w:val="00B6105D"/>
    <w:rsid w:val="00B61075"/>
    <w:rsid w:val="00B610CF"/>
    <w:rsid w:val="00B6133D"/>
    <w:rsid w:val="00B616F5"/>
    <w:rsid w:val="00B61920"/>
    <w:rsid w:val="00B61C8D"/>
    <w:rsid w:val="00B621EC"/>
    <w:rsid w:val="00B625D7"/>
    <w:rsid w:val="00B62D23"/>
    <w:rsid w:val="00B62DE4"/>
    <w:rsid w:val="00B63370"/>
    <w:rsid w:val="00B6394B"/>
    <w:rsid w:val="00B639C3"/>
    <w:rsid w:val="00B63AEF"/>
    <w:rsid w:val="00B63D5F"/>
    <w:rsid w:val="00B63D96"/>
    <w:rsid w:val="00B6406F"/>
    <w:rsid w:val="00B64159"/>
    <w:rsid w:val="00B641C5"/>
    <w:rsid w:val="00B64431"/>
    <w:rsid w:val="00B6449F"/>
    <w:rsid w:val="00B644C2"/>
    <w:rsid w:val="00B64609"/>
    <w:rsid w:val="00B649A0"/>
    <w:rsid w:val="00B64A7A"/>
    <w:rsid w:val="00B64B64"/>
    <w:rsid w:val="00B64F08"/>
    <w:rsid w:val="00B65047"/>
    <w:rsid w:val="00B65A5E"/>
    <w:rsid w:val="00B65AE0"/>
    <w:rsid w:val="00B65B0A"/>
    <w:rsid w:val="00B65BA3"/>
    <w:rsid w:val="00B65DBB"/>
    <w:rsid w:val="00B66144"/>
    <w:rsid w:val="00B663B4"/>
    <w:rsid w:val="00B663D2"/>
    <w:rsid w:val="00B663EB"/>
    <w:rsid w:val="00B66533"/>
    <w:rsid w:val="00B66BDE"/>
    <w:rsid w:val="00B67197"/>
    <w:rsid w:val="00B674F0"/>
    <w:rsid w:val="00B6762E"/>
    <w:rsid w:val="00B677EC"/>
    <w:rsid w:val="00B67BA4"/>
    <w:rsid w:val="00B67ED1"/>
    <w:rsid w:val="00B7032E"/>
    <w:rsid w:val="00B70381"/>
    <w:rsid w:val="00B70A49"/>
    <w:rsid w:val="00B70C0F"/>
    <w:rsid w:val="00B70D35"/>
    <w:rsid w:val="00B710CE"/>
    <w:rsid w:val="00B7130B"/>
    <w:rsid w:val="00B71469"/>
    <w:rsid w:val="00B71B16"/>
    <w:rsid w:val="00B71C57"/>
    <w:rsid w:val="00B72072"/>
    <w:rsid w:val="00B721BA"/>
    <w:rsid w:val="00B7226D"/>
    <w:rsid w:val="00B72466"/>
    <w:rsid w:val="00B72828"/>
    <w:rsid w:val="00B728C9"/>
    <w:rsid w:val="00B729C3"/>
    <w:rsid w:val="00B72C64"/>
    <w:rsid w:val="00B72E64"/>
    <w:rsid w:val="00B72F22"/>
    <w:rsid w:val="00B7367E"/>
    <w:rsid w:val="00B73945"/>
    <w:rsid w:val="00B7398E"/>
    <w:rsid w:val="00B740A0"/>
    <w:rsid w:val="00B741FA"/>
    <w:rsid w:val="00B748AC"/>
    <w:rsid w:val="00B74ADE"/>
    <w:rsid w:val="00B74CC1"/>
    <w:rsid w:val="00B74E60"/>
    <w:rsid w:val="00B74E77"/>
    <w:rsid w:val="00B75237"/>
    <w:rsid w:val="00B754F2"/>
    <w:rsid w:val="00B7554D"/>
    <w:rsid w:val="00B75575"/>
    <w:rsid w:val="00B755ED"/>
    <w:rsid w:val="00B75ADC"/>
    <w:rsid w:val="00B75ADF"/>
    <w:rsid w:val="00B75C10"/>
    <w:rsid w:val="00B75CFA"/>
    <w:rsid w:val="00B75FEB"/>
    <w:rsid w:val="00B76137"/>
    <w:rsid w:val="00B76151"/>
    <w:rsid w:val="00B761AA"/>
    <w:rsid w:val="00B761DD"/>
    <w:rsid w:val="00B762E4"/>
    <w:rsid w:val="00B76A00"/>
    <w:rsid w:val="00B76A8E"/>
    <w:rsid w:val="00B76AEB"/>
    <w:rsid w:val="00B7712B"/>
    <w:rsid w:val="00B7717A"/>
    <w:rsid w:val="00B77223"/>
    <w:rsid w:val="00B77391"/>
    <w:rsid w:val="00B77D32"/>
    <w:rsid w:val="00B800BC"/>
    <w:rsid w:val="00B8015E"/>
    <w:rsid w:val="00B802EA"/>
    <w:rsid w:val="00B803F8"/>
    <w:rsid w:val="00B8072F"/>
    <w:rsid w:val="00B808B1"/>
    <w:rsid w:val="00B80CE0"/>
    <w:rsid w:val="00B8105F"/>
    <w:rsid w:val="00B810E4"/>
    <w:rsid w:val="00B8111F"/>
    <w:rsid w:val="00B8116E"/>
    <w:rsid w:val="00B811A9"/>
    <w:rsid w:val="00B81422"/>
    <w:rsid w:val="00B81998"/>
    <w:rsid w:val="00B81D76"/>
    <w:rsid w:val="00B82146"/>
    <w:rsid w:val="00B82241"/>
    <w:rsid w:val="00B823BB"/>
    <w:rsid w:val="00B82436"/>
    <w:rsid w:val="00B824B0"/>
    <w:rsid w:val="00B82522"/>
    <w:rsid w:val="00B828C2"/>
    <w:rsid w:val="00B82B3A"/>
    <w:rsid w:val="00B82C3F"/>
    <w:rsid w:val="00B82F6B"/>
    <w:rsid w:val="00B831FA"/>
    <w:rsid w:val="00B832FF"/>
    <w:rsid w:val="00B83528"/>
    <w:rsid w:val="00B83839"/>
    <w:rsid w:val="00B83951"/>
    <w:rsid w:val="00B83A2F"/>
    <w:rsid w:val="00B83CD8"/>
    <w:rsid w:val="00B83EFA"/>
    <w:rsid w:val="00B84322"/>
    <w:rsid w:val="00B845D9"/>
    <w:rsid w:val="00B848EA"/>
    <w:rsid w:val="00B85151"/>
    <w:rsid w:val="00B857FC"/>
    <w:rsid w:val="00B85B18"/>
    <w:rsid w:val="00B85B1C"/>
    <w:rsid w:val="00B85C5F"/>
    <w:rsid w:val="00B85CB0"/>
    <w:rsid w:val="00B85D3C"/>
    <w:rsid w:val="00B85DA1"/>
    <w:rsid w:val="00B85DB6"/>
    <w:rsid w:val="00B85F82"/>
    <w:rsid w:val="00B8650B"/>
    <w:rsid w:val="00B86523"/>
    <w:rsid w:val="00B86834"/>
    <w:rsid w:val="00B86842"/>
    <w:rsid w:val="00B871FB"/>
    <w:rsid w:val="00B8751E"/>
    <w:rsid w:val="00B8767A"/>
    <w:rsid w:val="00B877AC"/>
    <w:rsid w:val="00B87829"/>
    <w:rsid w:val="00B878BA"/>
    <w:rsid w:val="00B878C0"/>
    <w:rsid w:val="00B87999"/>
    <w:rsid w:val="00B87B06"/>
    <w:rsid w:val="00B87B49"/>
    <w:rsid w:val="00B90017"/>
    <w:rsid w:val="00B90B01"/>
    <w:rsid w:val="00B90BC0"/>
    <w:rsid w:val="00B90D77"/>
    <w:rsid w:val="00B90DA8"/>
    <w:rsid w:val="00B90F2C"/>
    <w:rsid w:val="00B90FAA"/>
    <w:rsid w:val="00B913AA"/>
    <w:rsid w:val="00B91938"/>
    <w:rsid w:val="00B91A4A"/>
    <w:rsid w:val="00B91B06"/>
    <w:rsid w:val="00B91BED"/>
    <w:rsid w:val="00B91CDD"/>
    <w:rsid w:val="00B91D03"/>
    <w:rsid w:val="00B91D6C"/>
    <w:rsid w:val="00B92454"/>
    <w:rsid w:val="00B925AE"/>
    <w:rsid w:val="00B92AAA"/>
    <w:rsid w:val="00B93083"/>
    <w:rsid w:val="00B932C2"/>
    <w:rsid w:val="00B93500"/>
    <w:rsid w:val="00B93889"/>
    <w:rsid w:val="00B939A3"/>
    <w:rsid w:val="00B93B5A"/>
    <w:rsid w:val="00B94031"/>
    <w:rsid w:val="00B945FC"/>
    <w:rsid w:val="00B94920"/>
    <w:rsid w:val="00B94993"/>
    <w:rsid w:val="00B94EBF"/>
    <w:rsid w:val="00B95002"/>
    <w:rsid w:val="00B9534D"/>
    <w:rsid w:val="00B95478"/>
    <w:rsid w:val="00B958F2"/>
    <w:rsid w:val="00B95939"/>
    <w:rsid w:val="00B959E9"/>
    <w:rsid w:val="00B95A92"/>
    <w:rsid w:val="00B95C2F"/>
    <w:rsid w:val="00B96200"/>
    <w:rsid w:val="00B96414"/>
    <w:rsid w:val="00B964AD"/>
    <w:rsid w:val="00B967F4"/>
    <w:rsid w:val="00B9685F"/>
    <w:rsid w:val="00B96ECB"/>
    <w:rsid w:val="00B97202"/>
    <w:rsid w:val="00B97992"/>
    <w:rsid w:val="00B979E0"/>
    <w:rsid w:val="00B97B59"/>
    <w:rsid w:val="00B97CBA"/>
    <w:rsid w:val="00B97F0B"/>
    <w:rsid w:val="00BA01B4"/>
    <w:rsid w:val="00BA02A4"/>
    <w:rsid w:val="00BA02F8"/>
    <w:rsid w:val="00BA0425"/>
    <w:rsid w:val="00BA0549"/>
    <w:rsid w:val="00BA0715"/>
    <w:rsid w:val="00BA0AFA"/>
    <w:rsid w:val="00BA0ED5"/>
    <w:rsid w:val="00BA101E"/>
    <w:rsid w:val="00BA10FA"/>
    <w:rsid w:val="00BA1428"/>
    <w:rsid w:val="00BA146E"/>
    <w:rsid w:val="00BA1E91"/>
    <w:rsid w:val="00BA1EFF"/>
    <w:rsid w:val="00BA1F30"/>
    <w:rsid w:val="00BA2028"/>
    <w:rsid w:val="00BA24C2"/>
    <w:rsid w:val="00BA265D"/>
    <w:rsid w:val="00BA27B4"/>
    <w:rsid w:val="00BA27C4"/>
    <w:rsid w:val="00BA2887"/>
    <w:rsid w:val="00BA2F01"/>
    <w:rsid w:val="00BA31E4"/>
    <w:rsid w:val="00BA36F2"/>
    <w:rsid w:val="00BA3C69"/>
    <w:rsid w:val="00BA3F1F"/>
    <w:rsid w:val="00BA43E4"/>
    <w:rsid w:val="00BA472D"/>
    <w:rsid w:val="00BA4929"/>
    <w:rsid w:val="00BA4A67"/>
    <w:rsid w:val="00BA4CB5"/>
    <w:rsid w:val="00BA4D61"/>
    <w:rsid w:val="00BA4D9F"/>
    <w:rsid w:val="00BA4F58"/>
    <w:rsid w:val="00BA5108"/>
    <w:rsid w:val="00BA532D"/>
    <w:rsid w:val="00BA5678"/>
    <w:rsid w:val="00BA591D"/>
    <w:rsid w:val="00BA5EC4"/>
    <w:rsid w:val="00BA623C"/>
    <w:rsid w:val="00BA6258"/>
    <w:rsid w:val="00BA6373"/>
    <w:rsid w:val="00BA6778"/>
    <w:rsid w:val="00BA6890"/>
    <w:rsid w:val="00BA692F"/>
    <w:rsid w:val="00BA69A4"/>
    <w:rsid w:val="00BA6A4C"/>
    <w:rsid w:val="00BA6B31"/>
    <w:rsid w:val="00BA6C41"/>
    <w:rsid w:val="00BA6C52"/>
    <w:rsid w:val="00BA6FCD"/>
    <w:rsid w:val="00BA71BA"/>
    <w:rsid w:val="00BA78CF"/>
    <w:rsid w:val="00BA7AA0"/>
    <w:rsid w:val="00BA7BCD"/>
    <w:rsid w:val="00BA7BDB"/>
    <w:rsid w:val="00BA7C40"/>
    <w:rsid w:val="00BB00D7"/>
    <w:rsid w:val="00BB014E"/>
    <w:rsid w:val="00BB0213"/>
    <w:rsid w:val="00BB05A5"/>
    <w:rsid w:val="00BB0795"/>
    <w:rsid w:val="00BB0C62"/>
    <w:rsid w:val="00BB188C"/>
    <w:rsid w:val="00BB1903"/>
    <w:rsid w:val="00BB19E3"/>
    <w:rsid w:val="00BB1C00"/>
    <w:rsid w:val="00BB1D2E"/>
    <w:rsid w:val="00BB1E7E"/>
    <w:rsid w:val="00BB2043"/>
    <w:rsid w:val="00BB2198"/>
    <w:rsid w:val="00BB21DA"/>
    <w:rsid w:val="00BB24AE"/>
    <w:rsid w:val="00BB26E2"/>
    <w:rsid w:val="00BB28A2"/>
    <w:rsid w:val="00BB2A87"/>
    <w:rsid w:val="00BB2B09"/>
    <w:rsid w:val="00BB2D3D"/>
    <w:rsid w:val="00BB2DF3"/>
    <w:rsid w:val="00BB2F99"/>
    <w:rsid w:val="00BB320C"/>
    <w:rsid w:val="00BB33EB"/>
    <w:rsid w:val="00BB3538"/>
    <w:rsid w:val="00BB36F8"/>
    <w:rsid w:val="00BB373B"/>
    <w:rsid w:val="00BB3874"/>
    <w:rsid w:val="00BB3877"/>
    <w:rsid w:val="00BB3954"/>
    <w:rsid w:val="00BB3A2E"/>
    <w:rsid w:val="00BB41CF"/>
    <w:rsid w:val="00BB4767"/>
    <w:rsid w:val="00BB4DAC"/>
    <w:rsid w:val="00BB50B7"/>
    <w:rsid w:val="00BB51E4"/>
    <w:rsid w:val="00BB5218"/>
    <w:rsid w:val="00BB542F"/>
    <w:rsid w:val="00BB5590"/>
    <w:rsid w:val="00BB5604"/>
    <w:rsid w:val="00BB57D1"/>
    <w:rsid w:val="00BB581C"/>
    <w:rsid w:val="00BB5955"/>
    <w:rsid w:val="00BB5A22"/>
    <w:rsid w:val="00BB5AE0"/>
    <w:rsid w:val="00BB5CF4"/>
    <w:rsid w:val="00BB5F46"/>
    <w:rsid w:val="00BB5FE4"/>
    <w:rsid w:val="00BB6088"/>
    <w:rsid w:val="00BB627A"/>
    <w:rsid w:val="00BB6335"/>
    <w:rsid w:val="00BB645C"/>
    <w:rsid w:val="00BB66A4"/>
    <w:rsid w:val="00BB6876"/>
    <w:rsid w:val="00BB6945"/>
    <w:rsid w:val="00BB6C80"/>
    <w:rsid w:val="00BB6C95"/>
    <w:rsid w:val="00BB70F7"/>
    <w:rsid w:val="00BB79D4"/>
    <w:rsid w:val="00BB7C34"/>
    <w:rsid w:val="00BB7FB4"/>
    <w:rsid w:val="00BB7FC1"/>
    <w:rsid w:val="00BC0322"/>
    <w:rsid w:val="00BC0662"/>
    <w:rsid w:val="00BC06C5"/>
    <w:rsid w:val="00BC097C"/>
    <w:rsid w:val="00BC09BB"/>
    <w:rsid w:val="00BC0BA4"/>
    <w:rsid w:val="00BC0C41"/>
    <w:rsid w:val="00BC1353"/>
    <w:rsid w:val="00BC1380"/>
    <w:rsid w:val="00BC1693"/>
    <w:rsid w:val="00BC1701"/>
    <w:rsid w:val="00BC1AA9"/>
    <w:rsid w:val="00BC1BAD"/>
    <w:rsid w:val="00BC20A6"/>
    <w:rsid w:val="00BC2205"/>
    <w:rsid w:val="00BC235D"/>
    <w:rsid w:val="00BC2724"/>
    <w:rsid w:val="00BC29D8"/>
    <w:rsid w:val="00BC2AC0"/>
    <w:rsid w:val="00BC2C3C"/>
    <w:rsid w:val="00BC2C8A"/>
    <w:rsid w:val="00BC2E80"/>
    <w:rsid w:val="00BC3261"/>
    <w:rsid w:val="00BC34A9"/>
    <w:rsid w:val="00BC351F"/>
    <w:rsid w:val="00BC370A"/>
    <w:rsid w:val="00BC3805"/>
    <w:rsid w:val="00BC3840"/>
    <w:rsid w:val="00BC38A4"/>
    <w:rsid w:val="00BC38BC"/>
    <w:rsid w:val="00BC3920"/>
    <w:rsid w:val="00BC39CE"/>
    <w:rsid w:val="00BC3A4F"/>
    <w:rsid w:val="00BC3A72"/>
    <w:rsid w:val="00BC3A80"/>
    <w:rsid w:val="00BC449A"/>
    <w:rsid w:val="00BC4574"/>
    <w:rsid w:val="00BC466D"/>
    <w:rsid w:val="00BC4730"/>
    <w:rsid w:val="00BC4928"/>
    <w:rsid w:val="00BC4DC8"/>
    <w:rsid w:val="00BC511A"/>
    <w:rsid w:val="00BC5436"/>
    <w:rsid w:val="00BC5F0C"/>
    <w:rsid w:val="00BC6423"/>
    <w:rsid w:val="00BC664A"/>
    <w:rsid w:val="00BC67F8"/>
    <w:rsid w:val="00BC6818"/>
    <w:rsid w:val="00BC6A99"/>
    <w:rsid w:val="00BC6E53"/>
    <w:rsid w:val="00BC6F58"/>
    <w:rsid w:val="00BC7145"/>
    <w:rsid w:val="00BC72ED"/>
    <w:rsid w:val="00BC762C"/>
    <w:rsid w:val="00BC77A9"/>
    <w:rsid w:val="00BC7903"/>
    <w:rsid w:val="00BC7A07"/>
    <w:rsid w:val="00BD0049"/>
    <w:rsid w:val="00BD01E4"/>
    <w:rsid w:val="00BD04AF"/>
    <w:rsid w:val="00BD0779"/>
    <w:rsid w:val="00BD0835"/>
    <w:rsid w:val="00BD0AEC"/>
    <w:rsid w:val="00BD0B02"/>
    <w:rsid w:val="00BD0E3B"/>
    <w:rsid w:val="00BD190B"/>
    <w:rsid w:val="00BD1D39"/>
    <w:rsid w:val="00BD21A0"/>
    <w:rsid w:val="00BD2338"/>
    <w:rsid w:val="00BD2498"/>
    <w:rsid w:val="00BD2552"/>
    <w:rsid w:val="00BD2572"/>
    <w:rsid w:val="00BD2806"/>
    <w:rsid w:val="00BD28E5"/>
    <w:rsid w:val="00BD29F0"/>
    <w:rsid w:val="00BD2B37"/>
    <w:rsid w:val="00BD2C90"/>
    <w:rsid w:val="00BD307C"/>
    <w:rsid w:val="00BD3314"/>
    <w:rsid w:val="00BD3389"/>
    <w:rsid w:val="00BD33C4"/>
    <w:rsid w:val="00BD3443"/>
    <w:rsid w:val="00BD3533"/>
    <w:rsid w:val="00BD3C7C"/>
    <w:rsid w:val="00BD415D"/>
    <w:rsid w:val="00BD4176"/>
    <w:rsid w:val="00BD418F"/>
    <w:rsid w:val="00BD44CC"/>
    <w:rsid w:val="00BD4F4D"/>
    <w:rsid w:val="00BD5141"/>
    <w:rsid w:val="00BD53A0"/>
    <w:rsid w:val="00BD55B7"/>
    <w:rsid w:val="00BD56FE"/>
    <w:rsid w:val="00BD5B99"/>
    <w:rsid w:val="00BD6136"/>
    <w:rsid w:val="00BD620C"/>
    <w:rsid w:val="00BD634F"/>
    <w:rsid w:val="00BD66F1"/>
    <w:rsid w:val="00BD697A"/>
    <w:rsid w:val="00BD6EA9"/>
    <w:rsid w:val="00BD707F"/>
    <w:rsid w:val="00BD70AF"/>
    <w:rsid w:val="00BD7206"/>
    <w:rsid w:val="00BD7507"/>
    <w:rsid w:val="00BD755D"/>
    <w:rsid w:val="00BD780E"/>
    <w:rsid w:val="00BD7894"/>
    <w:rsid w:val="00BD78B9"/>
    <w:rsid w:val="00BD79E3"/>
    <w:rsid w:val="00BD7B2F"/>
    <w:rsid w:val="00BD7C0F"/>
    <w:rsid w:val="00BD7CC8"/>
    <w:rsid w:val="00BD7DA9"/>
    <w:rsid w:val="00BD7FF7"/>
    <w:rsid w:val="00BE0484"/>
    <w:rsid w:val="00BE0533"/>
    <w:rsid w:val="00BE055E"/>
    <w:rsid w:val="00BE0B29"/>
    <w:rsid w:val="00BE0BA6"/>
    <w:rsid w:val="00BE0C5D"/>
    <w:rsid w:val="00BE1005"/>
    <w:rsid w:val="00BE12CA"/>
    <w:rsid w:val="00BE1BF0"/>
    <w:rsid w:val="00BE1D00"/>
    <w:rsid w:val="00BE1ED6"/>
    <w:rsid w:val="00BE1F11"/>
    <w:rsid w:val="00BE1F39"/>
    <w:rsid w:val="00BE22D8"/>
    <w:rsid w:val="00BE23B2"/>
    <w:rsid w:val="00BE2649"/>
    <w:rsid w:val="00BE265A"/>
    <w:rsid w:val="00BE2697"/>
    <w:rsid w:val="00BE27CA"/>
    <w:rsid w:val="00BE29E1"/>
    <w:rsid w:val="00BE2A22"/>
    <w:rsid w:val="00BE2B4F"/>
    <w:rsid w:val="00BE2CAF"/>
    <w:rsid w:val="00BE2D64"/>
    <w:rsid w:val="00BE2E83"/>
    <w:rsid w:val="00BE2EB5"/>
    <w:rsid w:val="00BE2FA7"/>
    <w:rsid w:val="00BE300B"/>
    <w:rsid w:val="00BE33A5"/>
    <w:rsid w:val="00BE35A9"/>
    <w:rsid w:val="00BE3ABD"/>
    <w:rsid w:val="00BE3C32"/>
    <w:rsid w:val="00BE3EC3"/>
    <w:rsid w:val="00BE3F89"/>
    <w:rsid w:val="00BE4598"/>
    <w:rsid w:val="00BE468C"/>
    <w:rsid w:val="00BE4AA0"/>
    <w:rsid w:val="00BE527F"/>
    <w:rsid w:val="00BE540D"/>
    <w:rsid w:val="00BE55F6"/>
    <w:rsid w:val="00BE5AB9"/>
    <w:rsid w:val="00BE5E2B"/>
    <w:rsid w:val="00BE5E50"/>
    <w:rsid w:val="00BE61DB"/>
    <w:rsid w:val="00BE625C"/>
    <w:rsid w:val="00BE655D"/>
    <w:rsid w:val="00BE66E7"/>
    <w:rsid w:val="00BE6796"/>
    <w:rsid w:val="00BE71F2"/>
    <w:rsid w:val="00BE75F7"/>
    <w:rsid w:val="00BE766D"/>
    <w:rsid w:val="00BE76E3"/>
    <w:rsid w:val="00BE7A5D"/>
    <w:rsid w:val="00BE7ED5"/>
    <w:rsid w:val="00BE7F25"/>
    <w:rsid w:val="00BF0534"/>
    <w:rsid w:val="00BF06F8"/>
    <w:rsid w:val="00BF0909"/>
    <w:rsid w:val="00BF097D"/>
    <w:rsid w:val="00BF0BB2"/>
    <w:rsid w:val="00BF0BC7"/>
    <w:rsid w:val="00BF1284"/>
    <w:rsid w:val="00BF12A3"/>
    <w:rsid w:val="00BF150C"/>
    <w:rsid w:val="00BF15FB"/>
    <w:rsid w:val="00BF1601"/>
    <w:rsid w:val="00BF1871"/>
    <w:rsid w:val="00BF19C2"/>
    <w:rsid w:val="00BF1B05"/>
    <w:rsid w:val="00BF1E61"/>
    <w:rsid w:val="00BF1F57"/>
    <w:rsid w:val="00BF2117"/>
    <w:rsid w:val="00BF2530"/>
    <w:rsid w:val="00BF26DA"/>
    <w:rsid w:val="00BF338E"/>
    <w:rsid w:val="00BF339B"/>
    <w:rsid w:val="00BF33FB"/>
    <w:rsid w:val="00BF3482"/>
    <w:rsid w:val="00BF3635"/>
    <w:rsid w:val="00BF3C9E"/>
    <w:rsid w:val="00BF3CD8"/>
    <w:rsid w:val="00BF403F"/>
    <w:rsid w:val="00BF4077"/>
    <w:rsid w:val="00BF420E"/>
    <w:rsid w:val="00BF4278"/>
    <w:rsid w:val="00BF45E6"/>
    <w:rsid w:val="00BF4930"/>
    <w:rsid w:val="00BF4BBE"/>
    <w:rsid w:val="00BF4DD4"/>
    <w:rsid w:val="00BF5212"/>
    <w:rsid w:val="00BF55BD"/>
    <w:rsid w:val="00BF5B3C"/>
    <w:rsid w:val="00BF5C03"/>
    <w:rsid w:val="00BF5E54"/>
    <w:rsid w:val="00BF5E6B"/>
    <w:rsid w:val="00BF5E7D"/>
    <w:rsid w:val="00BF5EEE"/>
    <w:rsid w:val="00BF6054"/>
    <w:rsid w:val="00BF69C5"/>
    <w:rsid w:val="00BF6CF1"/>
    <w:rsid w:val="00BF6E98"/>
    <w:rsid w:val="00BF6F76"/>
    <w:rsid w:val="00BF70A3"/>
    <w:rsid w:val="00BF710B"/>
    <w:rsid w:val="00BF7EF9"/>
    <w:rsid w:val="00BF7F91"/>
    <w:rsid w:val="00BF7FA4"/>
    <w:rsid w:val="00C0026B"/>
    <w:rsid w:val="00C00417"/>
    <w:rsid w:val="00C00584"/>
    <w:rsid w:val="00C00710"/>
    <w:rsid w:val="00C00A87"/>
    <w:rsid w:val="00C00AC7"/>
    <w:rsid w:val="00C00B0A"/>
    <w:rsid w:val="00C00D1B"/>
    <w:rsid w:val="00C00FDC"/>
    <w:rsid w:val="00C0112E"/>
    <w:rsid w:val="00C011D4"/>
    <w:rsid w:val="00C013B8"/>
    <w:rsid w:val="00C01443"/>
    <w:rsid w:val="00C01766"/>
    <w:rsid w:val="00C0177C"/>
    <w:rsid w:val="00C01800"/>
    <w:rsid w:val="00C0185E"/>
    <w:rsid w:val="00C02041"/>
    <w:rsid w:val="00C0217B"/>
    <w:rsid w:val="00C0222A"/>
    <w:rsid w:val="00C022C6"/>
    <w:rsid w:val="00C03055"/>
    <w:rsid w:val="00C03AC0"/>
    <w:rsid w:val="00C03AEE"/>
    <w:rsid w:val="00C03B7A"/>
    <w:rsid w:val="00C0405B"/>
    <w:rsid w:val="00C0436D"/>
    <w:rsid w:val="00C043E6"/>
    <w:rsid w:val="00C04527"/>
    <w:rsid w:val="00C046A9"/>
    <w:rsid w:val="00C048BC"/>
    <w:rsid w:val="00C04F62"/>
    <w:rsid w:val="00C0517D"/>
    <w:rsid w:val="00C05407"/>
    <w:rsid w:val="00C0546F"/>
    <w:rsid w:val="00C0548C"/>
    <w:rsid w:val="00C055B0"/>
    <w:rsid w:val="00C056AF"/>
    <w:rsid w:val="00C0597F"/>
    <w:rsid w:val="00C05A4D"/>
    <w:rsid w:val="00C05A57"/>
    <w:rsid w:val="00C05A7C"/>
    <w:rsid w:val="00C05E24"/>
    <w:rsid w:val="00C06114"/>
    <w:rsid w:val="00C06372"/>
    <w:rsid w:val="00C064DB"/>
    <w:rsid w:val="00C06A75"/>
    <w:rsid w:val="00C06D3A"/>
    <w:rsid w:val="00C06DA1"/>
    <w:rsid w:val="00C072DC"/>
    <w:rsid w:val="00C07461"/>
    <w:rsid w:val="00C075FB"/>
    <w:rsid w:val="00C077B4"/>
    <w:rsid w:val="00C07822"/>
    <w:rsid w:val="00C07B2B"/>
    <w:rsid w:val="00C07F65"/>
    <w:rsid w:val="00C10325"/>
    <w:rsid w:val="00C104D3"/>
    <w:rsid w:val="00C106E3"/>
    <w:rsid w:val="00C10734"/>
    <w:rsid w:val="00C10C09"/>
    <w:rsid w:val="00C10F81"/>
    <w:rsid w:val="00C111BE"/>
    <w:rsid w:val="00C113C3"/>
    <w:rsid w:val="00C11788"/>
    <w:rsid w:val="00C117F6"/>
    <w:rsid w:val="00C11834"/>
    <w:rsid w:val="00C118E5"/>
    <w:rsid w:val="00C11932"/>
    <w:rsid w:val="00C119DA"/>
    <w:rsid w:val="00C11EBF"/>
    <w:rsid w:val="00C11F29"/>
    <w:rsid w:val="00C1205A"/>
    <w:rsid w:val="00C122C3"/>
    <w:rsid w:val="00C122D7"/>
    <w:rsid w:val="00C123D7"/>
    <w:rsid w:val="00C12A01"/>
    <w:rsid w:val="00C12B5F"/>
    <w:rsid w:val="00C12C10"/>
    <w:rsid w:val="00C12C53"/>
    <w:rsid w:val="00C12D1D"/>
    <w:rsid w:val="00C12F83"/>
    <w:rsid w:val="00C13321"/>
    <w:rsid w:val="00C1339F"/>
    <w:rsid w:val="00C13512"/>
    <w:rsid w:val="00C13967"/>
    <w:rsid w:val="00C13A03"/>
    <w:rsid w:val="00C13EFE"/>
    <w:rsid w:val="00C1400D"/>
    <w:rsid w:val="00C14417"/>
    <w:rsid w:val="00C14923"/>
    <w:rsid w:val="00C1516C"/>
    <w:rsid w:val="00C154E0"/>
    <w:rsid w:val="00C156F8"/>
    <w:rsid w:val="00C157D0"/>
    <w:rsid w:val="00C15949"/>
    <w:rsid w:val="00C159BB"/>
    <w:rsid w:val="00C15D23"/>
    <w:rsid w:val="00C160D2"/>
    <w:rsid w:val="00C16151"/>
    <w:rsid w:val="00C16941"/>
    <w:rsid w:val="00C16AC0"/>
    <w:rsid w:val="00C16B14"/>
    <w:rsid w:val="00C16E88"/>
    <w:rsid w:val="00C16ECC"/>
    <w:rsid w:val="00C173D6"/>
    <w:rsid w:val="00C17456"/>
    <w:rsid w:val="00C1794E"/>
    <w:rsid w:val="00C17BAC"/>
    <w:rsid w:val="00C17C1F"/>
    <w:rsid w:val="00C17D20"/>
    <w:rsid w:val="00C17FB6"/>
    <w:rsid w:val="00C20146"/>
    <w:rsid w:val="00C201D1"/>
    <w:rsid w:val="00C202E9"/>
    <w:rsid w:val="00C20391"/>
    <w:rsid w:val="00C203C7"/>
    <w:rsid w:val="00C207E1"/>
    <w:rsid w:val="00C208D1"/>
    <w:rsid w:val="00C20D4A"/>
    <w:rsid w:val="00C211F1"/>
    <w:rsid w:val="00C212B0"/>
    <w:rsid w:val="00C212DF"/>
    <w:rsid w:val="00C2147F"/>
    <w:rsid w:val="00C214B6"/>
    <w:rsid w:val="00C21723"/>
    <w:rsid w:val="00C21743"/>
    <w:rsid w:val="00C21755"/>
    <w:rsid w:val="00C21807"/>
    <w:rsid w:val="00C21BB7"/>
    <w:rsid w:val="00C21D79"/>
    <w:rsid w:val="00C22391"/>
    <w:rsid w:val="00C225D8"/>
    <w:rsid w:val="00C229C1"/>
    <w:rsid w:val="00C229F3"/>
    <w:rsid w:val="00C22A82"/>
    <w:rsid w:val="00C23510"/>
    <w:rsid w:val="00C23784"/>
    <w:rsid w:val="00C2399B"/>
    <w:rsid w:val="00C23B5A"/>
    <w:rsid w:val="00C23DBE"/>
    <w:rsid w:val="00C242F0"/>
    <w:rsid w:val="00C24CD6"/>
    <w:rsid w:val="00C24D9E"/>
    <w:rsid w:val="00C24E39"/>
    <w:rsid w:val="00C2512B"/>
    <w:rsid w:val="00C259AB"/>
    <w:rsid w:val="00C25B31"/>
    <w:rsid w:val="00C25CF0"/>
    <w:rsid w:val="00C25D66"/>
    <w:rsid w:val="00C25D70"/>
    <w:rsid w:val="00C2687C"/>
    <w:rsid w:val="00C26911"/>
    <w:rsid w:val="00C269FA"/>
    <w:rsid w:val="00C26A4B"/>
    <w:rsid w:val="00C26AED"/>
    <w:rsid w:val="00C26E40"/>
    <w:rsid w:val="00C26E6C"/>
    <w:rsid w:val="00C26EC8"/>
    <w:rsid w:val="00C2700D"/>
    <w:rsid w:val="00C2713A"/>
    <w:rsid w:val="00C2723D"/>
    <w:rsid w:val="00C272AE"/>
    <w:rsid w:val="00C272C8"/>
    <w:rsid w:val="00C2789F"/>
    <w:rsid w:val="00C301F9"/>
    <w:rsid w:val="00C3064B"/>
    <w:rsid w:val="00C3080B"/>
    <w:rsid w:val="00C308DF"/>
    <w:rsid w:val="00C30C69"/>
    <w:rsid w:val="00C30D2D"/>
    <w:rsid w:val="00C31502"/>
    <w:rsid w:val="00C317A9"/>
    <w:rsid w:val="00C31906"/>
    <w:rsid w:val="00C31C2B"/>
    <w:rsid w:val="00C31DA0"/>
    <w:rsid w:val="00C32348"/>
    <w:rsid w:val="00C3238D"/>
    <w:rsid w:val="00C3239E"/>
    <w:rsid w:val="00C323EF"/>
    <w:rsid w:val="00C324AC"/>
    <w:rsid w:val="00C3261B"/>
    <w:rsid w:val="00C32665"/>
    <w:rsid w:val="00C3285A"/>
    <w:rsid w:val="00C32C93"/>
    <w:rsid w:val="00C33106"/>
    <w:rsid w:val="00C33390"/>
    <w:rsid w:val="00C334D4"/>
    <w:rsid w:val="00C33861"/>
    <w:rsid w:val="00C33C98"/>
    <w:rsid w:val="00C33D0A"/>
    <w:rsid w:val="00C33D80"/>
    <w:rsid w:val="00C33FD0"/>
    <w:rsid w:val="00C34082"/>
    <w:rsid w:val="00C341F8"/>
    <w:rsid w:val="00C3424F"/>
    <w:rsid w:val="00C34541"/>
    <w:rsid w:val="00C34B15"/>
    <w:rsid w:val="00C34B3B"/>
    <w:rsid w:val="00C34C2F"/>
    <w:rsid w:val="00C34DD3"/>
    <w:rsid w:val="00C350E2"/>
    <w:rsid w:val="00C35106"/>
    <w:rsid w:val="00C3541A"/>
    <w:rsid w:val="00C35570"/>
    <w:rsid w:val="00C356BC"/>
    <w:rsid w:val="00C35852"/>
    <w:rsid w:val="00C3588B"/>
    <w:rsid w:val="00C359DD"/>
    <w:rsid w:val="00C35DE7"/>
    <w:rsid w:val="00C36025"/>
    <w:rsid w:val="00C360CF"/>
    <w:rsid w:val="00C361A0"/>
    <w:rsid w:val="00C361D9"/>
    <w:rsid w:val="00C362CD"/>
    <w:rsid w:val="00C368FD"/>
    <w:rsid w:val="00C36A37"/>
    <w:rsid w:val="00C36AF0"/>
    <w:rsid w:val="00C36AF9"/>
    <w:rsid w:val="00C36DA7"/>
    <w:rsid w:val="00C37016"/>
    <w:rsid w:val="00C3723F"/>
    <w:rsid w:val="00C372E5"/>
    <w:rsid w:val="00C37349"/>
    <w:rsid w:val="00C37759"/>
    <w:rsid w:val="00C3777C"/>
    <w:rsid w:val="00C37A4B"/>
    <w:rsid w:val="00C400AC"/>
    <w:rsid w:val="00C40178"/>
    <w:rsid w:val="00C401CB"/>
    <w:rsid w:val="00C405AA"/>
    <w:rsid w:val="00C408E7"/>
    <w:rsid w:val="00C41063"/>
    <w:rsid w:val="00C412FC"/>
    <w:rsid w:val="00C41372"/>
    <w:rsid w:val="00C416F5"/>
    <w:rsid w:val="00C4177E"/>
    <w:rsid w:val="00C41BB7"/>
    <w:rsid w:val="00C41C59"/>
    <w:rsid w:val="00C41D18"/>
    <w:rsid w:val="00C41F19"/>
    <w:rsid w:val="00C4232B"/>
    <w:rsid w:val="00C42466"/>
    <w:rsid w:val="00C427E9"/>
    <w:rsid w:val="00C4295C"/>
    <w:rsid w:val="00C42BC8"/>
    <w:rsid w:val="00C42C6C"/>
    <w:rsid w:val="00C42E85"/>
    <w:rsid w:val="00C433CA"/>
    <w:rsid w:val="00C434FF"/>
    <w:rsid w:val="00C4355E"/>
    <w:rsid w:val="00C43C1E"/>
    <w:rsid w:val="00C43FA8"/>
    <w:rsid w:val="00C4429E"/>
    <w:rsid w:val="00C4472C"/>
    <w:rsid w:val="00C44751"/>
    <w:rsid w:val="00C44C09"/>
    <w:rsid w:val="00C450DF"/>
    <w:rsid w:val="00C45157"/>
    <w:rsid w:val="00C451FF"/>
    <w:rsid w:val="00C4541A"/>
    <w:rsid w:val="00C4541C"/>
    <w:rsid w:val="00C45589"/>
    <w:rsid w:val="00C4571C"/>
    <w:rsid w:val="00C457D1"/>
    <w:rsid w:val="00C459E0"/>
    <w:rsid w:val="00C459F1"/>
    <w:rsid w:val="00C45C14"/>
    <w:rsid w:val="00C462BE"/>
    <w:rsid w:val="00C463BA"/>
    <w:rsid w:val="00C46415"/>
    <w:rsid w:val="00C46479"/>
    <w:rsid w:val="00C46675"/>
    <w:rsid w:val="00C4671C"/>
    <w:rsid w:val="00C46D3A"/>
    <w:rsid w:val="00C46DD9"/>
    <w:rsid w:val="00C46E40"/>
    <w:rsid w:val="00C47030"/>
    <w:rsid w:val="00C47120"/>
    <w:rsid w:val="00C47417"/>
    <w:rsid w:val="00C474C8"/>
    <w:rsid w:val="00C476BA"/>
    <w:rsid w:val="00C478F7"/>
    <w:rsid w:val="00C4792D"/>
    <w:rsid w:val="00C47AA0"/>
    <w:rsid w:val="00C47BF0"/>
    <w:rsid w:val="00C47EDA"/>
    <w:rsid w:val="00C47F3E"/>
    <w:rsid w:val="00C5001C"/>
    <w:rsid w:val="00C5041B"/>
    <w:rsid w:val="00C505EE"/>
    <w:rsid w:val="00C507BF"/>
    <w:rsid w:val="00C508EB"/>
    <w:rsid w:val="00C50952"/>
    <w:rsid w:val="00C50AB2"/>
    <w:rsid w:val="00C50AE1"/>
    <w:rsid w:val="00C50D5D"/>
    <w:rsid w:val="00C50DCC"/>
    <w:rsid w:val="00C51122"/>
    <w:rsid w:val="00C51165"/>
    <w:rsid w:val="00C51260"/>
    <w:rsid w:val="00C5129D"/>
    <w:rsid w:val="00C512DF"/>
    <w:rsid w:val="00C5149C"/>
    <w:rsid w:val="00C5158A"/>
    <w:rsid w:val="00C51843"/>
    <w:rsid w:val="00C5186E"/>
    <w:rsid w:val="00C523DC"/>
    <w:rsid w:val="00C5248C"/>
    <w:rsid w:val="00C524C7"/>
    <w:rsid w:val="00C52743"/>
    <w:rsid w:val="00C52983"/>
    <w:rsid w:val="00C529AF"/>
    <w:rsid w:val="00C531A9"/>
    <w:rsid w:val="00C53214"/>
    <w:rsid w:val="00C53314"/>
    <w:rsid w:val="00C538C3"/>
    <w:rsid w:val="00C53E97"/>
    <w:rsid w:val="00C5400C"/>
    <w:rsid w:val="00C54295"/>
    <w:rsid w:val="00C543E1"/>
    <w:rsid w:val="00C5446C"/>
    <w:rsid w:val="00C54640"/>
    <w:rsid w:val="00C55576"/>
    <w:rsid w:val="00C55B3F"/>
    <w:rsid w:val="00C55C9F"/>
    <w:rsid w:val="00C56393"/>
    <w:rsid w:val="00C56D96"/>
    <w:rsid w:val="00C56DCE"/>
    <w:rsid w:val="00C56ED2"/>
    <w:rsid w:val="00C56F5D"/>
    <w:rsid w:val="00C576F1"/>
    <w:rsid w:val="00C576FB"/>
    <w:rsid w:val="00C578BE"/>
    <w:rsid w:val="00C57B0A"/>
    <w:rsid w:val="00C57E2B"/>
    <w:rsid w:val="00C607D2"/>
    <w:rsid w:val="00C60B60"/>
    <w:rsid w:val="00C60DC4"/>
    <w:rsid w:val="00C60E5D"/>
    <w:rsid w:val="00C612F9"/>
    <w:rsid w:val="00C61315"/>
    <w:rsid w:val="00C615E4"/>
    <w:rsid w:val="00C619D3"/>
    <w:rsid w:val="00C61B9E"/>
    <w:rsid w:val="00C61DDC"/>
    <w:rsid w:val="00C61F45"/>
    <w:rsid w:val="00C62B86"/>
    <w:rsid w:val="00C62D4B"/>
    <w:rsid w:val="00C632D7"/>
    <w:rsid w:val="00C636A0"/>
    <w:rsid w:val="00C637C4"/>
    <w:rsid w:val="00C6380D"/>
    <w:rsid w:val="00C63914"/>
    <w:rsid w:val="00C63DFB"/>
    <w:rsid w:val="00C63EB2"/>
    <w:rsid w:val="00C64241"/>
    <w:rsid w:val="00C642B5"/>
    <w:rsid w:val="00C644CD"/>
    <w:rsid w:val="00C646C5"/>
    <w:rsid w:val="00C647D0"/>
    <w:rsid w:val="00C64844"/>
    <w:rsid w:val="00C6497D"/>
    <w:rsid w:val="00C649DF"/>
    <w:rsid w:val="00C6501E"/>
    <w:rsid w:val="00C652F3"/>
    <w:rsid w:val="00C659D3"/>
    <w:rsid w:val="00C65A91"/>
    <w:rsid w:val="00C65C7F"/>
    <w:rsid w:val="00C65DAC"/>
    <w:rsid w:val="00C66228"/>
    <w:rsid w:val="00C664AF"/>
    <w:rsid w:val="00C6670D"/>
    <w:rsid w:val="00C66968"/>
    <w:rsid w:val="00C66C4B"/>
    <w:rsid w:val="00C66F4C"/>
    <w:rsid w:val="00C67027"/>
    <w:rsid w:val="00C670B2"/>
    <w:rsid w:val="00C6710D"/>
    <w:rsid w:val="00C67194"/>
    <w:rsid w:val="00C675EA"/>
    <w:rsid w:val="00C6787E"/>
    <w:rsid w:val="00C679FE"/>
    <w:rsid w:val="00C67D2E"/>
    <w:rsid w:val="00C700C4"/>
    <w:rsid w:val="00C70801"/>
    <w:rsid w:val="00C70A4E"/>
    <w:rsid w:val="00C710E5"/>
    <w:rsid w:val="00C714E5"/>
    <w:rsid w:val="00C71BB8"/>
    <w:rsid w:val="00C71C7C"/>
    <w:rsid w:val="00C71D66"/>
    <w:rsid w:val="00C72034"/>
    <w:rsid w:val="00C72339"/>
    <w:rsid w:val="00C72535"/>
    <w:rsid w:val="00C7255F"/>
    <w:rsid w:val="00C728B0"/>
    <w:rsid w:val="00C72A4E"/>
    <w:rsid w:val="00C72A8F"/>
    <w:rsid w:val="00C72B30"/>
    <w:rsid w:val="00C72DED"/>
    <w:rsid w:val="00C734E3"/>
    <w:rsid w:val="00C739C6"/>
    <w:rsid w:val="00C73FE7"/>
    <w:rsid w:val="00C74688"/>
    <w:rsid w:val="00C74A96"/>
    <w:rsid w:val="00C74D79"/>
    <w:rsid w:val="00C75099"/>
    <w:rsid w:val="00C75201"/>
    <w:rsid w:val="00C7557B"/>
    <w:rsid w:val="00C757CE"/>
    <w:rsid w:val="00C75A95"/>
    <w:rsid w:val="00C75FB5"/>
    <w:rsid w:val="00C75FD1"/>
    <w:rsid w:val="00C7611C"/>
    <w:rsid w:val="00C76551"/>
    <w:rsid w:val="00C76645"/>
    <w:rsid w:val="00C76722"/>
    <w:rsid w:val="00C768F5"/>
    <w:rsid w:val="00C76C43"/>
    <w:rsid w:val="00C77018"/>
    <w:rsid w:val="00C7710E"/>
    <w:rsid w:val="00C77138"/>
    <w:rsid w:val="00C7718D"/>
    <w:rsid w:val="00C77254"/>
    <w:rsid w:val="00C7734B"/>
    <w:rsid w:val="00C774B6"/>
    <w:rsid w:val="00C77ABC"/>
    <w:rsid w:val="00C8001D"/>
    <w:rsid w:val="00C8063E"/>
    <w:rsid w:val="00C80A42"/>
    <w:rsid w:val="00C80BED"/>
    <w:rsid w:val="00C80C1E"/>
    <w:rsid w:val="00C81188"/>
    <w:rsid w:val="00C814A6"/>
    <w:rsid w:val="00C81851"/>
    <w:rsid w:val="00C819B9"/>
    <w:rsid w:val="00C82014"/>
    <w:rsid w:val="00C8203D"/>
    <w:rsid w:val="00C82127"/>
    <w:rsid w:val="00C829E3"/>
    <w:rsid w:val="00C82AA0"/>
    <w:rsid w:val="00C82BA6"/>
    <w:rsid w:val="00C83062"/>
    <w:rsid w:val="00C8332A"/>
    <w:rsid w:val="00C834B8"/>
    <w:rsid w:val="00C8353B"/>
    <w:rsid w:val="00C83714"/>
    <w:rsid w:val="00C8380F"/>
    <w:rsid w:val="00C83AB7"/>
    <w:rsid w:val="00C83D86"/>
    <w:rsid w:val="00C842DB"/>
    <w:rsid w:val="00C847CC"/>
    <w:rsid w:val="00C848B4"/>
    <w:rsid w:val="00C84B6B"/>
    <w:rsid w:val="00C84D5D"/>
    <w:rsid w:val="00C84E93"/>
    <w:rsid w:val="00C850E6"/>
    <w:rsid w:val="00C85229"/>
    <w:rsid w:val="00C858DE"/>
    <w:rsid w:val="00C85CAF"/>
    <w:rsid w:val="00C85D4B"/>
    <w:rsid w:val="00C85D8A"/>
    <w:rsid w:val="00C85FA0"/>
    <w:rsid w:val="00C86551"/>
    <w:rsid w:val="00C86596"/>
    <w:rsid w:val="00C8665E"/>
    <w:rsid w:val="00C8667E"/>
    <w:rsid w:val="00C866B2"/>
    <w:rsid w:val="00C86A0E"/>
    <w:rsid w:val="00C86C03"/>
    <w:rsid w:val="00C86C2D"/>
    <w:rsid w:val="00C86C9B"/>
    <w:rsid w:val="00C87380"/>
    <w:rsid w:val="00C873A8"/>
    <w:rsid w:val="00C875DD"/>
    <w:rsid w:val="00C87739"/>
    <w:rsid w:val="00C878B8"/>
    <w:rsid w:val="00C879CC"/>
    <w:rsid w:val="00C87A80"/>
    <w:rsid w:val="00C87BDE"/>
    <w:rsid w:val="00C87F2B"/>
    <w:rsid w:val="00C87F70"/>
    <w:rsid w:val="00C900D1"/>
    <w:rsid w:val="00C902FB"/>
    <w:rsid w:val="00C906F4"/>
    <w:rsid w:val="00C90A77"/>
    <w:rsid w:val="00C90B01"/>
    <w:rsid w:val="00C90C54"/>
    <w:rsid w:val="00C90E65"/>
    <w:rsid w:val="00C90E6E"/>
    <w:rsid w:val="00C91179"/>
    <w:rsid w:val="00C91286"/>
    <w:rsid w:val="00C9130F"/>
    <w:rsid w:val="00C914A2"/>
    <w:rsid w:val="00C91596"/>
    <w:rsid w:val="00C91670"/>
    <w:rsid w:val="00C916A9"/>
    <w:rsid w:val="00C91810"/>
    <w:rsid w:val="00C919E0"/>
    <w:rsid w:val="00C91D43"/>
    <w:rsid w:val="00C91F20"/>
    <w:rsid w:val="00C91F73"/>
    <w:rsid w:val="00C92853"/>
    <w:rsid w:val="00C92B3B"/>
    <w:rsid w:val="00C92BCE"/>
    <w:rsid w:val="00C9307D"/>
    <w:rsid w:val="00C9309C"/>
    <w:rsid w:val="00C930D7"/>
    <w:rsid w:val="00C9382F"/>
    <w:rsid w:val="00C93946"/>
    <w:rsid w:val="00C93989"/>
    <w:rsid w:val="00C93A10"/>
    <w:rsid w:val="00C93E01"/>
    <w:rsid w:val="00C93EE6"/>
    <w:rsid w:val="00C941B2"/>
    <w:rsid w:val="00C941D6"/>
    <w:rsid w:val="00C941E6"/>
    <w:rsid w:val="00C94207"/>
    <w:rsid w:val="00C942F0"/>
    <w:rsid w:val="00C94418"/>
    <w:rsid w:val="00C9450B"/>
    <w:rsid w:val="00C94518"/>
    <w:rsid w:val="00C94615"/>
    <w:rsid w:val="00C94946"/>
    <w:rsid w:val="00C94B46"/>
    <w:rsid w:val="00C94BD4"/>
    <w:rsid w:val="00C94E46"/>
    <w:rsid w:val="00C94FE0"/>
    <w:rsid w:val="00C95363"/>
    <w:rsid w:val="00C95415"/>
    <w:rsid w:val="00C9566E"/>
    <w:rsid w:val="00C95C94"/>
    <w:rsid w:val="00C95DC7"/>
    <w:rsid w:val="00C95E79"/>
    <w:rsid w:val="00C95F0D"/>
    <w:rsid w:val="00C9602A"/>
    <w:rsid w:val="00C961C0"/>
    <w:rsid w:val="00C96715"/>
    <w:rsid w:val="00C96874"/>
    <w:rsid w:val="00C96A37"/>
    <w:rsid w:val="00C96A67"/>
    <w:rsid w:val="00C96CA9"/>
    <w:rsid w:val="00C96DCA"/>
    <w:rsid w:val="00C9701C"/>
    <w:rsid w:val="00C97123"/>
    <w:rsid w:val="00C97815"/>
    <w:rsid w:val="00C97821"/>
    <w:rsid w:val="00C97944"/>
    <w:rsid w:val="00C97C99"/>
    <w:rsid w:val="00C97DDE"/>
    <w:rsid w:val="00C97F5D"/>
    <w:rsid w:val="00CA03B2"/>
    <w:rsid w:val="00CA05B2"/>
    <w:rsid w:val="00CA09DB"/>
    <w:rsid w:val="00CA0A0B"/>
    <w:rsid w:val="00CA0AC3"/>
    <w:rsid w:val="00CA0E37"/>
    <w:rsid w:val="00CA14E2"/>
    <w:rsid w:val="00CA1A1D"/>
    <w:rsid w:val="00CA1D0E"/>
    <w:rsid w:val="00CA1F6A"/>
    <w:rsid w:val="00CA2170"/>
    <w:rsid w:val="00CA2176"/>
    <w:rsid w:val="00CA2353"/>
    <w:rsid w:val="00CA23B8"/>
    <w:rsid w:val="00CA245D"/>
    <w:rsid w:val="00CA2643"/>
    <w:rsid w:val="00CA2716"/>
    <w:rsid w:val="00CA288B"/>
    <w:rsid w:val="00CA2C0D"/>
    <w:rsid w:val="00CA308C"/>
    <w:rsid w:val="00CA3100"/>
    <w:rsid w:val="00CA3108"/>
    <w:rsid w:val="00CA3522"/>
    <w:rsid w:val="00CA358B"/>
    <w:rsid w:val="00CA3B93"/>
    <w:rsid w:val="00CA3C34"/>
    <w:rsid w:val="00CA3D27"/>
    <w:rsid w:val="00CA3D8D"/>
    <w:rsid w:val="00CA3F10"/>
    <w:rsid w:val="00CA4069"/>
    <w:rsid w:val="00CA4238"/>
    <w:rsid w:val="00CA461E"/>
    <w:rsid w:val="00CA462C"/>
    <w:rsid w:val="00CA4810"/>
    <w:rsid w:val="00CA4899"/>
    <w:rsid w:val="00CA48B0"/>
    <w:rsid w:val="00CA4A3C"/>
    <w:rsid w:val="00CA4C49"/>
    <w:rsid w:val="00CA50F2"/>
    <w:rsid w:val="00CA52CA"/>
    <w:rsid w:val="00CA5558"/>
    <w:rsid w:val="00CA5630"/>
    <w:rsid w:val="00CA5738"/>
    <w:rsid w:val="00CA578C"/>
    <w:rsid w:val="00CA57CD"/>
    <w:rsid w:val="00CA5C1C"/>
    <w:rsid w:val="00CA5E12"/>
    <w:rsid w:val="00CA6016"/>
    <w:rsid w:val="00CA6097"/>
    <w:rsid w:val="00CA624B"/>
    <w:rsid w:val="00CA6D79"/>
    <w:rsid w:val="00CA6DEA"/>
    <w:rsid w:val="00CA6EF5"/>
    <w:rsid w:val="00CA700F"/>
    <w:rsid w:val="00CA70AA"/>
    <w:rsid w:val="00CA748A"/>
    <w:rsid w:val="00CA74CA"/>
    <w:rsid w:val="00CA7C1B"/>
    <w:rsid w:val="00CA7DBE"/>
    <w:rsid w:val="00CB0228"/>
    <w:rsid w:val="00CB02F5"/>
    <w:rsid w:val="00CB0538"/>
    <w:rsid w:val="00CB0801"/>
    <w:rsid w:val="00CB1497"/>
    <w:rsid w:val="00CB159B"/>
    <w:rsid w:val="00CB1740"/>
    <w:rsid w:val="00CB1976"/>
    <w:rsid w:val="00CB1B5A"/>
    <w:rsid w:val="00CB1D84"/>
    <w:rsid w:val="00CB1E51"/>
    <w:rsid w:val="00CB2206"/>
    <w:rsid w:val="00CB2330"/>
    <w:rsid w:val="00CB2446"/>
    <w:rsid w:val="00CB2633"/>
    <w:rsid w:val="00CB2756"/>
    <w:rsid w:val="00CB2E52"/>
    <w:rsid w:val="00CB3217"/>
    <w:rsid w:val="00CB3576"/>
    <w:rsid w:val="00CB38A7"/>
    <w:rsid w:val="00CB3949"/>
    <w:rsid w:val="00CB436D"/>
    <w:rsid w:val="00CB4402"/>
    <w:rsid w:val="00CB49D3"/>
    <w:rsid w:val="00CB4BC7"/>
    <w:rsid w:val="00CB4DDE"/>
    <w:rsid w:val="00CB50F5"/>
    <w:rsid w:val="00CB5212"/>
    <w:rsid w:val="00CB5425"/>
    <w:rsid w:val="00CB577D"/>
    <w:rsid w:val="00CB5AB5"/>
    <w:rsid w:val="00CB5B1A"/>
    <w:rsid w:val="00CB5EDC"/>
    <w:rsid w:val="00CB6244"/>
    <w:rsid w:val="00CB624D"/>
    <w:rsid w:val="00CB63E9"/>
    <w:rsid w:val="00CB6460"/>
    <w:rsid w:val="00CB6617"/>
    <w:rsid w:val="00CB6872"/>
    <w:rsid w:val="00CB6DAA"/>
    <w:rsid w:val="00CB7563"/>
    <w:rsid w:val="00CB76B9"/>
    <w:rsid w:val="00CB7752"/>
    <w:rsid w:val="00CB79AA"/>
    <w:rsid w:val="00CB7C69"/>
    <w:rsid w:val="00CB7CCE"/>
    <w:rsid w:val="00CB7FB9"/>
    <w:rsid w:val="00CC0325"/>
    <w:rsid w:val="00CC07B1"/>
    <w:rsid w:val="00CC0875"/>
    <w:rsid w:val="00CC093A"/>
    <w:rsid w:val="00CC0A27"/>
    <w:rsid w:val="00CC10A7"/>
    <w:rsid w:val="00CC1981"/>
    <w:rsid w:val="00CC198F"/>
    <w:rsid w:val="00CC1C3F"/>
    <w:rsid w:val="00CC20A7"/>
    <w:rsid w:val="00CC20D0"/>
    <w:rsid w:val="00CC276D"/>
    <w:rsid w:val="00CC28A6"/>
    <w:rsid w:val="00CC2922"/>
    <w:rsid w:val="00CC2DEF"/>
    <w:rsid w:val="00CC2E0D"/>
    <w:rsid w:val="00CC33DC"/>
    <w:rsid w:val="00CC35FC"/>
    <w:rsid w:val="00CC3B6C"/>
    <w:rsid w:val="00CC3E32"/>
    <w:rsid w:val="00CC4121"/>
    <w:rsid w:val="00CC41D7"/>
    <w:rsid w:val="00CC42EA"/>
    <w:rsid w:val="00CC4376"/>
    <w:rsid w:val="00CC44D8"/>
    <w:rsid w:val="00CC451B"/>
    <w:rsid w:val="00CC488E"/>
    <w:rsid w:val="00CC4D63"/>
    <w:rsid w:val="00CC5435"/>
    <w:rsid w:val="00CC56A6"/>
    <w:rsid w:val="00CC57F5"/>
    <w:rsid w:val="00CC5965"/>
    <w:rsid w:val="00CC5A52"/>
    <w:rsid w:val="00CC5B86"/>
    <w:rsid w:val="00CC5F85"/>
    <w:rsid w:val="00CC611D"/>
    <w:rsid w:val="00CC611F"/>
    <w:rsid w:val="00CC6262"/>
    <w:rsid w:val="00CC633E"/>
    <w:rsid w:val="00CC6486"/>
    <w:rsid w:val="00CC6635"/>
    <w:rsid w:val="00CC6A67"/>
    <w:rsid w:val="00CC6D25"/>
    <w:rsid w:val="00CC7033"/>
    <w:rsid w:val="00CC709A"/>
    <w:rsid w:val="00CC71A6"/>
    <w:rsid w:val="00CC73D2"/>
    <w:rsid w:val="00CC7518"/>
    <w:rsid w:val="00CC7540"/>
    <w:rsid w:val="00CC77C9"/>
    <w:rsid w:val="00CC79DE"/>
    <w:rsid w:val="00CC7ABA"/>
    <w:rsid w:val="00CC7BD2"/>
    <w:rsid w:val="00CC7CA6"/>
    <w:rsid w:val="00CD02D4"/>
    <w:rsid w:val="00CD06F5"/>
    <w:rsid w:val="00CD0D0A"/>
    <w:rsid w:val="00CD0F96"/>
    <w:rsid w:val="00CD11D1"/>
    <w:rsid w:val="00CD12F6"/>
    <w:rsid w:val="00CD14BC"/>
    <w:rsid w:val="00CD16A6"/>
    <w:rsid w:val="00CD16CA"/>
    <w:rsid w:val="00CD16D3"/>
    <w:rsid w:val="00CD1794"/>
    <w:rsid w:val="00CD1CFC"/>
    <w:rsid w:val="00CD1F4C"/>
    <w:rsid w:val="00CD1FD3"/>
    <w:rsid w:val="00CD2291"/>
    <w:rsid w:val="00CD2594"/>
    <w:rsid w:val="00CD279B"/>
    <w:rsid w:val="00CD27AC"/>
    <w:rsid w:val="00CD28C5"/>
    <w:rsid w:val="00CD2912"/>
    <w:rsid w:val="00CD2AE3"/>
    <w:rsid w:val="00CD2C4A"/>
    <w:rsid w:val="00CD2E64"/>
    <w:rsid w:val="00CD34E4"/>
    <w:rsid w:val="00CD35F1"/>
    <w:rsid w:val="00CD37E8"/>
    <w:rsid w:val="00CD3C6D"/>
    <w:rsid w:val="00CD40C5"/>
    <w:rsid w:val="00CD41ED"/>
    <w:rsid w:val="00CD453A"/>
    <w:rsid w:val="00CD5170"/>
    <w:rsid w:val="00CD5280"/>
    <w:rsid w:val="00CD5495"/>
    <w:rsid w:val="00CD5729"/>
    <w:rsid w:val="00CD5973"/>
    <w:rsid w:val="00CD62BC"/>
    <w:rsid w:val="00CD62C8"/>
    <w:rsid w:val="00CD65E1"/>
    <w:rsid w:val="00CD663F"/>
    <w:rsid w:val="00CD671D"/>
    <w:rsid w:val="00CD6917"/>
    <w:rsid w:val="00CD6EDE"/>
    <w:rsid w:val="00CD6F06"/>
    <w:rsid w:val="00CD73A9"/>
    <w:rsid w:val="00CD73FA"/>
    <w:rsid w:val="00CD75B1"/>
    <w:rsid w:val="00CD780C"/>
    <w:rsid w:val="00CD7993"/>
    <w:rsid w:val="00CD7C51"/>
    <w:rsid w:val="00CD7CDC"/>
    <w:rsid w:val="00CD7DBE"/>
    <w:rsid w:val="00CD7E7C"/>
    <w:rsid w:val="00CD7F19"/>
    <w:rsid w:val="00CD7F75"/>
    <w:rsid w:val="00CE0377"/>
    <w:rsid w:val="00CE04F7"/>
    <w:rsid w:val="00CE0655"/>
    <w:rsid w:val="00CE073E"/>
    <w:rsid w:val="00CE0A88"/>
    <w:rsid w:val="00CE0D7F"/>
    <w:rsid w:val="00CE0E6E"/>
    <w:rsid w:val="00CE13B8"/>
    <w:rsid w:val="00CE15EF"/>
    <w:rsid w:val="00CE182B"/>
    <w:rsid w:val="00CE18AE"/>
    <w:rsid w:val="00CE1E74"/>
    <w:rsid w:val="00CE1F7D"/>
    <w:rsid w:val="00CE20D1"/>
    <w:rsid w:val="00CE24A6"/>
    <w:rsid w:val="00CE2621"/>
    <w:rsid w:val="00CE26FB"/>
    <w:rsid w:val="00CE2C6E"/>
    <w:rsid w:val="00CE2F0C"/>
    <w:rsid w:val="00CE34D6"/>
    <w:rsid w:val="00CE368C"/>
    <w:rsid w:val="00CE36EF"/>
    <w:rsid w:val="00CE399D"/>
    <w:rsid w:val="00CE3A85"/>
    <w:rsid w:val="00CE3BC1"/>
    <w:rsid w:val="00CE3CBC"/>
    <w:rsid w:val="00CE3D79"/>
    <w:rsid w:val="00CE4DCA"/>
    <w:rsid w:val="00CE50D5"/>
    <w:rsid w:val="00CE50F6"/>
    <w:rsid w:val="00CE5130"/>
    <w:rsid w:val="00CE517C"/>
    <w:rsid w:val="00CE5243"/>
    <w:rsid w:val="00CE5441"/>
    <w:rsid w:val="00CE550D"/>
    <w:rsid w:val="00CE550E"/>
    <w:rsid w:val="00CE5F4A"/>
    <w:rsid w:val="00CE611E"/>
    <w:rsid w:val="00CE624B"/>
    <w:rsid w:val="00CE62FF"/>
    <w:rsid w:val="00CE6A66"/>
    <w:rsid w:val="00CE6AE4"/>
    <w:rsid w:val="00CE7135"/>
    <w:rsid w:val="00CE721C"/>
    <w:rsid w:val="00CE741E"/>
    <w:rsid w:val="00CE78DF"/>
    <w:rsid w:val="00CE7953"/>
    <w:rsid w:val="00CE7B66"/>
    <w:rsid w:val="00CF0313"/>
    <w:rsid w:val="00CF0612"/>
    <w:rsid w:val="00CF0657"/>
    <w:rsid w:val="00CF07C5"/>
    <w:rsid w:val="00CF092B"/>
    <w:rsid w:val="00CF0EAD"/>
    <w:rsid w:val="00CF0F3E"/>
    <w:rsid w:val="00CF134F"/>
    <w:rsid w:val="00CF13DD"/>
    <w:rsid w:val="00CF142B"/>
    <w:rsid w:val="00CF180E"/>
    <w:rsid w:val="00CF1C6B"/>
    <w:rsid w:val="00CF1EB6"/>
    <w:rsid w:val="00CF1EC2"/>
    <w:rsid w:val="00CF1F5C"/>
    <w:rsid w:val="00CF2041"/>
    <w:rsid w:val="00CF28C4"/>
    <w:rsid w:val="00CF2D17"/>
    <w:rsid w:val="00CF2FAE"/>
    <w:rsid w:val="00CF2FE3"/>
    <w:rsid w:val="00CF3094"/>
    <w:rsid w:val="00CF3168"/>
    <w:rsid w:val="00CF32D2"/>
    <w:rsid w:val="00CF32FF"/>
    <w:rsid w:val="00CF3405"/>
    <w:rsid w:val="00CF362C"/>
    <w:rsid w:val="00CF36B1"/>
    <w:rsid w:val="00CF3703"/>
    <w:rsid w:val="00CF3C01"/>
    <w:rsid w:val="00CF443E"/>
    <w:rsid w:val="00CF4623"/>
    <w:rsid w:val="00CF46E8"/>
    <w:rsid w:val="00CF47E7"/>
    <w:rsid w:val="00CF49F4"/>
    <w:rsid w:val="00CF49FC"/>
    <w:rsid w:val="00CF4BA1"/>
    <w:rsid w:val="00CF53C2"/>
    <w:rsid w:val="00CF54F7"/>
    <w:rsid w:val="00CF5569"/>
    <w:rsid w:val="00CF5680"/>
    <w:rsid w:val="00CF569F"/>
    <w:rsid w:val="00CF57E7"/>
    <w:rsid w:val="00CF5848"/>
    <w:rsid w:val="00CF5876"/>
    <w:rsid w:val="00CF5BD4"/>
    <w:rsid w:val="00CF5E52"/>
    <w:rsid w:val="00CF6006"/>
    <w:rsid w:val="00CF665F"/>
    <w:rsid w:val="00CF693C"/>
    <w:rsid w:val="00CF6B4A"/>
    <w:rsid w:val="00CF6BBB"/>
    <w:rsid w:val="00CF6D09"/>
    <w:rsid w:val="00CF6D29"/>
    <w:rsid w:val="00CF6DBE"/>
    <w:rsid w:val="00CF6EFC"/>
    <w:rsid w:val="00CF72BA"/>
    <w:rsid w:val="00CF7342"/>
    <w:rsid w:val="00CF7790"/>
    <w:rsid w:val="00CF7894"/>
    <w:rsid w:val="00D0029D"/>
    <w:rsid w:val="00D003A4"/>
    <w:rsid w:val="00D003D8"/>
    <w:rsid w:val="00D0052B"/>
    <w:rsid w:val="00D00629"/>
    <w:rsid w:val="00D0079D"/>
    <w:rsid w:val="00D00AD2"/>
    <w:rsid w:val="00D00D3B"/>
    <w:rsid w:val="00D0100C"/>
    <w:rsid w:val="00D01033"/>
    <w:rsid w:val="00D01050"/>
    <w:rsid w:val="00D012E3"/>
    <w:rsid w:val="00D01531"/>
    <w:rsid w:val="00D015D5"/>
    <w:rsid w:val="00D01670"/>
    <w:rsid w:val="00D01FF4"/>
    <w:rsid w:val="00D021DA"/>
    <w:rsid w:val="00D02692"/>
    <w:rsid w:val="00D0297B"/>
    <w:rsid w:val="00D029BA"/>
    <w:rsid w:val="00D029E1"/>
    <w:rsid w:val="00D02AAC"/>
    <w:rsid w:val="00D03150"/>
    <w:rsid w:val="00D0318B"/>
    <w:rsid w:val="00D0326D"/>
    <w:rsid w:val="00D03319"/>
    <w:rsid w:val="00D033C7"/>
    <w:rsid w:val="00D0343E"/>
    <w:rsid w:val="00D03672"/>
    <w:rsid w:val="00D037BC"/>
    <w:rsid w:val="00D038D8"/>
    <w:rsid w:val="00D03B64"/>
    <w:rsid w:val="00D03C18"/>
    <w:rsid w:val="00D03C82"/>
    <w:rsid w:val="00D0409F"/>
    <w:rsid w:val="00D04271"/>
    <w:rsid w:val="00D043D5"/>
    <w:rsid w:val="00D045CE"/>
    <w:rsid w:val="00D04640"/>
    <w:rsid w:val="00D053DE"/>
    <w:rsid w:val="00D055CD"/>
    <w:rsid w:val="00D0560F"/>
    <w:rsid w:val="00D05614"/>
    <w:rsid w:val="00D05639"/>
    <w:rsid w:val="00D05667"/>
    <w:rsid w:val="00D05895"/>
    <w:rsid w:val="00D05AAB"/>
    <w:rsid w:val="00D06015"/>
    <w:rsid w:val="00D06396"/>
    <w:rsid w:val="00D0653C"/>
    <w:rsid w:val="00D066A4"/>
    <w:rsid w:val="00D06B50"/>
    <w:rsid w:val="00D06D45"/>
    <w:rsid w:val="00D06DF4"/>
    <w:rsid w:val="00D071DD"/>
    <w:rsid w:val="00D07272"/>
    <w:rsid w:val="00D0790E"/>
    <w:rsid w:val="00D079B8"/>
    <w:rsid w:val="00D07FBE"/>
    <w:rsid w:val="00D10035"/>
    <w:rsid w:val="00D1003B"/>
    <w:rsid w:val="00D100C4"/>
    <w:rsid w:val="00D101CF"/>
    <w:rsid w:val="00D1079B"/>
    <w:rsid w:val="00D10B21"/>
    <w:rsid w:val="00D10B61"/>
    <w:rsid w:val="00D10D9F"/>
    <w:rsid w:val="00D11242"/>
    <w:rsid w:val="00D115E6"/>
    <w:rsid w:val="00D11731"/>
    <w:rsid w:val="00D11A71"/>
    <w:rsid w:val="00D11B70"/>
    <w:rsid w:val="00D11D04"/>
    <w:rsid w:val="00D12173"/>
    <w:rsid w:val="00D126CB"/>
    <w:rsid w:val="00D1279C"/>
    <w:rsid w:val="00D128CB"/>
    <w:rsid w:val="00D12B72"/>
    <w:rsid w:val="00D12D4D"/>
    <w:rsid w:val="00D12E4D"/>
    <w:rsid w:val="00D132B6"/>
    <w:rsid w:val="00D134B1"/>
    <w:rsid w:val="00D13570"/>
    <w:rsid w:val="00D136E9"/>
    <w:rsid w:val="00D137B2"/>
    <w:rsid w:val="00D138AB"/>
    <w:rsid w:val="00D13DA5"/>
    <w:rsid w:val="00D141B1"/>
    <w:rsid w:val="00D142B5"/>
    <w:rsid w:val="00D142CE"/>
    <w:rsid w:val="00D146BA"/>
    <w:rsid w:val="00D146C5"/>
    <w:rsid w:val="00D1484E"/>
    <w:rsid w:val="00D14972"/>
    <w:rsid w:val="00D14B9B"/>
    <w:rsid w:val="00D14CEF"/>
    <w:rsid w:val="00D14D0A"/>
    <w:rsid w:val="00D1503C"/>
    <w:rsid w:val="00D152A5"/>
    <w:rsid w:val="00D152D9"/>
    <w:rsid w:val="00D15375"/>
    <w:rsid w:val="00D1539D"/>
    <w:rsid w:val="00D15683"/>
    <w:rsid w:val="00D15A45"/>
    <w:rsid w:val="00D15F2A"/>
    <w:rsid w:val="00D15FD6"/>
    <w:rsid w:val="00D1606C"/>
    <w:rsid w:val="00D16221"/>
    <w:rsid w:val="00D16579"/>
    <w:rsid w:val="00D165A9"/>
    <w:rsid w:val="00D16A49"/>
    <w:rsid w:val="00D16BD8"/>
    <w:rsid w:val="00D170AA"/>
    <w:rsid w:val="00D17323"/>
    <w:rsid w:val="00D173CD"/>
    <w:rsid w:val="00D17431"/>
    <w:rsid w:val="00D17BBA"/>
    <w:rsid w:val="00D17EC3"/>
    <w:rsid w:val="00D20285"/>
    <w:rsid w:val="00D20584"/>
    <w:rsid w:val="00D20812"/>
    <w:rsid w:val="00D20866"/>
    <w:rsid w:val="00D20B96"/>
    <w:rsid w:val="00D20C43"/>
    <w:rsid w:val="00D20D2E"/>
    <w:rsid w:val="00D20D37"/>
    <w:rsid w:val="00D20E7C"/>
    <w:rsid w:val="00D20F80"/>
    <w:rsid w:val="00D211AE"/>
    <w:rsid w:val="00D213AD"/>
    <w:rsid w:val="00D216CA"/>
    <w:rsid w:val="00D218A3"/>
    <w:rsid w:val="00D2197D"/>
    <w:rsid w:val="00D21B41"/>
    <w:rsid w:val="00D21D4D"/>
    <w:rsid w:val="00D21E51"/>
    <w:rsid w:val="00D2243F"/>
    <w:rsid w:val="00D225C6"/>
    <w:rsid w:val="00D225F1"/>
    <w:rsid w:val="00D22A18"/>
    <w:rsid w:val="00D22E78"/>
    <w:rsid w:val="00D22E8F"/>
    <w:rsid w:val="00D22FAD"/>
    <w:rsid w:val="00D23186"/>
    <w:rsid w:val="00D23D14"/>
    <w:rsid w:val="00D240DC"/>
    <w:rsid w:val="00D24283"/>
    <w:rsid w:val="00D24B43"/>
    <w:rsid w:val="00D24CAC"/>
    <w:rsid w:val="00D24D85"/>
    <w:rsid w:val="00D2512F"/>
    <w:rsid w:val="00D25166"/>
    <w:rsid w:val="00D25336"/>
    <w:rsid w:val="00D25513"/>
    <w:rsid w:val="00D25827"/>
    <w:rsid w:val="00D25900"/>
    <w:rsid w:val="00D25ABB"/>
    <w:rsid w:val="00D25C8E"/>
    <w:rsid w:val="00D25FFE"/>
    <w:rsid w:val="00D2613E"/>
    <w:rsid w:val="00D26346"/>
    <w:rsid w:val="00D2643B"/>
    <w:rsid w:val="00D26501"/>
    <w:rsid w:val="00D26B91"/>
    <w:rsid w:val="00D26BA8"/>
    <w:rsid w:val="00D27174"/>
    <w:rsid w:val="00D271BD"/>
    <w:rsid w:val="00D276B8"/>
    <w:rsid w:val="00D301E4"/>
    <w:rsid w:val="00D302B4"/>
    <w:rsid w:val="00D30B7F"/>
    <w:rsid w:val="00D30C90"/>
    <w:rsid w:val="00D3140C"/>
    <w:rsid w:val="00D3143C"/>
    <w:rsid w:val="00D31525"/>
    <w:rsid w:val="00D31A1F"/>
    <w:rsid w:val="00D31D2B"/>
    <w:rsid w:val="00D31DBD"/>
    <w:rsid w:val="00D31E73"/>
    <w:rsid w:val="00D32619"/>
    <w:rsid w:val="00D3275A"/>
    <w:rsid w:val="00D32A1E"/>
    <w:rsid w:val="00D32ACD"/>
    <w:rsid w:val="00D3300C"/>
    <w:rsid w:val="00D33628"/>
    <w:rsid w:val="00D33D99"/>
    <w:rsid w:val="00D33EB6"/>
    <w:rsid w:val="00D33EE2"/>
    <w:rsid w:val="00D33F20"/>
    <w:rsid w:val="00D345BD"/>
    <w:rsid w:val="00D347D0"/>
    <w:rsid w:val="00D34C6A"/>
    <w:rsid w:val="00D34D76"/>
    <w:rsid w:val="00D34E5B"/>
    <w:rsid w:val="00D3528D"/>
    <w:rsid w:val="00D354F7"/>
    <w:rsid w:val="00D35745"/>
    <w:rsid w:val="00D359F5"/>
    <w:rsid w:val="00D35CB3"/>
    <w:rsid w:val="00D35E17"/>
    <w:rsid w:val="00D36029"/>
    <w:rsid w:val="00D360C7"/>
    <w:rsid w:val="00D36197"/>
    <w:rsid w:val="00D361D7"/>
    <w:rsid w:val="00D36391"/>
    <w:rsid w:val="00D365D0"/>
    <w:rsid w:val="00D36622"/>
    <w:rsid w:val="00D36F45"/>
    <w:rsid w:val="00D36FF9"/>
    <w:rsid w:val="00D3718A"/>
    <w:rsid w:val="00D371CC"/>
    <w:rsid w:val="00D37390"/>
    <w:rsid w:val="00D375BA"/>
    <w:rsid w:val="00D37B54"/>
    <w:rsid w:val="00D37D2D"/>
    <w:rsid w:val="00D37E99"/>
    <w:rsid w:val="00D40402"/>
    <w:rsid w:val="00D40583"/>
    <w:rsid w:val="00D4069F"/>
    <w:rsid w:val="00D406E3"/>
    <w:rsid w:val="00D40A11"/>
    <w:rsid w:val="00D40E04"/>
    <w:rsid w:val="00D40ED6"/>
    <w:rsid w:val="00D40EDB"/>
    <w:rsid w:val="00D41200"/>
    <w:rsid w:val="00D412E2"/>
    <w:rsid w:val="00D41438"/>
    <w:rsid w:val="00D419CD"/>
    <w:rsid w:val="00D41A95"/>
    <w:rsid w:val="00D41DC0"/>
    <w:rsid w:val="00D41E23"/>
    <w:rsid w:val="00D41F62"/>
    <w:rsid w:val="00D4210A"/>
    <w:rsid w:val="00D4227C"/>
    <w:rsid w:val="00D422FA"/>
    <w:rsid w:val="00D423A3"/>
    <w:rsid w:val="00D423F5"/>
    <w:rsid w:val="00D42455"/>
    <w:rsid w:val="00D426F2"/>
    <w:rsid w:val="00D428DD"/>
    <w:rsid w:val="00D4291E"/>
    <w:rsid w:val="00D4292D"/>
    <w:rsid w:val="00D4297B"/>
    <w:rsid w:val="00D42F63"/>
    <w:rsid w:val="00D42FF4"/>
    <w:rsid w:val="00D4337E"/>
    <w:rsid w:val="00D435C7"/>
    <w:rsid w:val="00D436F6"/>
    <w:rsid w:val="00D43B67"/>
    <w:rsid w:val="00D43DE6"/>
    <w:rsid w:val="00D4420E"/>
    <w:rsid w:val="00D4461E"/>
    <w:rsid w:val="00D44EBF"/>
    <w:rsid w:val="00D44F2E"/>
    <w:rsid w:val="00D4519C"/>
    <w:rsid w:val="00D452DC"/>
    <w:rsid w:val="00D452E5"/>
    <w:rsid w:val="00D45485"/>
    <w:rsid w:val="00D4565C"/>
    <w:rsid w:val="00D45703"/>
    <w:rsid w:val="00D458CB"/>
    <w:rsid w:val="00D458E0"/>
    <w:rsid w:val="00D46078"/>
    <w:rsid w:val="00D460A5"/>
    <w:rsid w:val="00D46734"/>
    <w:rsid w:val="00D46B00"/>
    <w:rsid w:val="00D46DF5"/>
    <w:rsid w:val="00D473A0"/>
    <w:rsid w:val="00D47741"/>
    <w:rsid w:val="00D477DF"/>
    <w:rsid w:val="00D47CA2"/>
    <w:rsid w:val="00D47F2C"/>
    <w:rsid w:val="00D50101"/>
    <w:rsid w:val="00D504A9"/>
    <w:rsid w:val="00D50522"/>
    <w:rsid w:val="00D509B4"/>
    <w:rsid w:val="00D50C58"/>
    <w:rsid w:val="00D50EAB"/>
    <w:rsid w:val="00D5142B"/>
    <w:rsid w:val="00D516C6"/>
    <w:rsid w:val="00D51AFF"/>
    <w:rsid w:val="00D51C2D"/>
    <w:rsid w:val="00D51EB4"/>
    <w:rsid w:val="00D51ECA"/>
    <w:rsid w:val="00D520FD"/>
    <w:rsid w:val="00D5212D"/>
    <w:rsid w:val="00D5249A"/>
    <w:rsid w:val="00D525EB"/>
    <w:rsid w:val="00D5263E"/>
    <w:rsid w:val="00D527BB"/>
    <w:rsid w:val="00D529C6"/>
    <w:rsid w:val="00D52A73"/>
    <w:rsid w:val="00D52D7F"/>
    <w:rsid w:val="00D534EF"/>
    <w:rsid w:val="00D53534"/>
    <w:rsid w:val="00D537A6"/>
    <w:rsid w:val="00D53AF1"/>
    <w:rsid w:val="00D53B42"/>
    <w:rsid w:val="00D53BF8"/>
    <w:rsid w:val="00D53DEE"/>
    <w:rsid w:val="00D544C6"/>
    <w:rsid w:val="00D54792"/>
    <w:rsid w:val="00D54CA7"/>
    <w:rsid w:val="00D54CC5"/>
    <w:rsid w:val="00D54DF3"/>
    <w:rsid w:val="00D54F2A"/>
    <w:rsid w:val="00D55020"/>
    <w:rsid w:val="00D55172"/>
    <w:rsid w:val="00D5554E"/>
    <w:rsid w:val="00D555C4"/>
    <w:rsid w:val="00D55AD8"/>
    <w:rsid w:val="00D55BCC"/>
    <w:rsid w:val="00D55C7E"/>
    <w:rsid w:val="00D55FBC"/>
    <w:rsid w:val="00D56072"/>
    <w:rsid w:val="00D56125"/>
    <w:rsid w:val="00D561B8"/>
    <w:rsid w:val="00D5633B"/>
    <w:rsid w:val="00D5634B"/>
    <w:rsid w:val="00D56A36"/>
    <w:rsid w:val="00D56A7B"/>
    <w:rsid w:val="00D56B11"/>
    <w:rsid w:val="00D56C87"/>
    <w:rsid w:val="00D56CE6"/>
    <w:rsid w:val="00D56F3E"/>
    <w:rsid w:val="00D5707C"/>
    <w:rsid w:val="00D572B7"/>
    <w:rsid w:val="00D574E1"/>
    <w:rsid w:val="00D576E7"/>
    <w:rsid w:val="00D60023"/>
    <w:rsid w:val="00D602BB"/>
    <w:rsid w:val="00D609AC"/>
    <w:rsid w:val="00D60CDB"/>
    <w:rsid w:val="00D60D26"/>
    <w:rsid w:val="00D60E8D"/>
    <w:rsid w:val="00D60F91"/>
    <w:rsid w:val="00D6107E"/>
    <w:rsid w:val="00D61087"/>
    <w:rsid w:val="00D61650"/>
    <w:rsid w:val="00D61948"/>
    <w:rsid w:val="00D6197B"/>
    <w:rsid w:val="00D61F0C"/>
    <w:rsid w:val="00D620DB"/>
    <w:rsid w:val="00D621B6"/>
    <w:rsid w:val="00D62500"/>
    <w:rsid w:val="00D6288D"/>
    <w:rsid w:val="00D62D27"/>
    <w:rsid w:val="00D62FDA"/>
    <w:rsid w:val="00D63542"/>
    <w:rsid w:val="00D6364A"/>
    <w:rsid w:val="00D63712"/>
    <w:rsid w:val="00D63969"/>
    <w:rsid w:val="00D63A34"/>
    <w:rsid w:val="00D63A4C"/>
    <w:rsid w:val="00D63CD4"/>
    <w:rsid w:val="00D63E5E"/>
    <w:rsid w:val="00D64228"/>
    <w:rsid w:val="00D648BF"/>
    <w:rsid w:val="00D6498B"/>
    <w:rsid w:val="00D649C5"/>
    <w:rsid w:val="00D64ADA"/>
    <w:rsid w:val="00D64CEF"/>
    <w:rsid w:val="00D64FA3"/>
    <w:rsid w:val="00D65196"/>
    <w:rsid w:val="00D657F0"/>
    <w:rsid w:val="00D65A60"/>
    <w:rsid w:val="00D65C42"/>
    <w:rsid w:val="00D65D65"/>
    <w:rsid w:val="00D65DED"/>
    <w:rsid w:val="00D6603E"/>
    <w:rsid w:val="00D661F4"/>
    <w:rsid w:val="00D665BD"/>
    <w:rsid w:val="00D66699"/>
    <w:rsid w:val="00D66777"/>
    <w:rsid w:val="00D667E5"/>
    <w:rsid w:val="00D668F0"/>
    <w:rsid w:val="00D669AD"/>
    <w:rsid w:val="00D66B2D"/>
    <w:rsid w:val="00D66EC8"/>
    <w:rsid w:val="00D672F5"/>
    <w:rsid w:val="00D6733C"/>
    <w:rsid w:val="00D6748F"/>
    <w:rsid w:val="00D674E1"/>
    <w:rsid w:val="00D67726"/>
    <w:rsid w:val="00D67909"/>
    <w:rsid w:val="00D6799C"/>
    <w:rsid w:val="00D67BF0"/>
    <w:rsid w:val="00D67E2D"/>
    <w:rsid w:val="00D67E96"/>
    <w:rsid w:val="00D67ECC"/>
    <w:rsid w:val="00D67F1A"/>
    <w:rsid w:val="00D70070"/>
    <w:rsid w:val="00D70480"/>
    <w:rsid w:val="00D7067E"/>
    <w:rsid w:val="00D70C62"/>
    <w:rsid w:val="00D70EB5"/>
    <w:rsid w:val="00D70EDC"/>
    <w:rsid w:val="00D713F1"/>
    <w:rsid w:val="00D714F5"/>
    <w:rsid w:val="00D71611"/>
    <w:rsid w:val="00D71BFD"/>
    <w:rsid w:val="00D71DF9"/>
    <w:rsid w:val="00D723A2"/>
    <w:rsid w:val="00D7267A"/>
    <w:rsid w:val="00D72696"/>
    <w:rsid w:val="00D72B19"/>
    <w:rsid w:val="00D72C15"/>
    <w:rsid w:val="00D72E5D"/>
    <w:rsid w:val="00D73092"/>
    <w:rsid w:val="00D7394A"/>
    <w:rsid w:val="00D73ED0"/>
    <w:rsid w:val="00D74208"/>
    <w:rsid w:val="00D746C9"/>
    <w:rsid w:val="00D749D2"/>
    <w:rsid w:val="00D74A43"/>
    <w:rsid w:val="00D74A8D"/>
    <w:rsid w:val="00D75605"/>
    <w:rsid w:val="00D757AA"/>
    <w:rsid w:val="00D75ACA"/>
    <w:rsid w:val="00D75DBD"/>
    <w:rsid w:val="00D75EE2"/>
    <w:rsid w:val="00D76458"/>
    <w:rsid w:val="00D7666E"/>
    <w:rsid w:val="00D76791"/>
    <w:rsid w:val="00D76AE9"/>
    <w:rsid w:val="00D76ED9"/>
    <w:rsid w:val="00D76FD2"/>
    <w:rsid w:val="00D77038"/>
    <w:rsid w:val="00D7705E"/>
    <w:rsid w:val="00D773DC"/>
    <w:rsid w:val="00D77655"/>
    <w:rsid w:val="00D77B35"/>
    <w:rsid w:val="00D77C65"/>
    <w:rsid w:val="00D77EEE"/>
    <w:rsid w:val="00D80082"/>
    <w:rsid w:val="00D80175"/>
    <w:rsid w:val="00D803B4"/>
    <w:rsid w:val="00D80705"/>
    <w:rsid w:val="00D80843"/>
    <w:rsid w:val="00D8086C"/>
    <w:rsid w:val="00D80C27"/>
    <w:rsid w:val="00D80CF2"/>
    <w:rsid w:val="00D8114E"/>
    <w:rsid w:val="00D81203"/>
    <w:rsid w:val="00D81325"/>
    <w:rsid w:val="00D81326"/>
    <w:rsid w:val="00D81507"/>
    <w:rsid w:val="00D81D3D"/>
    <w:rsid w:val="00D81D6A"/>
    <w:rsid w:val="00D81F6B"/>
    <w:rsid w:val="00D81F6D"/>
    <w:rsid w:val="00D82103"/>
    <w:rsid w:val="00D82220"/>
    <w:rsid w:val="00D8252A"/>
    <w:rsid w:val="00D82549"/>
    <w:rsid w:val="00D82F7D"/>
    <w:rsid w:val="00D83759"/>
    <w:rsid w:val="00D83792"/>
    <w:rsid w:val="00D83880"/>
    <w:rsid w:val="00D83B82"/>
    <w:rsid w:val="00D83FB8"/>
    <w:rsid w:val="00D84691"/>
    <w:rsid w:val="00D8492A"/>
    <w:rsid w:val="00D84C58"/>
    <w:rsid w:val="00D84DD5"/>
    <w:rsid w:val="00D84ECE"/>
    <w:rsid w:val="00D85F05"/>
    <w:rsid w:val="00D8609D"/>
    <w:rsid w:val="00D86342"/>
    <w:rsid w:val="00D8645B"/>
    <w:rsid w:val="00D86D24"/>
    <w:rsid w:val="00D86FB2"/>
    <w:rsid w:val="00D87172"/>
    <w:rsid w:val="00D8759C"/>
    <w:rsid w:val="00D875B9"/>
    <w:rsid w:val="00D87726"/>
    <w:rsid w:val="00D8786E"/>
    <w:rsid w:val="00D8799B"/>
    <w:rsid w:val="00D879A3"/>
    <w:rsid w:val="00D87CE0"/>
    <w:rsid w:val="00D87D6E"/>
    <w:rsid w:val="00D87E0C"/>
    <w:rsid w:val="00D87F7D"/>
    <w:rsid w:val="00D90226"/>
    <w:rsid w:val="00D90294"/>
    <w:rsid w:val="00D90529"/>
    <w:rsid w:val="00D90561"/>
    <w:rsid w:val="00D90647"/>
    <w:rsid w:val="00D90979"/>
    <w:rsid w:val="00D90D34"/>
    <w:rsid w:val="00D91123"/>
    <w:rsid w:val="00D9153A"/>
    <w:rsid w:val="00D915D9"/>
    <w:rsid w:val="00D917BE"/>
    <w:rsid w:val="00D91D14"/>
    <w:rsid w:val="00D921C5"/>
    <w:rsid w:val="00D92387"/>
    <w:rsid w:val="00D92563"/>
    <w:rsid w:val="00D929B8"/>
    <w:rsid w:val="00D92A64"/>
    <w:rsid w:val="00D92BBF"/>
    <w:rsid w:val="00D931DA"/>
    <w:rsid w:val="00D933F7"/>
    <w:rsid w:val="00D9341E"/>
    <w:rsid w:val="00D93463"/>
    <w:rsid w:val="00D934EF"/>
    <w:rsid w:val="00D94045"/>
    <w:rsid w:val="00D942F1"/>
    <w:rsid w:val="00D94628"/>
    <w:rsid w:val="00D94673"/>
    <w:rsid w:val="00D948D9"/>
    <w:rsid w:val="00D94911"/>
    <w:rsid w:val="00D94B04"/>
    <w:rsid w:val="00D94C8F"/>
    <w:rsid w:val="00D94E84"/>
    <w:rsid w:val="00D9506D"/>
    <w:rsid w:val="00D9506F"/>
    <w:rsid w:val="00D952FC"/>
    <w:rsid w:val="00D9583B"/>
    <w:rsid w:val="00D95916"/>
    <w:rsid w:val="00D95937"/>
    <w:rsid w:val="00D959EF"/>
    <w:rsid w:val="00D95CBC"/>
    <w:rsid w:val="00D95D9A"/>
    <w:rsid w:val="00D95DCB"/>
    <w:rsid w:val="00D95E4D"/>
    <w:rsid w:val="00D95F87"/>
    <w:rsid w:val="00D96000"/>
    <w:rsid w:val="00D961C2"/>
    <w:rsid w:val="00D965F2"/>
    <w:rsid w:val="00D965FD"/>
    <w:rsid w:val="00D966F5"/>
    <w:rsid w:val="00D96841"/>
    <w:rsid w:val="00D96871"/>
    <w:rsid w:val="00D96AC0"/>
    <w:rsid w:val="00D96E30"/>
    <w:rsid w:val="00D9707A"/>
    <w:rsid w:val="00D970B9"/>
    <w:rsid w:val="00D9730F"/>
    <w:rsid w:val="00D97695"/>
    <w:rsid w:val="00D97D5C"/>
    <w:rsid w:val="00DA0509"/>
    <w:rsid w:val="00DA056E"/>
    <w:rsid w:val="00DA05C6"/>
    <w:rsid w:val="00DA0641"/>
    <w:rsid w:val="00DA0B18"/>
    <w:rsid w:val="00DA0B43"/>
    <w:rsid w:val="00DA0B67"/>
    <w:rsid w:val="00DA0BF3"/>
    <w:rsid w:val="00DA0CD0"/>
    <w:rsid w:val="00DA0E20"/>
    <w:rsid w:val="00DA13E6"/>
    <w:rsid w:val="00DA1486"/>
    <w:rsid w:val="00DA1696"/>
    <w:rsid w:val="00DA18CF"/>
    <w:rsid w:val="00DA1B60"/>
    <w:rsid w:val="00DA1CCF"/>
    <w:rsid w:val="00DA209F"/>
    <w:rsid w:val="00DA21F7"/>
    <w:rsid w:val="00DA229E"/>
    <w:rsid w:val="00DA22F4"/>
    <w:rsid w:val="00DA2427"/>
    <w:rsid w:val="00DA26E2"/>
    <w:rsid w:val="00DA276F"/>
    <w:rsid w:val="00DA2843"/>
    <w:rsid w:val="00DA2877"/>
    <w:rsid w:val="00DA29BB"/>
    <w:rsid w:val="00DA2A95"/>
    <w:rsid w:val="00DA2E7E"/>
    <w:rsid w:val="00DA34A4"/>
    <w:rsid w:val="00DA3546"/>
    <w:rsid w:val="00DA3B8F"/>
    <w:rsid w:val="00DA3BE9"/>
    <w:rsid w:val="00DA3D4E"/>
    <w:rsid w:val="00DA3F51"/>
    <w:rsid w:val="00DA4351"/>
    <w:rsid w:val="00DA46D5"/>
    <w:rsid w:val="00DA46DB"/>
    <w:rsid w:val="00DA49F8"/>
    <w:rsid w:val="00DA4B8F"/>
    <w:rsid w:val="00DA4B92"/>
    <w:rsid w:val="00DA4CF2"/>
    <w:rsid w:val="00DA5047"/>
    <w:rsid w:val="00DA5288"/>
    <w:rsid w:val="00DA53BE"/>
    <w:rsid w:val="00DA56C0"/>
    <w:rsid w:val="00DA5828"/>
    <w:rsid w:val="00DA5882"/>
    <w:rsid w:val="00DA5D2E"/>
    <w:rsid w:val="00DA5F5A"/>
    <w:rsid w:val="00DA5FCE"/>
    <w:rsid w:val="00DA65E4"/>
    <w:rsid w:val="00DA66FA"/>
    <w:rsid w:val="00DA68A2"/>
    <w:rsid w:val="00DA6A24"/>
    <w:rsid w:val="00DA6A46"/>
    <w:rsid w:val="00DA6B2F"/>
    <w:rsid w:val="00DA6E23"/>
    <w:rsid w:val="00DA6FF0"/>
    <w:rsid w:val="00DA74B8"/>
    <w:rsid w:val="00DA74F4"/>
    <w:rsid w:val="00DA7CAE"/>
    <w:rsid w:val="00DA7D3F"/>
    <w:rsid w:val="00DA7E3D"/>
    <w:rsid w:val="00DB0327"/>
    <w:rsid w:val="00DB0372"/>
    <w:rsid w:val="00DB05C9"/>
    <w:rsid w:val="00DB062D"/>
    <w:rsid w:val="00DB0720"/>
    <w:rsid w:val="00DB07A3"/>
    <w:rsid w:val="00DB0822"/>
    <w:rsid w:val="00DB0CBC"/>
    <w:rsid w:val="00DB13A7"/>
    <w:rsid w:val="00DB1990"/>
    <w:rsid w:val="00DB205B"/>
    <w:rsid w:val="00DB207C"/>
    <w:rsid w:val="00DB21C8"/>
    <w:rsid w:val="00DB2342"/>
    <w:rsid w:val="00DB29D0"/>
    <w:rsid w:val="00DB2B00"/>
    <w:rsid w:val="00DB2BF8"/>
    <w:rsid w:val="00DB2E1C"/>
    <w:rsid w:val="00DB2FFD"/>
    <w:rsid w:val="00DB3449"/>
    <w:rsid w:val="00DB35AC"/>
    <w:rsid w:val="00DB3701"/>
    <w:rsid w:val="00DB3C9A"/>
    <w:rsid w:val="00DB3CE0"/>
    <w:rsid w:val="00DB3D6C"/>
    <w:rsid w:val="00DB3DC0"/>
    <w:rsid w:val="00DB3FF6"/>
    <w:rsid w:val="00DB4318"/>
    <w:rsid w:val="00DB440D"/>
    <w:rsid w:val="00DB4717"/>
    <w:rsid w:val="00DB4AFA"/>
    <w:rsid w:val="00DB4D02"/>
    <w:rsid w:val="00DB4EAA"/>
    <w:rsid w:val="00DB523B"/>
    <w:rsid w:val="00DB537F"/>
    <w:rsid w:val="00DB5423"/>
    <w:rsid w:val="00DB5546"/>
    <w:rsid w:val="00DB5957"/>
    <w:rsid w:val="00DB59DD"/>
    <w:rsid w:val="00DB5EF1"/>
    <w:rsid w:val="00DB625F"/>
    <w:rsid w:val="00DB67EF"/>
    <w:rsid w:val="00DB6A8F"/>
    <w:rsid w:val="00DB701E"/>
    <w:rsid w:val="00DB7722"/>
    <w:rsid w:val="00DC025E"/>
    <w:rsid w:val="00DC0313"/>
    <w:rsid w:val="00DC0476"/>
    <w:rsid w:val="00DC061E"/>
    <w:rsid w:val="00DC0724"/>
    <w:rsid w:val="00DC0F95"/>
    <w:rsid w:val="00DC112D"/>
    <w:rsid w:val="00DC15F3"/>
    <w:rsid w:val="00DC1D79"/>
    <w:rsid w:val="00DC1DF0"/>
    <w:rsid w:val="00DC2016"/>
    <w:rsid w:val="00DC22A4"/>
    <w:rsid w:val="00DC2310"/>
    <w:rsid w:val="00DC2398"/>
    <w:rsid w:val="00DC23CF"/>
    <w:rsid w:val="00DC2805"/>
    <w:rsid w:val="00DC292B"/>
    <w:rsid w:val="00DC2B1A"/>
    <w:rsid w:val="00DC2E0F"/>
    <w:rsid w:val="00DC329A"/>
    <w:rsid w:val="00DC3315"/>
    <w:rsid w:val="00DC34D4"/>
    <w:rsid w:val="00DC351B"/>
    <w:rsid w:val="00DC35F8"/>
    <w:rsid w:val="00DC38E9"/>
    <w:rsid w:val="00DC3C51"/>
    <w:rsid w:val="00DC3D22"/>
    <w:rsid w:val="00DC3FF4"/>
    <w:rsid w:val="00DC4172"/>
    <w:rsid w:val="00DC41A0"/>
    <w:rsid w:val="00DC41B3"/>
    <w:rsid w:val="00DC4332"/>
    <w:rsid w:val="00DC4341"/>
    <w:rsid w:val="00DC436E"/>
    <w:rsid w:val="00DC45A6"/>
    <w:rsid w:val="00DC45E7"/>
    <w:rsid w:val="00DC4C2A"/>
    <w:rsid w:val="00DC50B1"/>
    <w:rsid w:val="00DC52D1"/>
    <w:rsid w:val="00DC52DC"/>
    <w:rsid w:val="00DC53F7"/>
    <w:rsid w:val="00DC55B7"/>
    <w:rsid w:val="00DC55D6"/>
    <w:rsid w:val="00DC570F"/>
    <w:rsid w:val="00DC5713"/>
    <w:rsid w:val="00DC5CAF"/>
    <w:rsid w:val="00DC5CDD"/>
    <w:rsid w:val="00DC5DFA"/>
    <w:rsid w:val="00DC5E38"/>
    <w:rsid w:val="00DC5E89"/>
    <w:rsid w:val="00DC5ED2"/>
    <w:rsid w:val="00DC635B"/>
    <w:rsid w:val="00DC6690"/>
    <w:rsid w:val="00DC6B8B"/>
    <w:rsid w:val="00DC6D53"/>
    <w:rsid w:val="00DC6D61"/>
    <w:rsid w:val="00DC6D63"/>
    <w:rsid w:val="00DC6EF9"/>
    <w:rsid w:val="00DC73A9"/>
    <w:rsid w:val="00DC7468"/>
    <w:rsid w:val="00DC796C"/>
    <w:rsid w:val="00DC79AF"/>
    <w:rsid w:val="00DC7CEE"/>
    <w:rsid w:val="00DD01C7"/>
    <w:rsid w:val="00DD0227"/>
    <w:rsid w:val="00DD0332"/>
    <w:rsid w:val="00DD07B8"/>
    <w:rsid w:val="00DD07BE"/>
    <w:rsid w:val="00DD07C2"/>
    <w:rsid w:val="00DD0B32"/>
    <w:rsid w:val="00DD0BC8"/>
    <w:rsid w:val="00DD1043"/>
    <w:rsid w:val="00DD12A4"/>
    <w:rsid w:val="00DD136E"/>
    <w:rsid w:val="00DD13F8"/>
    <w:rsid w:val="00DD1531"/>
    <w:rsid w:val="00DD166B"/>
    <w:rsid w:val="00DD17EF"/>
    <w:rsid w:val="00DD1A7B"/>
    <w:rsid w:val="00DD1F47"/>
    <w:rsid w:val="00DD1FB0"/>
    <w:rsid w:val="00DD20A4"/>
    <w:rsid w:val="00DD2329"/>
    <w:rsid w:val="00DD233A"/>
    <w:rsid w:val="00DD2654"/>
    <w:rsid w:val="00DD26C0"/>
    <w:rsid w:val="00DD2BCB"/>
    <w:rsid w:val="00DD2D05"/>
    <w:rsid w:val="00DD2F63"/>
    <w:rsid w:val="00DD30CC"/>
    <w:rsid w:val="00DD31B9"/>
    <w:rsid w:val="00DD31D7"/>
    <w:rsid w:val="00DD31E7"/>
    <w:rsid w:val="00DD32D4"/>
    <w:rsid w:val="00DD349A"/>
    <w:rsid w:val="00DD3618"/>
    <w:rsid w:val="00DD3856"/>
    <w:rsid w:val="00DD3A73"/>
    <w:rsid w:val="00DD3D6E"/>
    <w:rsid w:val="00DD3E3F"/>
    <w:rsid w:val="00DD4127"/>
    <w:rsid w:val="00DD43E3"/>
    <w:rsid w:val="00DD4B92"/>
    <w:rsid w:val="00DD4F5B"/>
    <w:rsid w:val="00DD5226"/>
    <w:rsid w:val="00DD5594"/>
    <w:rsid w:val="00DD56CF"/>
    <w:rsid w:val="00DD572A"/>
    <w:rsid w:val="00DD5740"/>
    <w:rsid w:val="00DD5AE5"/>
    <w:rsid w:val="00DD5BB5"/>
    <w:rsid w:val="00DD62BA"/>
    <w:rsid w:val="00DD6325"/>
    <w:rsid w:val="00DD6984"/>
    <w:rsid w:val="00DD6986"/>
    <w:rsid w:val="00DD6A19"/>
    <w:rsid w:val="00DD6A2F"/>
    <w:rsid w:val="00DD6E1D"/>
    <w:rsid w:val="00DD6F6E"/>
    <w:rsid w:val="00DD7100"/>
    <w:rsid w:val="00DD76F3"/>
    <w:rsid w:val="00DD7750"/>
    <w:rsid w:val="00DD7764"/>
    <w:rsid w:val="00DD77EF"/>
    <w:rsid w:val="00DD7A34"/>
    <w:rsid w:val="00DD7B22"/>
    <w:rsid w:val="00DD7C19"/>
    <w:rsid w:val="00DD7DA5"/>
    <w:rsid w:val="00DD7DB0"/>
    <w:rsid w:val="00DE0401"/>
    <w:rsid w:val="00DE067B"/>
    <w:rsid w:val="00DE0706"/>
    <w:rsid w:val="00DE0B3B"/>
    <w:rsid w:val="00DE0D95"/>
    <w:rsid w:val="00DE0ECB"/>
    <w:rsid w:val="00DE1002"/>
    <w:rsid w:val="00DE113C"/>
    <w:rsid w:val="00DE1226"/>
    <w:rsid w:val="00DE1388"/>
    <w:rsid w:val="00DE1A92"/>
    <w:rsid w:val="00DE1E42"/>
    <w:rsid w:val="00DE2033"/>
    <w:rsid w:val="00DE21EF"/>
    <w:rsid w:val="00DE21FC"/>
    <w:rsid w:val="00DE233A"/>
    <w:rsid w:val="00DE2515"/>
    <w:rsid w:val="00DE2740"/>
    <w:rsid w:val="00DE27EC"/>
    <w:rsid w:val="00DE2878"/>
    <w:rsid w:val="00DE28A0"/>
    <w:rsid w:val="00DE28BD"/>
    <w:rsid w:val="00DE2C5B"/>
    <w:rsid w:val="00DE3081"/>
    <w:rsid w:val="00DE36D3"/>
    <w:rsid w:val="00DE384F"/>
    <w:rsid w:val="00DE3A8D"/>
    <w:rsid w:val="00DE3BDA"/>
    <w:rsid w:val="00DE4456"/>
    <w:rsid w:val="00DE46E1"/>
    <w:rsid w:val="00DE46E9"/>
    <w:rsid w:val="00DE48E6"/>
    <w:rsid w:val="00DE4A3E"/>
    <w:rsid w:val="00DE4AD9"/>
    <w:rsid w:val="00DE4E04"/>
    <w:rsid w:val="00DE4FDD"/>
    <w:rsid w:val="00DE509C"/>
    <w:rsid w:val="00DE5212"/>
    <w:rsid w:val="00DE5369"/>
    <w:rsid w:val="00DE5408"/>
    <w:rsid w:val="00DE54B1"/>
    <w:rsid w:val="00DE55C8"/>
    <w:rsid w:val="00DE55DC"/>
    <w:rsid w:val="00DE55FB"/>
    <w:rsid w:val="00DE56AA"/>
    <w:rsid w:val="00DE5C95"/>
    <w:rsid w:val="00DE5CDB"/>
    <w:rsid w:val="00DE6325"/>
    <w:rsid w:val="00DE663D"/>
    <w:rsid w:val="00DE66DD"/>
    <w:rsid w:val="00DE67B5"/>
    <w:rsid w:val="00DE6986"/>
    <w:rsid w:val="00DE69EB"/>
    <w:rsid w:val="00DE6D56"/>
    <w:rsid w:val="00DE6D61"/>
    <w:rsid w:val="00DE761E"/>
    <w:rsid w:val="00DE76B7"/>
    <w:rsid w:val="00DE7772"/>
    <w:rsid w:val="00DE7838"/>
    <w:rsid w:val="00DE7A06"/>
    <w:rsid w:val="00DE7B65"/>
    <w:rsid w:val="00DE7C94"/>
    <w:rsid w:val="00DE7DEB"/>
    <w:rsid w:val="00DF008E"/>
    <w:rsid w:val="00DF00BC"/>
    <w:rsid w:val="00DF016C"/>
    <w:rsid w:val="00DF03B6"/>
    <w:rsid w:val="00DF07A0"/>
    <w:rsid w:val="00DF0A5E"/>
    <w:rsid w:val="00DF0DD9"/>
    <w:rsid w:val="00DF0E76"/>
    <w:rsid w:val="00DF0EAF"/>
    <w:rsid w:val="00DF102F"/>
    <w:rsid w:val="00DF10DA"/>
    <w:rsid w:val="00DF124C"/>
    <w:rsid w:val="00DF12AE"/>
    <w:rsid w:val="00DF155E"/>
    <w:rsid w:val="00DF15E6"/>
    <w:rsid w:val="00DF1765"/>
    <w:rsid w:val="00DF19CF"/>
    <w:rsid w:val="00DF1A39"/>
    <w:rsid w:val="00DF1A51"/>
    <w:rsid w:val="00DF1C64"/>
    <w:rsid w:val="00DF1CA1"/>
    <w:rsid w:val="00DF1D48"/>
    <w:rsid w:val="00DF1E65"/>
    <w:rsid w:val="00DF1FCB"/>
    <w:rsid w:val="00DF253B"/>
    <w:rsid w:val="00DF258D"/>
    <w:rsid w:val="00DF2596"/>
    <w:rsid w:val="00DF2633"/>
    <w:rsid w:val="00DF2722"/>
    <w:rsid w:val="00DF27D4"/>
    <w:rsid w:val="00DF2881"/>
    <w:rsid w:val="00DF28F7"/>
    <w:rsid w:val="00DF2932"/>
    <w:rsid w:val="00DF2DDF"/>
    <w:rsid w:val="00DF3242"/>
    <w:rsid w:val="00DF3399"/>
    <w:rsid w:val="00DF36DC"/>
    <w:rsid w:val="00DF3813"/>
    <w:rsid w:val="00DF38C2"/>
    <w:rsid w:val="00DF39EB"/>
    <w:rsid w:val="00DF39EF"/>
    <w:rsid w:val="00DF3A41"/>
    <w:rsid w:val="00DF3BA6"/>
    <w:rsid w:val="00DF3BF9"/>
    <w:rsid w:val="00DF3D81"/>
    <w:rsid w:val="00DF3F49"/>
    <w:rsid w:val="00DF4015"/>
    <w:rsid w:val="00DF41D9"/>
    <w:rsid w:val="00DF4323"/>
    <w:rsid w:val="00DF469B"/>
    <w:rsid w:val="00DF4829"/>
    <w:rsid w:val="00DF4896"/>
    <w:rsid w:val="00DF4AD2"/>
    <w:rsid w:val="00DF523A"/>
    <w:rsid w:val="00DF5577"/>
    <w:rsid w:val="00DF5A0B"/>
    <w:rsid w:val="00DF5A45"/>
    <w:rsid w:val="00DF5CE6"/>
    <w:rsid w:val="00DF604F"/>
    <w:rsid w:val="00DF618D"/>
    <w:rsid w:val="00DF619E"/>
    <w:rsid w:val="00DF63EC"/>
    <w:rsid w:val="00DF66E9"/>
    <w:rsid w:val="00DF6CC1"/>
    <w:rsid w:val="00DF6F75"/>
    <w:rsid w:val="00DF77EE"/>
    <w:rsid w:val="00DF7C5B"/>
    <w:rsid w:val="00DF7ECE"/>
    <w:rsid w:val="00DF7EF3"/>
    <w:rsid w:val="00E00060"/>
    <w:rsid w:val="00E00151"/>
    <w:rsid w:val="00E002E4"/>
    <w:rsid w:val="00E007E0"/>
    <w:rsid w:val="00E00B97"/>
    <w:rsid w:val="00E00BA1"/>
    <w:rsid w:val="00E00D2E"/>
    <w:rsid w:val="00E00EBD"/>
    <w:rsid w:val="00E010D8"/>
    <w:rsid w:val="00E0132C"/>
    <w:rsid w:val="00E01797"/>
    <w:rsid w:val="00E01A01"/>
    <w:rsid w:val="00E01A2A"/>
    <w:rsid w:val="00E02237"/>
    <w:rsid w:val="00E0236F"/>
    <w:rsid w:val="00E02588"/>
    <w:rsid w:val="00E02994"/>
    <w:rsid w:val="00E02B11"/>
    <w:rsid w:val="00E02E7D"/>
    <w:rsid w:val="00E031AA"/>
    <w:rsid w:val="00E03288"/>
    <w:rsid w:val="00E038EA"/>
    <w:rsid w:val="00E03A3A"/>
    <w:rsid w:val="00E03AEB"/>
    <w:rsid w:val="00E03C02"/>
    <w:rsid w:val="00E04369"/>
    <w:rsid w:val="00E0465C"/>
    <w:rsid w:val="00E04877"/>
    <w:rsid w:val="00E04CB2"/>
    <w:rsid w:val="00E052BD"/>
    <w:rsid w:val="00E0559E"/>
    <w:rsid w:val="00E056BB"/>
    <w:rsid w:val="00E056DF"/>
    <w:rsid w:val="00E059AA"/>
    <w:rsid w:val="00E05A7E"/>
    <w:rsid w:val="00E05C12"/>
    <w:rsid w:val="00E05D70"/>
    <w:rsid w:val="00E05E31"/>
    <w:rsid w:val="00E05FB9"/>
    <w:rsid w:val="00E060AC"/>
    <w:rsid w:val="00E060F1"/>
    <w:rsid w:val="00E06670"/>
    <w:rsid w:val="00E06780"/>
    <w:rsid w:val="00E07018"/>
    <w:rsid w:val="00E070A3"/>
    <w:rsid w:val="00E07571"/>
    <w:rsid w:val="00E0758C"/>
    <w:rsid w:val="00E075DC"/>
    <w:rsid w:val="00E07743"/>
    <w:rsid w:val="00E077A1"/>
    <w:rsid w:val="00E07B7B"/>
    <w:rsid w:val="00E10184"/>
    <w:rsid w:val="00E1053E"/>
    <w:rsid w:val="00E10752"/>
    <w:rsid w:val="00E10755"/>
    <w:rsid w:val="00E1086B"/>
    <w:rsid w:val="00E109EC"/>
    <w:rsid w:val="00E109FA"/>
    <w:rsid w:val="00E10DCA"/>
    <w:rsid w:val="00E1116B"/>
    <w:rsid w:val="00E111C5"/>
    <w:rsid w:val="00E112B9"/>
    <w:rsid w:val="00E116EC"/>
    <w:rsid w:val="00E11819"/>
    <w:rsid w:val="00E11AF8"/>
    <w:rsid w:val="00E11B24"/>
    <w:rsid w:val="00E11B4A"/>
    <w:rsid w:val="00E11B99"/>
    <w:rsid w:val="00E11E8C"/>
    <w:rsid w:val="00E11F02"/>
    <w:rsid w:val="00E1203E"/>
    <w:rsid w:val="00E1217B"/>
    <w:rsid w:val="00E123FC"/>
    <w:rsid w:val="00E126DF"/>
    <w:rsid w:val="00E12B10"/>
    <w:rsid w:val="00E12CDF"/>
    <w:rsid w:val="00E12D77"/>
    <w:rsid w:val="00E12F5B"/>
    <w:rsid w:val="00E12FAD"/>
    <w:rsid w:val="00E130F5"/>
    <w:rsid w:val="00E13291"/>
    <w:rsid w:val="00E13503"/>
    <w:rsid w:val="00E13565"/>
    <w:rsid w:val="00E13A5C"/>
    <w:rsid w:val="00E13BFB"/>
    <w:rsid w:val="00E13F32"/>
    <w:rsid w:val="00E13F38"/>
    <w:rsid w:val="00E14519"/>
    <w:rsid w:val="00E1454B"/>
    <w:rsid w:val="00E146E4"/>
    <w:rsid w:val="00E14797"/>
    <w:rsid w:val="00E147F1"/>
    <w:rsid w:val="00E1494C"/>
    <w:rsid w:val="00E1495B"/>
    <w:rsid w:val="00E14E9F"/>
    <w:rsid w:val="00E14F95"/>
    <w:rsid w:val="00E15057"/>
    <w:rsid w:val="00E151A9"/>
    <w:rsid w:val="00E156A1"/>
    <w:rsid w:val="00E1571B"/>
    <w:rsid w:val="00E15755"/>
    <w:rsid w:val="00E15AE0"/>
    <w:rsid w:val="00E15B7B"/>
    <w:rsid w:val="00E15D09"/>
    <w:rsid w:val="00E15D94"/>
    <w:rsid w:val="00E15F70"/>
    <w:rsid w:val="00E1652B"/>
    <w:rsid w:val="00E166D0"/>
    <w:rsid w:val="00E16750"/>
    <w:rsid w:val="00E168DA"/>
    <w:rsid w:val="00E16A18"/>
    <w:rsid w:val="00E16A7E"/>
    <w:rsid w:val="00E16BEE"/>
    <w:rsid w:val="00E16F3E"/>
    <w:rsid w:val="00E171DF"/>
    <w:rsid w:val="00E173D0"/>
    <w:rsid w:val="00E1740B"/>
    <w:rsid w:val="00E174A4"/>
    <w:rsid w:val="00E17C3F"/>
    <w:rsid w:val="00E204ED"/>
    <w:rsid w:val="00E20535"/>
    <w:rsid w:val="00E206DD"/>
    <w:rsid w:val="00E20820"/>
    <w:rsid w:val="00E208A1"/>
    <w:rsid w:val="00E209E8"/>
    <w:rsid w:val="00E212BD"/>
    <w:rsid w:val="00E214DE"/>
    <w:rsid w:val="00E2173C"/>
    <w:rsid w:val="00E2177A"/>
    <w:rsid w:val="00E21B3A"/>
    <w:rsid w:val="00E21E96"/>
    <w:rsid w:val="00E21EB6"/>
    <w:rsid w:val="00E21EFB"/>
    <w:rsid w:val="00E22496"/>
    <w:rsid w:val="00E22812"/>
    <w:rsid w:val="00E228EF"/>
    <w:rsid w:val="00E22965"/>
    <w:rsid w:val="00E22C64"/>
    <w:rsid w:val="00E22CD0"/>
    <w:rsid w:val="00E22F06"/>
    <w:rsid w:val="00E22F8E"/>
    <w:rsid w:val="00E23208"/>
    <w:rsid w:val="00E2332F"/>
    <w:rsid w:val="00E237C2"/>
    <w:rsid w:val="00E238A2"/>
    <w:rsid w:val="00E23D9D"/>
    <w:rsid w:val="00E23FEC"/>
    <w:rsid w:val="00E2459E"/>
    <w:rsid w:val="00E245B3"/>
    <w:rsid w:val="00E2463A"/>
    <w:rsid w:val="00E24CF9"/>
    <w:rsid w:val="00E253B8"/>
    <w:rsid w:val="00E2582D"/>
    <w:rsid w:val="00E258E6"/>
    <w:rsid w:val="00E25A4F"/>
    <w:rsid w:val="00E25DB1"/>
    <w:rsid w:val="00E2666E"/>
    <w:rsid w:val="00E26B1E"/>
    <w:rsid w:val="00E270F6"/>
    <w:rsid w:val="00E27183"/>
    <w:rsid w:val="00E27C31"/>
    <w:rsid w:val="00E27CA0"/>
    <w:rsid w:val="00E27D81"/>
    <w:rsid w:val="00E30181"/>
    <w:rsid w:val="00E30354"/>
    <w:rsid w:val="00E3053E"/>
    <w:rsid w:val="00E30695"/>
    <w:rsid w:val="00E30697"/>
    <w:rsid w:val="00E30BCB"/>
    <w:rsid w:val="00E30C06"/>
    <w:rsid w:val="00E30C5F"/>
    <w:rsid w:val="00E30D7D"/>
    <w:rsid w:val="00E30EA8"/>
    <w:rsid w:val="00E3114B"/>
    <w:rsid w:val="00E3118F"/>
    <w:rsid w:val="00E3123B"/>
    <w:rsid w:val="00E3129B"/>
    <w:rsid w:val="00E313A3"/>
    <w:rsid w:val="00E315F8"/>
    <w:rsid w:val="00E316C2"/>
    <w:rsid w:val="00E31876"/>
    <w:rsid w:val="00E3187D"/>
    <w:rsid w:val="00E31C33"/>
    <w:rsid w:val="00E31DC0"/>
    <w:rsid w:val="00E31DC3"/>
    <w:rsid w:val="00E320F4"/>
    <w:rsid w:val="00E3237A"/>
    <w:rsid w:val="00E32B1F"/>
    <w:rsid w:val="00E32C44"/>
    <w:rsid w:val="00E32F06"/>
    <w:rsid w:val="00E331C8"/>
    <w:rsid w:val="00E333CF"/>
    <w:rsid w:val="00E33408"/>
    <w:rsid w:val="00E3377A"/>
    <w:rsid w:val="00E33A33"/>
    <w:rsid w:val="00E33C6B"/>
    <w:rsid w:val="00E33DE6"/>
    <w:rsid w:val="00E33E27"/>
    <w:rsid w:val="00E34145"/>
    <w:rsid w:val="00E342A2"/>
    <w:rsid w:val="00E34453"/>
    <w:rsid w:val="00E34D8C"/>
    <w:rsid w:val="00E35506"/>
    <w:rsid w:val="00E355B5"/>
    <w:rsid w:val="00E356B5"/>
    <w:rsid w:val="00E35736"/>
    <w:rsid w:val="00E35A61"/>
    <w:rsid w:val="00E35B14"/>
    <w:rsid w:val="00E35B65"/>
    <w:rsid w:val="00E35C3E"/>
    <w:rsid w:val="00E35F05"/>
    <w:rsid w:val="00E35F88"/>
    <w:rsid w:val="00E3606D"/>
    <w:rsid w:val="00E361CF"/>
    <w:rsid w:val="00E3623F"/>
    <w:rsid w:val="00E362AD"/>
    <w:rsid w:val="00E36839"/>
    <w:rsid w:val="00E3709E"/>
    <w:rsid w:val="00E370FA"/>
    <w:rsid w:val="00E371FF"/>
    <w:rsid w:val="00E37418"/>
    <w:rsid w:val="00E37430"/>
    <w:rsid w:val="00E3754D"/>
    <w:rsid w:val="00E376CF"/>
    <w:rsid w:val="00E37C99"/>
    <w:rsid w:val="00E37F0B"/>
    <w:rsid w:val="00E37F29"/>
    <w:rsid w:val="00E37F9A"/>
    <w:rsid w:val="00E40019"/>
    <w:rsid w:val="00E402F1"/>
    <w:rsid w:val="00E40442"/>
    <w:rsid w:val="00E40DBB"/>
    <w:rsid w:val="00E410B7"/>
    <w:rsid w:val="00E41188"/>
    <w:rsid w:val="00E41229"/>
    <w:rsid w:val="00E41428"/>
    <w:rsid w:val="00E41476"/>
    <w:rsid w:val="00E414DB"/>
    <w:rsid w:val="00E419B0"/>
    <w:rsid w:val="00E41B80"/>
    <w:rsid w:val="00E41DDB"/>
    <w:rsid w:val="00E4203E"/>
    <w:rsid w:val="00E42054"/>
    <w:rsid w:val="00E42271"/>
    <w:rsid w:val="00E422FF"/>
    <w:rsid w:val="00E424D1"/>
    <w:rsid w:val="00E427C7"/>
    <w:rsid w:val="00E42C9F"/>
    <w:rsid w:val="00E42DA0"/>
    <w:rsid w:val="00E42E3C"/>
    <w:rsid w:val="00E431B8"/>
    <w:rsid w:val="00E434B9"/>
    <w:rsid w:val="00E4355D"/>
    <w:rsid w:val="00E43626"/>
    <w:rsid w:val="00E43804"/>
    <w:rsid w:val="00E438F8"/>
    <w:rsid w:val="00E43D1F"/>
    <w:rsid w:val="00E448DF"/>
    <w:rsid w:val="00E44BCC"/>
    <w:rsid w:val="00E44EA4"/>
    <w:rsid w:val="00E44F48"/>
    <w:rsid w:val="00E451CD"/>
    <w:rsid w:val="00E452D1"/>
    <w:rsid w:val="00E453EB"/>
    <w:rsid w:val="00E45554"/>
    <w:rsid w:val="00E4562C"/>
    <w:rsid w:val="00E4572A"/>
    <w:rsid w:val="00E457DD"/>
    <w:rsid w:val="00E4589D"/>
    <w:rsid w:val="00E459D5"/>
    <w:rsid w:val="00E45ADE"/>
    <w:rsid w:val="00E45ECF"/>
    <w:rsid w:val="00E46297"/>
    <w:rsid w:val="00E462C2"/>
    <w:rsid w:val="00E46388"/>
    <w:rsid w:val="00E4677E"/>
    <w:rsid w:val="00E46946"/>
    <w:rsid w:val="00E46B7E"/>
    <w:rsid w:val="00E46DAD"/>
    <w:rsid w:val="00E46E3D"/>
    <w:rsid w:val="00E471F8"/>
    <w:rsid w:val="00E4766E"/>
    <w:rsid w:val="00E476DA"/>
    <w:rsid w:val="00E47790"/>
    <w:rsid w:val="00E47D65"/>
    <w:rsid w:val="00E47DFA"/>
    <w:rsid w:val="00E47F91"/>
    <w:rsid w:val="00E50580"/>
    <w:rsid w:val="00E5088E"/>
    <w:rsid w:val="00E50C38"/>
    <w:rsid w:val="00E50FD8"/>
    <w:rsid w:val="00E51176"/>
    <w:rsid w:val="00E51386"/>
    <w:rsid w:val="00E5142A"/>
    <w:rsid w:val="00E516E1"/>
    <w:rsid w:val="00E5185E"/>
    <w:rsid w:val="00E5189D"/>
    <w:rsid w:val="00E51B8E"/>
    <w:rsid w:val="00E51F62"/>
    <w:rsid w:val="00E51F88"/>
    <w:rsid w:val="00E5253E"/>
    <w:rsid w:val="00E5275E"/>
    <w:rsid w:val="00E529FC"/>
    <w:rsid w:val="00E52A80"/>
    <w:rsid w:val="00E52BA4"/>
    <w:rsid w:val="00E52EDE"/>
    <w:rsid w:val="00E531BC"/>
    <w:rsid w:val="00E54218"/>
    <w:rsid w:val="00E5436A"/>
    <w:rsid w:val="00E5449A"/>
    <w:rsid w:val="00E546AB"/>
    <w:rsid w:val="00E549CE"/>
    <w:rsid w:val="00E54BB0"/>
    <w:rsid w:val="00E54C36"/>
    <w:rsid w:val="00E54F97"/>
    <w:rsid w:val="00E5502E"/>
    <w:rsid w:val="00E550CC"/>
    <w:rsid w:val="00E551D9"/>
    <w:rsid w:val="00E5543E"/>
    <w:rsid w:val="00E55567"/>
    <w:rsid w:val="00E55622"/>
    <w:rsid w:val="00E55791"/>
    <w:rsid w:val="00E55AB6"/>
    <w:rsid w:val="00E55C52"/>
    <w:rsid w:val="00E55CA2"/>
    <w:rsid w:val="00E55EFE"/>
    <w:rsid w:val="00E560E3"/>
    <w:rsid w:val="00E5611D"/>
    <w:rsid w:val="00E5634A"/>
    <w:rsid w:val="00E56775"/>
    <w:rsid w:val="00E56AC9"/>
    <w:rsid w:val="00E56B78"/>
    <w:rsid w:val="00E56BB1"/>
    <w:rsid w:val="00E56CFC"/>
    <w:rsid w:val="00E56D68"/>
    <w:rsid w:val="00E5708F"/>
    <w:rsid w:val="00E57159"/>
    <w:rsid w:val="00E5732B"/>
    <w:rsid w:val="00E575C9"/>
    <w:rsid w:val="00E57739"/>
    <w:rsid w:val="00E57A26"/>
    <w:rsid w:val="00E57CD5"/>
    <w:rsid w:val="00E57F46"/>
    <w:rsid w:val="00E57FBA"/>
    <w:rsid w:val="00E57FD5"/>
    <w:rsid w:val="00E60174"/>
    <w:rsid w:val="00E60528"/>
    <w:rsid w:val="00E609E6"/>
    <w:rsid w:val="00E60DAE"/>
    <w:rsid w:val="00E61031"/>
    <w:rsid w:val="00E61141"/>
    <w:rsid w:val="00E6134E"/>
    <w:rsid w:val="00E614F0"/>
    <w:rsid w:val="00E61621"/>
    <w:rsid w:val="00E61CD6"/>
    <w:rsid w:val="00E61DD2"/>
    <w:rsid w:val="00E61ED5"/>
    <w:rsid w:val="00E623ED"/>
    <w:rsid w:val="00E6249F"/>
    <w:rsid w:val="00E62575"/>
    <w:rsid w:val="00E62CCB"/>
    <w:rsid w:val="00E63176"/>
    <w:rsid w:val="00E63413"/>
    <w:rsid w:val="00E6375D"/>
    <w:rsid w:val="00E637E2"/>
    <w:rsid w:val="00E63847"/>
    <w:rsid w:val="00E638FB"/>
    <w:rsid w:val="00E63DE2"/>
    <w:rsid w:val="00E63FAE"/>
    <w:rsid w:val="00E64517"/>
    <w:rsid w:val="00E64946"/>
    <w:rsid w:val="00E64FF4"/>
    <w:rsid w:val="00E65251"/>
    <w:rsid w:val="00E65503"/>
    <w:rsid w:val="00E65A33"/>
    <w:rsid w:val="00E65DE7"/>
    <w:rsid w:val="00E65F70"/>
    <w:rsid w:val="00E6620A"/>
    <w:rsid w:val="00E664D4"/>
    <w:rsid w:val="00E66C13"/>
    <w:rsid w:val="00E67511"/>
    <w:rsid w:val="00E676C4"/>
    <w:rsid w:val="00E67724"/>
    <w:rsid w:val="00E67A52"/>
    <w:rsid w:val="00E67AD3"/>
    <w:rsid w:val="00E67C4A"/>
    <w:rsid w:val="00E700A0"/>
    <w:rsid w:val="00E70123"/>
    <w:rsid w:val="00E704D9"/>
    <w:rsid w:val="00E70527"/>
    <w:rsid w:val="00E70793"/>
    <w:rsid w:val="00E7089F"/>
    <w:rsid w:val="00E70903"/>
    <w:rsid w:val="00E70E20"/>
    <w:rsid w:val="00E71385"/>
    <w:rsid w:val="00E714F6"/>
    <w:rsid w:val="00E71738"/>
    <w:rsid w:val="00E717AF"/>
    <w:rsid w:val="00E718DA"/>
    <w:rsid w:val="00E71A11"/>
    <w:rsid w:val="00E71AC9"/>
    <w:rsid w:val="00E723A5"/>
    <w:rsid w:val="00E7268A"/>
    <w:rsid w:val="00E72EC0"/>
    <w:rsid w:val="00E72F16"/>
    <w:rsid w:val="00E73700"/>
    <w:rsid w:val="00E73B81"/>
    <w:rsid w:val="00E7474F"/>
    <w:rsid w:val="00E747E3"/>
    <w:rsid w:val="00E74C1F"/>
    <w:rsid w:val="00E74F5E"/>
    <w:rsid w:val="00E751FA"/>
    <w:rsid w:val="00E75486"/>
    <w:rsid w:val="00E7565A"/>
    <w:rsid w:val="00E75C21"/>
    <w:rsid w:val="00E75DA8"/>
    <w:rsid w:val="00E76299"/>
    <w:rsid w:val="00E763EF"/>
    <w:rsid w:val="00E765A4"/>
    <w:rsid w:val="00E76893"/>
    <w:rsid w:val="00E768D3"/>
    <w:rsid w:val="00E769B1"/>
    <w:rsid w:val="00E769F8"/>
    <w:rsid w:val="00E76B45"/>
    <w:rsid w:val="00E771F0"/>
    <w:rsid w:val="00E7766B"/>
    <w:rsid w:val="00E77804"/>
    <w:rsid w:val="00E77E33"/>
    <w:rsid w:val="00E803A3"/>
    <w:rsid w:val="00E80A35"/>
    <w:rsid w:val="00E80C5A"/>
    <w:rsid w:val="00E80C7C"/>
    <w:rsid w:val="00E80F19"/>
    <w:rsid w:val="00E810F7"/>
    <w:rsid w:val="00E81494"/>
    <w:rsid w:val="00E81518"/>
    <w:rsid w:val="00E81704"/>
    <w:rsid w:val="00E81745"/>
    <w:rsid w:val="00E817B1"/>
    <w:rsid w:val="00E8193C"/>
    <w:rsid w:val="00E81B94"/>
    <w:rsid w:val="00E81C08"/>
    <w:rsid w:val="00E81F6A"/>
    <w:rsid w:val="00E82092"/>
    <w:rsid w:val="00E820A6"/>
    <w:rsid w:val="00E822D6"/>
    <w:rsid w:val="00E82956"/>
    <w:rsid w:val="00E82AA9"/>
    <w:rsid w:val="00E82B4F"/>
    <w:rsid w:val="00E82CFD"/>
    <w:rsid w:val="00E82D26"/>
    <w:rsid w:val="00E82D53"/>
    <w:rsid w:val="00E82FFF"/>
    <w:rsid w:val="00E830C8"/>
    <w:rsid w:val="00E83167"/>
    <w:rsid w:val="00E83270"/>
    <w:rsid w:val="00E832E9"/>
    <w:rsid w:val="00E835A9"/>
    <w:rsid w:val="00E835C0"/>
    <w:rsid w:val="00E837DE"/>
    <w:rsid w:val="00E8389D"/>
    <w:rsid w:val="00E83AB6"/>
    <w:rsid w:val="00E83AE5"/>
    <w:rsid w:val="00E83B27"/>
    <w:rsid w:val="00E83E08"/>
    <w:rsid w:val="00E84009"/>
    <w:rsid w:val="00E84823"/>
    <w:rsid w:val="00E8490E"/>
    <w:rsid w:val="00E84982"/>
    <w:rsid w:val="00E84BF9"/>
    <w:rsid w:val="00E84C43"/>
    <w:rsid w:val="00E84EF3"/>
    <w:rsid w:val="00E8542E"/>
    <w:rsid w:val="00E85979"/>
    <w:rsid w:val="00E85BBB"/>
    <w:rsid w:val="00E85D33"/>
    <w:rsid w:val="00E8669E"/>
    <w:rsid w:val="00E866BF"/>
    <w:rsid w:val="00E867BB"/>
    <w:rsid w:val="00E86B15"/>
    <w:rsid w:val="00E86C0A"/>
    <w:rsid w:val="00E86DB4"/>
    <w:rsid w:val="00E86E26"/>
    <w:rsid w:val="00E86E61"/>
    <w:rsid w:val="00E87712"/>
    <w:rsid w:val="00E8783D"/>
    <w:rsid w:val="00E87968"/>
    <w:rsid w:val="00E87D62"/>
    <w:rsid w:val="00E87E95"/>
    <w:rsid w:val="00E87F1C"/>
    <w:rsid w:val="00E87F8A"/>
    <w:rsid w:val="00E90110"/>
    <w:rsid w:val="00E90800"/>
    <w:rsid w:val="00E90F0D"/>
    <w:rsid w:val="00E90FEE"/>
    <w:rsid w:val="00E9123B"/>
    <w:rsid w:val="00E915EE"/>
    <w:rsid w:val="00E92393"/>
    <w:rsid w:val="00E92476"/>
    <w:rsid w:val="00E925D2"/>
    <w:rsid w:val="00E92A4A"/>
    <w:rsid w:val="00E92B87"/>
    <w:rsid w:val="00E92CDB"/>
    <w:rsid w:val="00E92D64"/>
    <w:rsid w:val="00E932BE"/>
    <w:rsid w:val="00E934B5"/>
    <w:rsid w:val="00E93631"/>
    <w:rsid w:val="00E9369A"/>
    <w:rsid w:val="00E93CC4"/>
    <w:rsid w:val="00E93DF3"/>
    <w:rsid w:val="00E93F11"/>
    <w:rsid w:val="00E942AF"/>
    <w:rsid w:val="00E94495"/>
    <w:rsid w:val="00E95015"/>
    <w:rsid w:val="00E950AA"/>
    <w:rsid w:val="00E9557B"/>
    <w:rsid w:val="00E955F8"/>
    <w:rsid w:val="00E9561F"/>
    <w:rsid w:val="00E956B1"/>
    <w:rsid w:val="00E9593B"/>
    <w:rsid w:val="00E95ABA"/>
    <w:rsid w:val="00E95B19"/>
    <w:rsid w:val="00E95B71"/>
    <w:rsid w:val="00E95BF3"/>
    <w:rsid w:val="00E96013"/>
    <w:rsid w:val="00E963CD"/>
    <w:rsid w:val="00E96683"/>
    <w:rsid w:val="00E96805"/>
    <w:rsid w:val="00E96891"/>
    <w:rsid w:val="00E96936"/>
    <w:rsid w:val="00E96DF8"/>
    <w:rsid w:val="00E97225"/>
    <w:rsid w:val="00E97BDE"/>
    <w:rsid w:val="00E97F7F"/>
    <w:rsid w:val="00EA001E"/>
    <w:rsid w:val="00EA020C"/>
    <w:rsid w:val="00EA0E4D"/>
    <w:rsid w:val="00EA123B"/>
    <w:rsid w:val="00EA15B3"/>
    <w:rsid w:val="00EA16D3"/>
    <w:rsid w:val="00EA16F4"/>
    <w:rsid w:val="00EA1B80"/>
    <w:rsid w:val="00EA2209"/>
    <w:rsid w:val="00EA2DD5"/>
    <w:rsid w:val="00EA2EAC"/>
    <w:rsid w:val="00EA3728"/>
    <w:rsid w:val="00EA377B"/>
    <w:rsid w:val="00EA3870"/>
    <w:rsid w:val="00EA41D7"/>
    <w:rsid w:val="00EA4279"/>
    <w:rsid w:val="00EA4598"/>
    <w:rsid w:val="00EA4859"/>
    <w:rsid w:val="00EA485F"/>
    <w:rsid w:val="00EA49ED"/>
    <w:rsid w:val="00EA4A69"/>
    <w:rsid w:val="00EA4BCF"/>
    <w:rsid w:val="00EA4C04"/>
    <w:rsid w:val="00EA4DDC"/>
    <w:rsid w:val="00EA4FE9"/>
    <w:rsid w:val="00EA5442"/>
    <w:rsid w:val="00EA56F0"/>
    <w:rsid w:val="00EA58B0"/>
    <w:rsid w:val="00EA5A53"/>
    <w:rsid w:val="00EA5A5E"/>
    <w:rsid w:val="00EA5A7A"/>
    <w:rsid w:val="00EA5CD5"/>
    <w:rsid w:val="00EA5CF7"/>
    <w:rsid w:val="00EA5FB7"/>
    <w:rsid w:val="00EA6023"/>
    <w:rsid w:val="00EA60F1"/>
    <w:rsid w:val="00EA6288"/>
    <w:rsid w:val="00EA62A5"/>
    <w:rsid w:val="00EA62D1"/>
    <w:rsid w:val="00EA62F5"/>
    <w:rsid w:val="00EA65EA"/>
    <w:rsid w:val="00EA6765"/>
    <w:rsid w:val="00EA6783"/>
    <w:rsid w:val="00EA6985"/>
    <w:rsid w:val="00EA6E20"/>
    <w:rsid w:val="00EA756A"/>
    <w:rsid w:val="00EA77E0"/>
    <w:rsid w:val="00EA780A"/>
    <w:rsid w:val="00EA7E7E"/>
    <w:rsid w:val="00EB005B"/>
    <w:rsid w:val="00EB0193"/>
    <w:rsid w:val="00EB068D"/>
    <w:rsid w:val="00EB092E"/>
    <w:rsid w:val="00EB0D68"/>
    <w:rsid w:val="00EB0DCE"/>
    <w:rsid w:val="00EB0F15"/>
    <w:rsid w:val="00EB103D"/>
    <w:rsid w:val="00EB1406"/>
    <w:rsid w:val="00EB19A1"/>
    <w:rsid w:val="00EB1C7A"/>
    <w:rsid w:val="00EB1E12"/>
    <w:rsid w:val="00EB1F04"/>
    <w:rsid w:val="00EB269B"/>
    <w:rsid w:val="00EB282B"/>
    <w:rsid w:val="00EB283D"/>
    <w:rsid w:val="00EB28CA"/>
    <w:rsid w:val="00EB2E54"/>
    <w:rsid w:val="00EB307E"/>
    <w:rsid w:val="00EB3188"/>
    <w:rsid w:val="00EB31F4"/>
    <w:rsid w:val="00EB3963"/>
    <w:rsid w:val="00EB3BDB"/>
    <w:rsid w:val="00EB3F39"/>
    <w:rsid w:val="00EB3F9F"/>
    <w:rsid w:val="00EB42A3"/>
    <w:rsid w:val="00EB4460"/>
    <w:rsid w:val="00EB4578"/>
    <w:rsid w:val="00EB4720"/>
    <w:rsid w:val="00EB5BFB"/>
    <w:rsid w:val="00EB5D47"/>
    <w:rsid w:val="00EB60EF"/>
    <w:rsid w:val="00EB66A2"/>
    <w:rsid w:val="00EB68EC"/>
    <w:rsid w:val="00EB6BA2"/>
    <w:rsid w:val="00EB7440"/>
    <w:rsid w:val="00EB78B7"/>
    <w:rsid w:val="00EB7E56"/>
    <w:rsid w:val="00EB7E7E"/>
    <w:rsid w:val="00EC0038"/>
    <w:rsid w:val="00EC055A"/>
    <w:rsid w:val="00EC05AA"/>
    <w:rsid w:val="00EC0635"/>
    <w:rsid w:val="00EC0838"/>
    <w:rsid w:val="00EC085B"/>
    <w:rsid w:val="00EC0B8C"/>
    <w:rsid w:val="00EC0BE5"/>
    <w:rsid w:val="00EC137E"/>
    <w:rsid w:val="00EC144C"/>
    <w:rsid w:val="00EC1A4E"/>
    <w:rsid w:val="00EC1C9B"/>
    <w:rsid w:val="00EC204D"/>
    <w:rsid w:val="00EC206C"/>
    <w:rsid w:val="00EC2197"/>
    <w:rsid w:val="00EC2656"/>
    <w:rsid w:val="00EC2BAC"/>
    <w:rsid w:val="00EC2CA8"/>
    <w:rsid w:val="00EC3048"/>
    <w:rsid w:val="00EC313F"/>
    <w:rsid w:val="00EC37EF"/>
    <w:rsid w:val="00EC3DB8"/>
    <w:rsid w:val="00EC42EE"/>
    <w:rsid w:val="00EC4B92"/>
    <w:rsid w:val="00EC4D26"/>
    <w:rsid w:val="00EC4E53"/>
    <w:rsid w:val="00EC5140"/>
    <w:rsid w:val="00EC5669"/>
    <w:rsid w:val="00EC56EF"/>
    <w:rsid w:val="00EC584C"/>
    <w:rsid w:val="00EC58B9"/>
    <w:rsid w:val="00EC59BE"/>
    <w:rsid w:val="00EC5B52"/>
    <w:rsid w:val="00EC6537"/>
    <w:rsid w:val="00EC694F"/>
    <w:rsid w:val="00EC6972"/>
    <w:rsid w:val="00EC6A47"/>
    <w:rsid w:val="00EC6E9D"/>
    <w:rsid w:val="00EC6FB8"/>
    <w:rsid w:val="00EC7060"/>
    <w:rsid w:val="00EC71C0"/>
    <w:rsid w:val="00EC731C"/>
    <w:rsid w:val="00EC7385"/>
    <w:rsid w:val="00EC74D9"/>
    <w:rsid w:val="00EC756F"/>
    <w:rsid w:val="00EC7642"/>
    <w:rsid w:val="00EC779E"/>
    <w:rsid w:val="00EC7873"/>
    <w:rsid w:val="00EC7933"/>
    <w:rsid w:val="00EC7EA4"/>
    <w:rsid w:val="00EC7EAB"/>
    <w:rsid w:val="00EC7FD4"/>
    <w:rsid w:val="00ED0239"/>
    <w:rsid w:val="00ED0450"/>
    <w:rsid w:val="00ED045E"/>
    <w:rsid w:val="00ED055D"/>
    <w:rsid w:val="00ED05CC"/>
    <w:rsid w:val="00ED0701"/>
    <w:rsid w:val="00ED0790"/>
    <w:rsid w:val="00ED085B"/>
    <w:rsid w:val="00ED0B30"/>
    <w:rsid w:val="00ED0B49"/>
    <w:rsid w:val="00ED0EC7"/>
    <w:rsid w:val="00ED181D"/>
    <w:rsid w:val="00ED190A"/>
    <w:rsid w:val="00ED1A45"/>
    <w:rsid w:val="00ED1B12"/>
    <w:rsid w:val="00ED1B35"/>
    <w:rsid w:val="00ED1E23"/>
    <w:rsid w:val="00ED200C"/>
    <w:rsid w:val="00ED210F"/>
    <w:rsid w:val="00ED2341"/>
    <w:rsid w:val="00ED23A4"/>
    <w:rsid w:val="00ED25D1"/>
    <w:rsid w:val="00ED2748"/>
    <w:rsid w:val="00ED2A70"/>
    <w:rsid w:val="00ED2C0E"/>
    <w:rsid w:val="00ED2CD0"/>
    <w:rsid w:val="00ED2D62"/>
    <w:rsid w:val="00ED2F63"/>
    <w:rsid w:val="00ED2FF2"/>
    <w:rsid w:val="00ED302A"/>
    <w:rsid w:val="00ED305C"/>
    <w:rsid w:val="00ED3089"/>
    <w:rsid w:val="00ED3443"/>
    <w:rsid w:val="00ED3533"/>
    <w:rsid w:val="00ED36D5"/>
    <w:rsid w:val="00ED3836"/>
    <w:rsid w:val="00ED3953"/>
    <w:rsid w:val="00ED3A25"/>
    <w:rsid w:val="00ED3B8B"/>
    <w:rsid w:val="00ED4178"/>
    <w:rsid w:val="00ED4528"/>
    <w:rsid w:val="00ED4755"/>
    <w:rsid w:val="00ED49B1"/>
    <w:rsid w:val="00ED4AF4"/>
    <w:rsid w:val="00ED4B28"/>
    <w:rsid w:val="00ED5096"/>
    <w:rsid w:val="00ED5152"/>
    <w:rsid w:val="00ED537C"/>
    <w:rsid w:val="00ED53F5"/>
    <w:rsid w:val="00ED5400"/>
    <w:rsid w:val="00ED55C0"/>
    <w:rsid w:val="00ED5701"/>
    <w:rsid w:val="00ED5DF8"/>
    <w:rsid w:val="00ED5ED2"/>
    <w:rsid w:val="00ED602A"/>
    <w:rsid w:val="00ED65F1"/>
    <w:rsid w:val="00ED6625"/>
    <w:rsid w:val="00ED6708"/>
    <w:rsid w:val="00ED6982"/>
    <w:rsid w:val="00ED6B96"/>
    <w:rsid w:val="00ED6C01"/>
    <w:rsid w:val="00ED7251"/>
    <w:rsid w:val="00ED735E"/>
    <w:rsid w:val="00ED744F"/>
    <w:rsid w:val="00ED75FE"/>
    <w:rsid w:val="00ED79CA"/>
    <w:rsid w:val="00ED7A6B"/>
    <w:rsid w:val="00ED7B12"/>
    <w:rsid w:val="00ED7BF2"/>
    <w:rsid w:val="00ED7C01"/>
    <w:rsid w:val="00ED7C4D"/>
    <w:rsid w:val="00ED7E40"/>
    <w:rsid w:val="00ED7E60"/>
    <w:rsid w:val="00ED7FFD"/>
    <w:rsid w:val="00EE004A"/>
    <w:rsid w:val="00EE036B"/>
    <w:rsid w:val="00EE03A0"/>
    <w:rsid w:val="00EE04AF"/>
    <w:rsid w:val="00EE0648"/>
    <w:rsid w:val="00EE0C30"/>
    <w:rsid w:val="00EE0E1D"/>
    <w:rsid w:val="00EE0EEF"/>
    <w:rsid w:val="00EE1024"/>
    <w:rsid w:val="00EE166B"/>
    <w:rsid w:val="00EE17C5"/>
    <w:rsid w:val="00EE1B60"/>
    <w:rsid w:val="00EE1C9B"/>
    <w:rsid w:val="00EE1D4D"/>
    <w:rsid w:val="00EE1E32"/>
    <w:rsid w:val="00EE2138"/>
    <w:rsid w:val="00EE23C7"/>
    <w:rsid w:val="00EE2457"/>
    <w:rsid w:val="00EE24EA"/>
    <w:rsid w:val="00EE257D"/>
    <w:rsid w:val="00EE2634"/>
    <w:rsid w:val="00EE272B"/>
    <w:rsid w:val="00EE3215"/>
    <w:rsid w:val="00EE3922"/>
    <w:rsid w:val="00EE3EA3"/>
    <w:rsid w:val="00EE47E3"/>
    <w:rsid w:val="00EE4A03"/>
    <w:rsid w:val="00EE4CB6"/>
    <w:rsid w:val="00EE4E64"/>
    <w:rsid w:val="00EE5131"/>
    <w:rsid w:val="00EE537C"/>
    <w:rsid w:val="00EE553F"/>
    <w:rsid w:val="00EE570B"/>
    <w:rsid w:val="00EE5CFF"/>
    <w:rsid w:val="00EE6106"/>
    <w:rsid w:val="00EE6298"/>
    <w:rsid w:val="00EE62B2"/>
    <w:rsid w:val="00EE6585"/>
    <w:rsid w:val="00EE65CB"/>
    <w:rsid w:val="00EE6A90"/>
    <w:rsid w:val="00EE6DC4"/>
    <w:rsid w:val="00EE6E08"/>
    <w:rsid w:val="00EE6F88"/>
    <w:rsid w:val="00EE70B6"/>
    <w:rsid w:val="00EE7333"/>
    <w:rsid w:val="00EE746F"/>
    <w:rsid w:val="00EE74AD"/>
    <w:rsid w:val="00EE74C6"/>
    <w:rsid w:val="00EE7544"/>
    <w:rsid w:val="00EE7627"/>
    <w:rsid w:val="00EE79F7"/>
    <w:rsid w:val="00EE7A44"/>
    <w:rsid w:val="00EE7C1B"/>
    <w:rsid w:val="00EE7D6C"/>
    <w:rsid w:val="00EE7E15"/>
    <w:rsid w:val="00EE7F36"/>
    <w:rsid w:val="00EF0039"/>
    <w:rsid w:val="00EF01CE"/>
    <w:rsid w:val="00EF0363"/>
    <w:rsid w:val="00EF03FA"/>
    <w:rsid w:val="00EF040D"/>
    <w:rsid w:val="00EF0644"/>
    <w:rsid w:val="00EF0BCB"/>
    <w:rsid w:val="00EF0BE4"/>
    <w:rsid w:val="00EF0C2E"/>
    <w:rsid w:val="00EF0CDF"/>
    <w:rsid w:val="00EF0E19"/>
    <w:rsid w:val="00EF0EF1"/>
    <w:rsid w:val="00EF11AC"/>
    <w:rsid w:val="00EF16AE"/>
    <w:rsid w:val="00EF1960"/>
    <w:rsid w:val="00EF1B17"/>
    <w:rsid w:val="00EF20B6"/>
    <w:rsid w:val="00EF225D"/>
    <w:rsid w:val="00EF2332"/>
    <w:rsid w:val="00EF2356"/>
    <w:rsid w:val="00EF23F1"/>
    <w:rsid w:val="00EF28D6"/>
    <w:rsid w:val="00EF298C"/>
    <w:rsid w:val="00EF2A36"/>
    <w:rsid w:val="00EF2D13"/>
    <w:rsid w:val="00EF2D80"/>
    <w:rsid w:val="00EF2D9E"/>
    <w:rsid w:val="00EF2EF4"/>
    <w:rsid w:val="00EF30CB"/>
    <w:rsid w:val="00EF3609"/>
    <w:rsid w:val="00EF366B"/>
    <w:rsid w:val="00EF367F"/>
    <w:rsid w:val="00EF3B00"/>
    <w:rsid w:val="00EF3B82"/>
    <w:rsid w:val="00EF4255"/>
    <w:rsid w:val="00EF4371"/>
    <w:rsid w:val="00EF44F8"/>
    <w:rsid w:val="00EF4726"/>
    <w:rsid w:val="00EF4DEA"/>
    <w:rsid w:val="00EF4F96"/>
    <w:rsid w:val="00EF4FFA"/>
    <w:rsid w:val="00EF5391"/>
    <w:rsid w:val="00EF53A9"/>
    <w:rsid w:val="00EF53B1"/>
    <w:rsid w:val="00EF566B"/>
    <w:rsid w:val="00EF56B8"/>
    <w:rsid w:val="00EF58FE"/>
    <w:rsid w:val="00EF5990"/>
    <w:rsid w:val="00EF599B"/>
    <w:rsid w:val="00EF5A1E"/>
    <w:rsid w:val="00EF60A6"/>
    <w:rsid w:val="00EF60E4"/>
    <w:rsid w:val="00EF631D"/>
    <w:rsid w:val="00EF68E9"/>
    <w:rsid w:val="00EF6C4B"/>
    <w:rsid w:val="00EF7240"/>
    <w:rsid w:val="00EF74A5"/>
    <w:rsid w:val="00EF74DB"/>
    <w:rsid w:val="00EF788F"/>
    <w:rsid w:val="00EF7965"/>
    <w:rsid w:val="00EF7AF0"/>
    <w:rsid w:val="00EF7BDF"/>
    <w:rsid w:val="00EF7EBF"/>
    <w:rsid w:val="00EF7F7F"/>
    <w:rsid w:val="00F00061"/>
    <w:rsid w:val="00F003DE"/>
    <w:rsid w:val="00F00559"/>
    <w:rsid w:val="00F0056A"/>
    <w:rsid w:val="00F006C7"/>
    <w:rsid w:val="00F00E8C"/>
    <w:rsid w:val="00F00EBE"/>
    <w:rsid w:val="00F00FF5"/>
    <w:rsid w:val="00F010E9"/>
    <w:rsid w:val="00F01144"/>
    <w:rsid w:val="00F01794"/>
    <w:rsid w:val="00F01839"/>
    <w:rsid w:val="00F01B5F"/>
    <w:rsid w:val="00F01EEA"/>
    <w:rsid w:val="00F01F06"/>
    <w:rsid w:val="00F02313"/>
    <w:rsid w:val="00F0248D"/>
    <w:rsid w:val="00F02618"/>
    <w:rsid w:val="00F0272A"/>
    <w:rsid w:val="00F02B25"/>
    <w:rsid w:val="00F02BD2"/>
    <w:rsid w:val="00F02D08"/>
    <w:rsid w:val="00F02E95"/>
    <w:rsid w:val="00F031F4"/>
    <w:rsid w:val="00F034EA"/>
    <w:rsid w:val="00F03B42"/>
    <w:rsid w:val="00F03DB8"/>
    <w:rsid w:val="00F03FAB"/>
    <w:rsid w:val="00F04047"/>
    <w:rsid w:val="00F04324"/>
    <w:rsid w:val="00F04500"/>
    <w:rsid w:val="00F047A2"/>
    <w:rsid w:val="00F04965"/>
    <w:rsid w:val="00F04AAB"/>
    <w:rsid w:val="00F04B0B"/>
    <w:rsid w:val="00F04B86"/>
    <w:rsid w:val="00F04C9C"/>
    <w:rsid w:val="00F04ECE"/>
    <w:rsid w:val="00F05151"/>
    <w:rsid w:val="00F05171"/>
    <w:rsid w:val="00F052E0"/>
    <w:rsid w:val="00F053E1"/>
    <w:rsid w:val="00F0545C"/>
    <w:rsid w:val="00F05576"/>
    <w:rsid w:val="00F05AB9"/>
    <w:rsid w:val="00F05BE3"/>
    <w:rsid w:val="00F060B2"/>
    <w:rsid w:val="00F062C8"/>
    <w:rsid w:val="00F065D3"/>
    <w:rsid w:val="00F066E3"/>
    <w:rsid w:val="00F0671B"/>
    <w:rsid w:val="00F06781"/>
    <w:rsid w:val="00F068C7"/>
    <w:rsid w:val="00F06AE2"/>
    <w:rsid w:val="00F06BE2"/>
    <w:rsid w:val="00F06C7C"/>
    <w:rsid w:val="00F072E9"/>
    <w:rsid w:val="00F0741F"/>
    <w:rsid w:val="00F076D8"/>
    <w:rsid w:val="00F07733"/>
    <w:rsid w:val="00F10024"/>
    <w:rsid w:val="00F1047D"/>
    <w:rsid w:val="00F10516"/>
    <w:rsid w:val="00F10B69"/>
    <w:rsid w:val="00F10D46"/>
    <w:rsid w:val="00F11443"/>
    <w:rsid w:val="00F11557"/>
    <w:rsid w:val="00F11678"/>
    <w:rsid w:val="00F11690"/>
    <w:rsid w:val="00F1180A"/>
    <w:rsid w:val="00F11908"/>
    <w:rsid w:val="00F11CF2"/>
    <w:rsid w:val="00F11FAB"/>
    <w:rsid w:val="00F12217"/>
    <w:rsid w:val="00F12315"/>
    <w:rsid w:val="00F123CE"/>
    <w:rsid w:val="00F1262E"/>
    <w:rsid w:val="00F13162"/>
    <w:rsid w:val="00F133CE"/>
    <w:rsid w:val="00F13534"/>
    <w:rsid w:val="00F135D1"/>
    <w:rsid w:val="00F13671"/>
    <w:rsid w:val="00F1382F"/>
    <w:rsid w:val="00F1391F"/>
    <w:rsid w:val="00F13BA7"/>
    <w:rsid w:val="00F13BBE"/>
    <w:rsid w:val="00F13EC1"/>
    <w:rsid w:val="00F14024"/>
    <w:rsid w:val="00F14318"/>
    <w:rsid w:val="00F14331"/>
    <w:rsid w:val="00F14D62"/>
    <w:rsid w:val="00F14E29"/>
    <w:rsid w:val="00F1516F"/>
    <w:rsid w:val="00F15224"/>
    <w:rsid w:val="00F1524F"/>
    <w:rsid w:val="00F155FC"/>
    <w:rsid w:val="00F15898"/>
    <w:rsid w:val="00F15CED"/>
    <w:rsid w:val="00F15E7B"/>
    <w:rsid w:val="00F16551"/>
    <w:rsid w:val="00F16604"/>
    <w:rsid w:val="00F1686F"/>
    <w:rsid w:val="00F1695C"/>
    <w:rsid w:val="00F16B3F"/>
    <w:rsid w:val="00F16BA8"/>
    <w:rsid w:val="00F16CAF"/>
    <w:rsid w:val="00F16CB9"/>
    <w:rsid w:val="00F17096"/>
    <w:rsid w:val="00F171BF"/>
    <w:rsid w:val="00F176BD"/>
    <w:rsid w:val="00F1788F"/>
    <w:rsid w:val="00F178FC"/>
    <w:rsid w:val="00F179D7"/>
    <w:rsid w:val="00F17B0A"/>
    <w:rsid w:val="00F17F46"/>
    <w:rsid w:val="00F17F9D"/>
    <w:rsid w:val="00F200D8"/>
    <w:rsid w:val="00F20247"/>
    <w:rsid w:val="00F204D1"/>
    <w:rsid w:val="00F2068D"/>
    <w:rsid w:val="00F20768"/>
    <w:rsid w:val="00F2085A"/>
    <w:rsid w:val="00F208EB"/>
    <w:rsid w:val="00F20C0E"/>
    <w:rsid w:val="00F20CCF"/>
    <w:rsid w:val="00F21671"/>
    <w:rsid w:val="00F216D4"/>
    <w:rsid w:val="00F21C91"/>
    <w:rsid w:val="00F21D2A"/>
    <w:rsid w:val="00F21E8F"/>
    <w:rsid w:val="00F220F8"/>
    <w:rsid w:val="00F2218B"/>
    <w:rsid w:val="00F22196"/>
    <w:rsid w:val="00F223E8"/>
    <w:rsid w:val="00F2259A"/>
    <w:rsid w:val="00F22EAF"/>
    <w:rsid w:val="00F22FFB"/>
    <w:rsid w:val="00F23D1C"/>
    <w:rsid w:val="00F23F2B"/>
    <w:rsid w:val="00F2419C"/>
    <w:rsid w:val="00F242C7"/>
    <w:rsid w:val="00F24306"/>
    <w:rsid w:val="00F24470"/>
    <w:rsid w:val="00F246F6"/>
    <w:rsid w:val="00F24854"/>
    <w:rsid w:val="00F248CD"/>
    <w:rsid w:val="00F24968"/>
    <w:rsid w:val="00F24AF6"/>
    <w:rsid w:val="00F250F7"/>
    <w:rsid w:val="00F2530B"/>
    <w:rsid w:val="00F254C6"/>
    <w:rsid w:val="00F2580A"/>
    <w:rsid w:val="00F25C4F"/>
    <w:rsid w:val="00F25D21"/>
    <w:rsid w:val="00F25D6B"/>
    <w:rsid w:val="00F25E7B"/>
    <w:rsid w:val="00F25FBB"/>
    <w:rsid w:val="00F25FFD"/>
    <w:rsid w:val="00F26103"/>
    <w:rsid w:val="00F265EE"/>
    <w:rsid w:val="00F2686B"/>
    <w:rsid w:val="00F2699C"/>
    <w:rsid w:val="00F26C8B"/>
    <w:rsid w:val="00F26D0B"/>
    <w:rsid w:val="00F26F67"/>
    <w:rsid w:val="00F27239"/>
    <w:rsid w:val="00F272C1"/>
    <w:rsid w:val="00F2757C"/>
    <w:rsid w:val="00F27598"/>
    <w:rsid w:val="00F27605"/>
    <w:rsid w:val="00F2761D"/>
    <w:rsid w:val="00F277B1"/>
    <w:rsid w:val="00F27840"/>
    <w:rsid w:val="00F2787F"/>
    <w:rsid w:val="00F27958"/>
    <w:rsid w:val="00F27D15"/>
    <w:rsid w:val="00F30170"/>
    <w:rsid w:val="00F3056A"/>
    <w:rsid w:val="00F307DE"/>
    <w:rsid w:val="00F30B2F"/>
    <w:rsid w:val="00F30B78"/>
    <w:rsid w:val="00F30BF7"/>
    <w:rsid w:val="00F30FE5"/>
    <w:rsid w:val="00F311A7"/>
    <w:rsid w:val="00F312EF"/>
    <w:rsid w:val="00F31828"/>
    <w:rsid w:val="00F31B0E"/>
    <w:rsid w:val="00F31BE5"/>
    <w:rsid w:val="00F31E0B"/>
    <w:rsid w:val="00F31E37"/>
    <w:rsid w:val="00F31F04"/>
    <w:rsid w:val="00F3255B"/>
    <w:rsid w:val="00F329D3"/>
    <w:rsid w:val="00F32C49"/>
    <w:rsid w:val="00F33442"/>
    <w:rsid w:val="00F33711"/>
    <w:rsid w:val="00F33D4E"/>
    <w:rsid w:val="00F33F63"/>
    <w:rsid w:val="00F3420F"/>
    <w:rsid w:val="00F34254"/>
    <w:rsid w:val="00F343A0"/>
    <w:rsid w:val="00F343F9"/>
    <w:rsid w:val="00F34813"/>
    <w:rsid w:val="00F34862"/>
    <w:rsid w:val="00F34FB5"/>
    <w:rsid w:val="00F3513C"/>
    <w:rsid w:val="00F351ED"/>
    <w:rsid w:val="00F3529D"/>
    <w:rsid w:val="00F356B8"/>
    <w:rsid w:val="00F35705"/>
    <w:rsid w:val="00F35AC3"/>
    <w:rsid w:val="00F35C09"/>
    <w:rsid w:val="00F35D30"/>
    <w:rsid w:val="00F368BD"/>
    <w:rsid w:val="00F368F1"/>
    <w:rsid w:val="00F36A27"/>
    <w:rsid w:val="00F36AFF"/>
    <w:rsid w:val="00F36D94"/>
    <w:rsid w:val="00F36ED2"/>
    <w:rsid w:val="00F3730B"/>
    <w:rsid w:val="00F37866"/>
    <w:rsid w:val="00F378D5"/>
    <w:rsid w:val="00F379FF"/>
    <w:rsid w:val="00F37A39"/>
    <w:rsid w:val="00F37AE0"/>
    <w:rsid w:val="00F37C83"/>
    <w:rsid w:val="00F37EE6"/>
    <w:rsid w:val="00F4017B"/>
    <w:rsid w:val="00F405F1"/>
    <w:rsid w:val="00F40821"/>
    <w:rsid w:val="00F40929"/>
    <w:rsid w:val="00F40A0B"/>
    <w:rsid w:val="00F40B60"/>
    <w:rsid w:val="00F40C93"/>
    <w:rsid w:val="00F40FC7"/>
    <w:rsid w:val="00F41242"/>
    <w:rsid w:val="00F414B1"/>
    <w:rsid w:val="00F41770"/>
    <w:rsid w:val="00F418E8"/>
    <w:rsid w:val="00F41E93"/>
    <w:rsid w:val="00F421F7"/>
    <w:rsid w:val="00F424B8"/>
    <w:rsid w:val="00F42527"/>
    <w:rsid w:val="00F42591"/>
    <w:rsid w:val="00F42711"/>
    <w:rsid w:val="00F427EA"/>
    <w:rsid w:val="00F429BA"/>
    <w:rsid w:val="00F429E2"/>
    <w:rsid w:val="00F42A78"/>
    <w:rsid w:val="00F42AD9"/>
    <w:rsid w:val="00F42BB7"/>
    <w:rsid w:val="00F42F55"/>
    <w:rsid w:val="00F42FBA"/>
    <w:rsid w:val="00F430CA"/>
    <w:rsid w:val="00F43162"/>
    <w:rsid w:val="00F433FB"/>
    <w:rsid w:val="00F43507"/>
    <w:rsid w:val="00F43760"/>
    <w:rsid w:val="00F437D9"/>
    <w:rsid w:val="00F438FB"/>
    <w:rsid w:val="00F43C85"/>
    <w:rsid w:val="00F43C93"/>
    <w:rsid w:val="00F44012"/>
    <w:rsid w:val="00F4425D"/>
    <w:rsid w:val="00F44344"/>
    <w:rsid w:val="00F44651"/>
    <w:rsid w:val="00F446B2"/>
    <w:rsid w:val="00F44AE4"/>
    <w:rsid w:val="00F44C1D"/>
    <w:rsid w:val="00F44CF2"/>
    <w:rsid w:val="00F450D2"/>
    <w:rsid w:val="00F452C4"/>
    <w:rsid w:val="00F452F6"/>
    <w:rsid w:val="00F453BE"/>
    <w:rsid w:val="00F453E3"/>
    <w:rsid w:val="00F454D1"/>
    <w:rsid w:val="00F458CC"/>
    <w:rsid w:val="00F45A61"/>
    <w:rsid w:val="00F45B41"/>
    <w:rsid w:val="00F45D0C"/>
    <w:rsid w:val="00F45E57"/>
    <w:rsid w:val="00F45EE4"/>
    <w:rsid w:val="00F462BE"/>
    <w:rsid w:val="00F46569"/>
    <w:rsid w:val="00F4694A"/>
    <w:rsid w:val="00F46C4D"/>
    <w:rsid w:val="00F46C8B"/>
    <w:rsid w:val="00F46D34"/>
    <w:rsid w:val="00F46EC8"/>
    <w:rsid w:val="00F46F00"/>
    <w:rsid w:val="00F47268"/>
    <w:rsid w:val="00F472A1"/>
    <w:rsid w:val="00F47A31"/>
    <w:rsid w:val="00F47A6E"/>
    <w:rsid w:val="00F47B37"/>
    <w:rsid w:val="00F47CFA"/>
    <w:rsid w:val="00F47E50"/>
    <w:rsid w:val="00F47FAA"/>
    <w:rsid w:val="00F50343"/>
    <w:rsid w:val="00F5063D"/>
    <w:rsid w:val="00F507E2"/>
    <w:rsid w:val="00F5094D"/>
    <w:rsid w:val="00F509B1"/>
    <w:rsid w:val="00F50ED5"/>
    <w:rsid w:val="00F51002"/>
    <w:rsid w:val="00F51121"/>
    <w:rsid w:val="00F513BF"/>
    <w:rsid w:val="00F51780"/>
    <w:rsid w:val="00F523AF"/>
    <w:rsid w:val="00F52465"/>
    <w:rsid w:val="00F524F7"/>
    <w:rsid w:val="00F52B04"/>
    <w:rsid w:val="00F52C18"/>
    <w:rsid w:val="00F52E38"/>
    <w:rsid w:val="00F52F76"/>
    <w:rsid w:val="00F53614"/>
    <w:rsid w:val="00F536A6"/>
    <w:rsid w:val="00F5403E"/>
    <w:rsid w:val="00F5439B"/>
    <w:rsid w:val="00F54411"/>
    <w:rsid w:val="00F5466E"/>
    <w:rsid w:val="00F54E15"/>
    <w:rsid w:val="00F54F10"/>
    <w:rsid w:val="00F5523C"/>
    <w:rsid w:val="00F554DC"/>
    <w:rsid w:val="00F5556C"/>
    <w:rsid w:val="00F55739"/>
    <w:rsid w:val="00F559BC"/>
    <w:rsid w:val="00F55A51"/>
    <w:rsid w:val="00F55A99"/>
    <w:rsid w:val="00F55C7F"/>
    <w:rsid w:val="00F55CCD"/>
    <w:rsid w:val="00F55D88"/>
    <w:rsid w:val="00F55ECC"/>
    <w:rsid w:val="00F5606C"/>
    <w:rsid w:val="00F562EF"/>
    <w:rsid w:val="00F563B5"/>
    <w:rsid w:val="00F5660E"/>
    <w:rsid w:val="00F5663C"/>
    <w:rsid w:val="00F568B7"/>
    <w:rsid w:val="00F572FE"/>
    <w:rsid w:val="00F579BB"/>
    <w:rsid w:val="00F57B38"/>
    <w:rsid w:val="00F57BEA"/>
    <w:rsid w:val="00F57C6F"/>
    <w:rsid w:val="00F57F72"/>
    <w:rsid w:val="00F6004C"/>
    <w:rsid w:val="00F6027B"/>
    <w:rsid w:val="00F60490"/>
    <w:rsid w:val="00F608C2"/>
    <w:rsid w:val="00F60B94"/>
    <w:rsid w:val="00F61098"/>
    <w:rsid w:val="00F6138E"/>
    <w:rsid w:val="00F6175E"/>
    <w:rsid w:val="00F61A95"/>
    <w:rsid w:val="00F61C21"/>
    <w:rsid w:val="00F61CBE"/>
    <w:rsid w:val="00F620B4"/>
    <w:rsid w:val="00F62181"/>
    <w:rsid w:val="00F623C5"/>
    <w:rsid w:val="00F624A2"/>
    <w:rsid w:val="00F628A5"/>
    <w:rsid w:val="00F62948"/>
    <w:rsid w:val="00F62AA4"/>
    <w:rsid w:val="00F62D48"/>
    <w:rsid w:val="00F630D8"/>
    <w:rsid w:val="00F63387"/>
    <w:rsid w:val="00F635ED"/>
    <w:rsid w:val="00F63A0E"/>
    <w:rsid w:val="00F63ACF"/>
    <w:rsid w:val="00F63E12"/>
    <w:rsid w:val="00F64092"/>
    <w:rsid w:val="00F641DC"/>
    <w:rsid w:val="00F6448E"/>
    <w:rsid w:val="00F64883"/>
    <w:rsid w:val="00F64AA0"/>
    <w:rsid w:val="00F64C54"/>
    <w:rsid w:val="00F64C63"/>
    <w:rsid w:val="00F65605"/>
    <w:rsid w:val="00F658C1"/>
    <w:rsid w:val="00F65A08"/>
    <w:rsid w:val="00F65C02"/>
    <w:rsid w:val="00F65DB3"/>
    <w:rsid w:val="00F65FAA"/>
    <w:rsid w:val="00F66058"/>
    <w:rsid w:val="00F6610C"/>
    <w:rsid w:val="00F66115"/>
    <w:rsid w:val="00F661CA"/>
    <w:rsid w:val="00F66583"/>
    <w:rsid w:val="00F669DA"/>
    <w:rsid w:val="00F66CCF"/>
    <w:rsid w:val="00F66D45"/>
    <w:rsid w:val="00F66F90"/>
    <w:rsid w:val="00F671D9"/>
    <w:rsid w:val="00F6728C"/>
    <w:rsid w:val="00F67290"/>
    <w:rsid w:val="00F674F2"/>
    <w:rsid w:val="00F676D7"/>
    <w:rsid w:val="00F67E3E"/>
    <w:rsid w:val="00F70487"/>
    <w:rsid w:val="00F706DD"/>
    <w:rsid w:val="00F70AA2"/>
    <w:rsid w:val="00F70AC2"/>
    <w:rsid w:val="00F71161"/>
    <w:rsid w:val="00F7123E"/>
    <w:rsid w:val="00F71A2A"/>
    <w:rsid w:val="00F71ED5"/>
    <w:rsid w:val="00F7207D"/>
    <w:rsid w:val="00F7229C"/>
    <w:rsid w:val="00F729CE"/>
    <w:rsid w:val="00F72A06"/>
    <w:rsid w:val="00F733C6"/>
    <w:rsid w:val="00F73610"/>
    <w:rsid w:val="00F7366A"/>
    <w:rsid w:val="00F7368F"/>
    <w:rsid w:val="00F73A50"/>
    <w:rsid w:val="00F73B43"/>
    <w:rsid w:val="00F73D30"/>
    <w:rsid w:val="00F73F03"/>
    <w:rsid w:val="00F74053"/>
    <w:rsid w:val="00F7426F"/>
    <w:rsid w:val="00F7430B"/>
    <w:rsid w:val="00F74407"/>
    <w:rsid w:val="00F7442A"/>
    <w:rsid w:val="00F74466"/>
    <w:rsid w:val="00F74A49"/>
    <w:rsid w:val="00F74FAF"/>
    <w:rsid w:val="00F74FCA"/>
    <w:rsid w:val="00F75106"/>
    <w:rsid w:val="00F7524D"/>
    <w:rsid w:val="00F7550A"/>
    <w:rsid w:val="00F7557B"/>
    <w:rsid w:val="00F75813"/>
    <w:rsid w:val="00F7583F"/>
    <w:rsid w:val="00F75EDB"/>
    <w:rsid w:val="00F75F82"/>
    <w:rsid w:val="00F76052"/>
    <w:rsid w:val="00F760DE"/>
    <w:rsid w:val="00F762F5"/>
    <w:rsid w:val="00F76328"/>
    <w:rsid w:val="00F7632B"/>
    <w:rsid w:val="00F7660B"/>
    <w:rsid w:val="00F7676D"/>
    <w:rsid w:val="00F76AC7"/>
    <w:rsid w:val="00F76C38"/>
    <w:rsid w:val="00F76C85"/>
    <w:rsid w:val="00F771E1"/>
    <w:rsid w:val="00F77214"/>
    <w:rsid w:val="00F773BC"/>
    <w:rsid w:val="00F77BFA"/>
    <w:rsid w:val="00F77DFF"/>
    <w:rsid w:val="00F80198"/>
    <w:rsid w:val="00F804AE"/>
    <w:rsid w:val="00F80F20"/>
    <w:rsid w:val="00F81849"/>
    <w:rsid w:val="00F81892"/>
    <w:rsid w:val="00F8198A"/>
    <w:rsid w:val="00F8198D"/>
    <w:rsid w:val="00F819B9"/>
    <w:rsid w:val="00F81A7F"/>
    <w:rsid w:val="00F81BA0"/>
    <w:rsid w:val="00F81D42"/>
    <w:rsid w:val="00F81D8E"/>
    <w:rsid w:val="00F81F02"/>
    <w:rsid w:val="00F82284"/>
    <w:rsid w:val="00F82561"/>
    <w:rsid w:val="00F82650"/>
    <w:rsid w:val="00F82B49"/>
    <w:rsid w:val="00F82C5C"/>
    <w:rsid w:val="00F82CFE"/>
    <w:rsid w:val="00F83074"/>
    <w:rsid w:val="00F832D3"/>
    <w:rsid w:val="00F83453"/>
    <w:rsid w:val="00F8356A"/>
    <w:rsid w:val="00F8368B"/>
    <w:rsid w:val="00F83776"/>
    <w:rsid w:val="00F83851"/>
    <w:rsid w:val="00F83FC5"/>
    <w:rsid w:val="00F84092"/>
    <w:rsid w:val="00F8413B"/>
    <w:rsid w:val="00F84293"/>
    <w:rsid w:val="00F8441C"/>
    <w:rsid w:val="00F844AB"/>
    <w:rsid w:val="00F84820"/>
    <w:rsid w:val="00F84CD2"/>
    <w:rsid w:val="00F84D79"/>
    <w:rsid w:val="00F84EBF"/>
    <w:rsid w:val="00F85225"/>
    <w:rsid w:val="00F856CC"/>
    <w:rsid w:val="00F85713"/>
    <w:rsid w:val="00F85A37"/>
    <w:rsid w:val="00F85C91"/>
    <w:rsid w:val="00F85CC4"/>
    <w:rsid w:val="00F86E6C"/>
    <w:rsid w:val="00F86EC5"/>
    <w:rsid w:val="00F86F8A"/>
    <w:rsid w:val="00F870B9"/>
    <w:rsid w:val="00F873D2"/>
    <w:rsid w:val="00F876A0"/>
    <w:rsid w:val="00F8771C"/>
    <w:rsid w:val="00F8784A"/>
    <w:rsid w:val="00F87892"/>
    <w:rsid w:val="00F879D1"/>
    <w:rsid w:val="00F87C1F"/>
    <w:rsid w:val="00F87CA4"/>
    <w:rsid w:val="00F903B1"/>
    <w:rsid w:val="00F907C4"/>
    <w:rsid w:val="00F908DC"/>
    <w:rsid w:val="00F90996"/>
    <w:rsid w:val="00F90AC2"/>
    <w:rsid w:val="00F91127"/>
    <w:rsid w:val="00F9118C"/>
    <w:rsid w:val="00F911DF"/>
    <w:rsid w:val="00F913BB"/>
    <w:rsid w:val="00F9176B"/>
    <w:rsid w:val="00F91869"/>
    <w:rsid w:val="00F91A54"/>
    <w:rsid w:val="00F91C84"/>
    <w:rsid w:val="00F91F8F"/>
    <w:rsid w:val="00F92036"/>
    <w:rsid w:val="00F92270"/>
    <w:rsid w:val="00F92301"/>
    <w:rsid w:val="00F92330"/>
    <w:rsid w:val="00F924FD"/>
    <w:rsid w:val="00F92EAA"/>
    <w:rsid w:val="00F930BC"/>
    <w:rsid w:val="00F930C9"/>
    <w:rsid w:val="00F934B9"/>
    <w:rsid w:val="00F93583"/>
    <w:rsid w:val="00F93617"/>
    <w:rsid w:val="00F93E52"/>
    <w:rsid w:val="00F94117"/>
    <w:rsid w:val="00F9426D"/>
    <w:rsid w:val="00F942BF"/>
    <w:rsid w:val="00F94654"/>
    <w:rsid w:val="00F94671"/>
    <w:rsid w:val="00F94756"/>
    <w:rsid w:val="00F9486E"/>
    <w:rsid w:val="00F94A65"/>
    <w:rsid w:val="00F94AA6"/>
    <w:rsid w:val="00F95322"/>
    <w:rsid w:val="00F9580E"/>
    <w:rsid w:val="00F95869"/>
    <w:rsid w:val="00F9592E"/>
    <w:rsid w:val="00F95B99"/>
    <w:rsid w:val="00F95D5C"/>
    <w:rsid w:val="00F95F16"/>
    <w:rsid w:val="00F95F9E"/>
    <w:rsid w:val="00F96034"/>
    <w:rsid w:val="00F9623E"/>
    <w:rsid w:val="00F966E5"/>
    <w:rsid w:val="00F96707"/>
    <w:rsid w:val="00F9684C"/>
    <w:rsid w:val="00F969AD"/>
    <w:rsid w:val="00F96A3A"/>
    <w:rsid w:val="00F96B7E"/>
    <w:rsid w:val="00F96E02"/>
    <w:rsid w:val="00F96EFE"/>
    <w:rsid w:val="00F96FCD"/>
    <w:rsid w:val="00F97127"/>
    <w:rsid w:val="00F97205"/>
    <w:rsid w:val="00F97290"/>
    <w:rsid w:val="00F972A5"/>
    <w:rsid w:val="00F97460"/>
    <w:rsid w:val="00F9771E"/>
    <w:rsid w:val="00F97760"/>
    <w:rsid w:val="00F977D0"/>
    <w:rsid w:val="00F978A3"/>
    <w:rsid w:val="00F978B6"/>
    <w:rsid w:val="00F978E0"/>
    <w:rsid w:val="00F97B23"/>
    <w:rsid w:val="00F97DB9"/>
    <w:rsid w:val="00FA042B"/>
    <w:rsid w:val="00FA0475"/>
    <w:rsid w:val="00FA0D00"/>
    <w:rsid w:val="00FA11AD"/>
    <w:rsid w:val="00FA1260"/>
    <w:rsid w:val="00FA1297"/>
    <w:rsid w:val="00FA1352"/>
    <w:rsid w:val="00FA139A"/>
    <w:rsid w:val="00FA13CD"/>
    <w:rsid w:val="00FA1581"/>
    <w:rsid w:val="00FA1630"/>
    <w:rsid w:val="00FA190E"/>
    <w:rsid w:val="00FA1EF4"/>
    <w:rsid w:val="00FA1FC1"/>
    <w:rsid w:val="00FA22AC"/>
    <w:rsid w:val="00FA2609"/>
    <w:rsid w:val="00FA28F6"/>
    <w:rsid w:val="00FA2936"/>
    <w:rsid w:val="00FA2CAD"/>
    <w:rsid w:val="00FA2D73"/>
    <w:rsid w:val="00FA3252"/>
    <w:rsid w:val="00FA35D4"/>
    <w:rsid w:val="00FA35F9"/>
    <w:rsid w:val="00FA36E5"/>
    <w:rsid w:val="00FA382B"/>
    <w:rsid w:val="00FA3A26"/>
    <w:rsid w:val="00FA3A47"/>
    <w:rsid w:val="00FA3B38"/>
    <w:rsid w:val="00FA3BC9"/>
    <w:rsid w:val="00FA3CB5"/>
    <w:rsid w:val="00FA3F80"/>
    <w:rsid w:val="00FA3FC2"/>
    <w:rsid w:val="00FA4007"/>
    <w:rsid w:val="00FA416A"/>
    <w:rsid w:val="00FA43E4"/>
    <w:rsid w:val="00FA4697"/>
    <w:rsid w:val="00FA4BCE"/>
    <w:rsid w:val="00FA4C93"/>
    <w:rsid w:val="00FA4ECD"/>
    <w:rsid w:val="00FA52D1"/>
    <w:rsid w:val="00FA5C78"/>
    <w:rsid w:val="00FA5E9A"/>
    <w:rsid w:val="00FA5FF1"/>
    <w:rsid w:val="00FA61DC"/>
    <w:rsid w:val="00FA628C"/>
    <w:rsid w:val="00FA62F2"/>
    <w:rsid w:val="00FA68CA"/>
    <w:rsid w:val="00FA6A33"/>
    <w:rsid w:val="00FA6AB0"/>
    <w:rsid w:val="00FA724A"/>
    <w:rsid w:val="00FA7568"/>
    <w:rsid w:val="00FA7585"/>
    <w:rsid w:val="00FA767C"/>
    <w:rsid w:val="00FA78DA"/>
    <w:rsid w:val="00FA7957"/>
    <w:rsid w:val="00FA79D5"/>
    <w:rsid w:val="00FB00B0"/>
    <w:rsid w:val="00FB041A"/>
    <w:rsid w:val="00FB0778"/>
    <w:rsid w:val="00FB0C5B"/>
    <w:rsid w:val="00FB0CE5"/>
    <w:rsid w:val="00FB0EC3"/>
    <w:rsid w:val="00FB104D"/>
    <w:rsid w:val="00FB11A7"/>
    <w:rsid w:val="00FB1486"/>
    <w:rsid w:val="00FB1845"/>
    <w:rsid w:val="00FB1A3A"/>
    <w:rsid w:val="00FB1CE8"/>
    <w:rsid w:val="00FB1E65"/>
    <w:rsid w:val="00FB23C1"/>
    <w:rsid w:val="00FB262B"/>
    <w:rsid w:val="00FB272F"/>
    <w:rsid w:val="00FB2841"/>
    <w:rsid w:val="00FB28A1"/>
    <w:rsid w:val="00FB2912"/>
    <w:rsid w:val="00FB2A0F"/>
    <w:rsid w:val="00FB2E1E"/>
    <w:rsid w:val="00FB3054"/>
    <w:rsid w:val="00FB31C3"/>
    <w:rsid w:val="00FB326D"/>
    <w:rsid w:val="00FB35A2"/>
    <w:rsid w:val="00FB35C5"/>
    <w:rsid w:val="00FB3B93"/>
    <w:rsid w:val="00FB3BBF"/>
    <w:rsid w:val="00FB40DD"/>
    <w:rsid w:val="00FB4419"/>
    <w:rsid w:val="00FB4428"/>
    <w:rsid w:val="00FB4AC4"/>
    <w:rsid w:val="00FB502D"/>
    <w:rsid w:val="00FB507D"/>
    <w:rsid w:val="00FB5256"/>
    <w:rsid w:val="00FB5290"/>
    <w:rsid w:val="00FB52A9"/>
    <w:rsid w:val="00FB5510"/>
    <w:rsid w:val="00FB5838"/>
    <w:rsid w:val="00FB5D9B"/>
    <w:rsid w:val="00FB60E5"/>
    <w:rsid w:val="00FB62BD"/>
    <w:rsid w:val="00FB6361"/>
    <w:rsid w:val="00FB6615"/>
    <w:rsid w:val="00FB6F6F"/>
    <w:rsid w:val="00FB719E"/>
    <w:rsid w:val="00FB7767"/>
    <w:rsid w:val="00FB7877"/>
    <w:rsid w:val="00FB78B9"/>
    <w:rsid w:val="00FB79D1"/>
    <w:rsid w:val="00FB7AA5"/>
    <w:rsid w:val="00FB7C75"/>
    <w:rsid w:val="00FB7D9E"/>
    <w:rsid w:val="00FB7EC1"/>
    <w:rsid w:val="00FB7F56"/>
    <w:rsid w:val="00FB7F8B"/>
    <w:rsid w:val="00FC00D9"/>
    <w:rsid w:val="00FC0123"/>
    <w:rsid w:val="00FC042B"/>
    <w:rsid w:val="00FC0456"/>
    <w:rsid w:val="00FC061E"/>
    <w:rsid w:val="00FC0B47"/>
    <w:rsid w:val="00FC0B9D"/>
    <w:rsid w:val="00FC0C18"/>
    <w:rsid w:val="00FC0FD4"/>
    <w:rsid w:val="00FC189F"/>
    <w:rsid w:val="00FC18B2"/>
    <w:rsid w:val="00FC1C51"/>
    <w:rsid w:val="00FC1D5A"/>
    <w:rsid w:val="00FC1E35"/>
    <w:rsid w:val="00FC1E66"/>
    <w:rsid w:val="00FC1EC1"/>
    <w:rsid w:val="00FC1EC7"/>
    <w:rsid w:val="00FC1F83"/>
    <w:rsid w:val="00FC21E9"/>
    <w:rsid w:val="00FC26E9"/>
    <w:rsid w:val="00FC27A3"/>
    <w:rsid w:val="00FC286E"/>
    <w:rsid w:val="00FC2BD7"/>
    <w:rsid w:val="00FC2E80"/>
    <w:rsid w:val="00FC3300"/>
    <w:rsid w:val="00FC36CA"/>
    <w:rsid w:val="00FC389B"/>
    <w:rsid w:val="00FC3936"/>
    <w:rsid w:val="00FC3B75"/>
    <w:rsid w:val="00FC3BF6"/>
    <w:rsid w:val="00FC3CD6"/>
    <w:rsid w:val="00FC409E"/>
    <w:rsid w:val="00FC428D"/>
    <w:rsid w:val="00FC4616"/>
    <w:rsid w:val="00FC46A2"/>
    <w:rsid w:val="00FC4876"/>
    <w:rsid w:val="00FC4913"/>
    <w:rsid w:val="00FC49E7"/>
    <w:rsid w:val="00FC4F0F"/>
    <w:rsid w:val="00FC519D"/>
    <w:rsid w:val="00FC5484"/>
    <w:rsid w:val="00FC55B1"/>
    <w:rsid w:val="00FC55F3"/>
    <w:rsid w:val="00FC5611"/>
    <w:rsid w:val="00FC58CA"/>
    <w:rsid w:val="00FC5965"/>
    <w:rsid w:val="00FC5C9E"/>
    <w:rsid w:val="00FC63B9"/>
    <w:rsid w:val="00FC63BC"/>
    <w:rsid w:val="00FC6583"/>
    <w:rsid w:val="00FC6613"/>
    <w:rsid w:val="00FC6A65"/>
    <w:rsid w:val="00FC6D10"/>
    <w:rsid w:val="00FC6F10"/>
    <w:rsid w:val="00FC728A"/>
    <w:rsid w:val="00FC749A"/>
    <w:rsid w:val="00FC7605"/>
    <w:rsid w:val="00FC7689"/>
    <w:rsid w:val="00FC7B7F"/>
    <w:rsid w:val="00FC7EDD"/>
    <w:rsid w:val="00FC7EE8"/>
    <w:rsid w:val="00FD0711"/>
    <w:rsid w:val="00FD081A"/>
    <w:rsid w:val="00FD0830"/>
    <w:rsid w:val="00FD090D"/>
    <w:rsid w:val="00FD0D62"/>
    <w:rsid w:val="00FD10E3"/>
    <w:rsid w:val="00FD10EF"/>
    <w:rsid w:val="00FD11B5"/>
    <w:rsid w:val="00FD11CB"/>
    <w:rsid w:val="00FD132A"/>
    <w:rsid w:val="00FD1470"/>
    <w:rsid w:val="00FD149A"/>
    <w:rsid w:val="00FD164C"/>
    <w:rsid w:val="00FD16BC"/>
    <w:rsid w:val="00FD1AC8"/>
    <w:rsid w:val="00FD1B3C"/>
    <w:rsid w:val="00FD1D94"/>
    <w:rsid w:val="00FD1E9B"/>
    <w:rsid w:val="00FD2029"/>
    <w:rsid w:val="00FD2719"/>
    <w:rsid w:val="00FD2A5A"/>
    <w:rsid w:val="00FD2ABC"/>
    <w:rsid w:val="00FD2AE3"/>
    <w:rsid w:val="00FD2ED5"/>
    <w:rsid w:val="00FD339A"/>
    <w:rsid w:val="00FD3798"/>
    <w:rsid w:val="00FD37EB"/>
    <w:rsid w:val="00FD393A"/>
    <w:rsid w:val="00FD3A29"/>
    <w:rsid w:val="00FD3D33"/>
    <w:rsid w:val="00FD3D7B"/>
    <w:rsid w:val="00FD4021"/>
    <w:rsid w:val="00FD4356"/>
    <w:rsid w:val="00FD49A4"/>
    <w:rsid w:val="00FD4B63"/>
    <w:rsid w:val="00FD506A"/>
    <w:rsid w:val="00FD5174"/>
    <w:rsid w:val="00FD59D9"/>
    <w:rsid w:val="00FD59E4"/>
    <w:rsid w:val="00FD5BCC"/>
    <w:rsid w:val="00FD61C2"/>
    <w:rsid w:val="00FD6368"/>
    <w:rsid w:val="00FD6C83"/>
    <w:rsid w:val="00FD725F"/>
    <w:rsid w:val="00FD73CB"/>
    <w:rsid w:val="00FD75E2"/>
    <w:rsid w:val="00FD7678"/>
    <w:rsid w:val="00FD7936"/>
    <w:rsid w:val="00FD7CC1"/>
    <w:rsid w:val="00FD7E1F"/>
    <w:rsid w:val="00FD7F49"/>
    <w:rsid w:val="00FE0168"/>
    <w:rsid w:val="00FE03C7"/>
    <w:rsid w:val="00FE0611"/>
    <w:rsid w:val="00FE077A"/>
    <w:rsid w:val="00FE07DC"/>
    <w:rsid w:val="00FE07DD"/>
    <w:rsid w:val="00FE0B4C"/>
    <w:rsid w:val="00FE0B9B"/>
    <w:rsid w:val="00FE0F2D"/>
    <w:rsid w:val="00FE193F"/>
    <w:rsid w:val="00FE19C9"/>
    <w:rsid w:val="00FE19FE"/>
    <w:rsid w:val="00FE1C2C"/>
    <w:rsid w:val="00FE2344"/>
    <w:rsid w:val="00FE23C1"/>
    <w:rsid w:val="00FE23C7"/>
    <w:rsid w:val="00FE244F"/>
    <w:rsid w:val="00FE2527"/>
    <w:rsid w:val="00FE2676"/>
    <w:rsid w:val="00FE275D"/>
    <w:rsid w:val="00FE2810"/>
    <w:rsid w:val="00FE35FC"/>
    <w:rsid w:val="00FE363A"/>
    <w:rsid w:val="00FE3A81"/>
    <w:rsid w:val="00FE3AFC"/>
    <w:rsid w:val="00FE3B64"/>
    <w:rsid w:val="00FE3C55"/>
    <w:rsid w:val="00FE4045"/>
    <w:rsid w:val="00FE40BD"/>
    <w:rsid w:val="00FE4228"/>
    <w:rsid w:val="00FE4295"/>
    <w:rsid w:val="00FE4393"/>
    <w:rsid w:val="00FE487C"/>
    <w:rsid w:val="00FE48FD"/>
    <w:rsid w:val="00FE49C4"/>
    <w:rsid w:val="00FE4ABE"/>
    <w:rsid w:val="00FE4BB3"/>
    <w:rsid w:val="00FE4FBE"/>
    <w:rsid w:val="00FE4FC5"/>
    <w:rsid w:val="00FE522D"/>
    <w:rsid w:val="00FE52B2"/>
    <w:rsid w:val="00FE5C26"/>
    <w:rsid w:val="00FE5D4D"/>
    <w:rsid w:val="00FE5D67"/>
    <w:rsid w:val="00FE5E34"/>
    <w:rsid w:val="00FE5E50"/>
    <w:rsid w:val="00FE5EFF"/>
    <w:rsid w:val="00FE60F7"/>
    <w:rsid w:val="00FE6190"/>
    <w:rsid w:val="00FE6665"/>
    <w:rsid w:val="00FE69E9"/>
    <w:rsid w:val="00FE6B32"/>
    <w:rsid w:val="00FE6B94"/>
    <w:rsid w:val="00FE6BDC"/>
    <w:rsid w:val="00FE733D"/>
    <w:rsid w:val="00FE74D9"/>
    <w:rsid w:val="00FE76DD"/>
    <w:rsid w:val="00FE77C6"/>
    <w:rsid w:val="00FE7845"/>
    <w:rsid w:val="00FE7C80"/>
    <w:rsid w:val="00FE7CB4"/>
    <w:rsid w:val="00FF023D"/>
    <w:rsid w:val="00FF0287"/>
    <w:rsid w:val="00FF03EF"/>
    <w:rsid w:val="00FF0B46"/>
    <w:rsid w:val="00FF0F4F"/>
    <w:rsid w:val="00FF0F71"/>
    <w:rsid w:val="00FF13C0"/>
    <w:rsid w:val="00FF155C"/>
    <w:rsid w:val="00FF167F"/>
    <w:rsid w:val="00FF18EF"/>
    <w:rsid w:val="00FF1C88"/>
    <w:rsid w:val="00FF22B0"/>
    <w:rsid w:val="00FF27A0"/>
    <w:rsid w:val="00FF2914"/>
    <w:rsid w:val="00FF2D91"/>
    <w:rsid w:val="00FF386B"/>
    <w:rsid w:val="00FF393E"/>
    <w:rsid w:val="00FF3AC2"/>
    <w:rsid w:val="00FF3C19"/>
    <w:rsid w:val="00FF3CAD"/>
    <w:rsid w:val="00FF3E67"/>
    <w:rsid w:val="00FF403F"/>
    <w:rsid w:val="00FF40E5"/>
    <w:rsid w:val="00FF4154"/>
    <w:rsid w:val="00FF443F"/>
    <w:rsid w:val="00FF4651"/>
    <w:rsid w:val="00FF4731"/>
    <w:rsid w:val="00FF4819"/>
    <w:rsid w:val="00FF4AF1"/>
    <w:rsid w:val="00FF4C43"/>
    <w:rsid w:val="00FF4C6C"/>
    <w:rsid w:val="00FF4E30"/>
    <w:rsid w:val="00FF5AB7"/>
    <w:rsid w:val="00FF60BC"/>
    <w:rsid w:val="00FF61EF"/>
    <w:rsid w:val="00FF69AC"/>
    <w:rsid w:val="00FF6A5F"/>
    <w:rsid w:val="00FF6A67"/>
    <w:rsid w:val="00FF6B0B"/>
    <w:rsid w:val="00FF6BB6"/>
    <w:rsid w:val="00FF6CD5"/>
    <w:rsid w:val="00FF6DDE"/>
    <w:rsid w:val="00FF6DEB"/>
    <w:rsid w:val="00FF6F6E"/>
    <w:rsid w:val="00FF6FED"/>
    <w:rsid w:val="00FF7089"/>
    <w:rsid w:val="00FF716A"/>
    <w:rsid w:val="00FF73EC"/>
    <w:rsid w:val="00FF7901"/>
    <w:rsid w:val="00FF7BDD"/>
    <w:rsid w:val="00FF7D37"/>
    <w:rsid w:val="00FF7D64"/>
  </w:rsids>
  <w:docVars>
    <w:docVar w:name="__Grammarly_42___1" w:val="H4sIAAAAAAAEAKtWcslP9kxRslIyNDYyMDczNjAwMDUwMjYzMTVQ0lEKTi0uzszPAykwrAUAMwYC2SwAAAA="/>
    <w:docVar w:name="__Grammarly_42____i" w:val="H4sIAAAAAAAEAKtWckksSQxILCpxzi/NK1GyMqwFAAEhoTITAAAA"/>
  </w:docVars>
  <m:mathPr>
    <m:mathFont m:val="Cambria Math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14:docId w14:val="52EF7094"/>
  <w15:docId w15:val="{E521F32D-4DF7-4985-8627-DF9934CA4E4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EastAsia" w:hAnsiTheme="minorHAnsi" w:cstheme="minorBidi"/>
        <w:kern w:val="2"/>
        <w:sz w:val="21"/>
        <w:szCs w:val="21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0" w:qFormat="1"/>
    <w:lsdException w:name="heading 2" w:semiHidden="1" w:uiPriority="0" w:unhideWhenUsed="1" w:qFormat="1"/>
    <w:lsdException w:name="heading 3" w:semiHidden="1" w:uiPriority="0" w:unhideWhenUsed="1" w:qFormat="1"/>
    <w:lsdException w:name="heading 4" w:semiHidden="1" w:uiPriority="0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 w:qFormat="1"/>
    <w:lsdException w:name="toc 2" w:semiHidden="1" w:uiPriority="39" w:unhideWhenUsed="1" w:qFormat="1"/>
    <w:lsdException w:name="toc 3" w:semiHidden="1" w:uiPriority="39" w:unhideWhenUsed="1" w:qFormat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 w:qFormat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iPriority="0" w:unhideWhenUsed="1"/>
    <w:lsdException w:name="header" w:semiHidden="1" w:unhideWhenUsed="1" w:qFormat="1"/>
    <w:lsdException w:name="footer" w:semiHidden="1" w:unhideWhenUsed="1" w:qFormat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 w:qFormat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iPriority="0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/>
    <w:lsdException w:name="Salutation" w:semiHidden="1" w:unhideWhenUsed="1"/>
    <w:lsdException w:name="Date" w:semiHidden="1" w:uiPriority="0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0"/>
    <w:lsdException w:name="Emphasis" w:uiPriority="20"/>
    <w:lsdException w:name="Document Map" w:semiHidden="1" w:uiPriority="0" w:unhideWhenUsed="1"/>
    <w:lsdException w:name="Plain Text" w:semiHidden="1" w:uiPriority="0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iPriority="0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iPriority="0" w:unhideWhenUsed="1"/>
    <w:lsdException w:name="Table Colorful 3" w:semiHidden="1" w:unhideWhenUsed="1"/>
    <w:lsdException w:name="Table Columns 1" w:semiHidden="1" w:unhideWhenUsed="1"/>
    <w:lsdException w:name="Table Columns 2" w:semiHidden="1" w:uiPriority="0" w:unhideWhenUsed="1"/>
    <w:lsdException w:name="Table Columns 3" w:semiHidden="1" w:uiPriority="0" w:unhideWhenUsed="1"/>
    <w:lsdException w:name="Table Columns 4" w:semiHidden="1" w:unhideWhenUsed="1"/>
    <w:lsdException w:name="Table Columns 5" w:semiHidden="1" w:uiPriority="0" w:unhideWhenUsed="1"/>
    <w:lsdException w:name="Table Grid 1" w:semiHidden="1" w:unhideWhenUsed="1"/>
    <w:lsdException w:name="Table Grid 2" w:semiHidden="1" w:unhideWhenUsed="1"/>
    <w:lsdException w:name="Table Grid 3" w:semiHidden="1" w:uiPriority="0" w:unhideWhenUsed="1"/>
    <w:lsdException w:name="Table Grid 4" w:semiHidden="1" w:uiPriority="0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iPriority="0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1" w:qFormat="1"/>
    <w:lsdException w:name="Quote" w:uiPriority="29"/>
    <w:lsdException w:name="Intense Quote" w:uiPriority="30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/>
    <w:lsdException w:name="Intense Emphasis" w:uiPriority="21"/>
    <w:lsdException w:name="Subtle Reference" w:uiPriority="31"/>
    <w:lsdException w:name="Intense Reference" w:uiPriority="32"/>
    <w:lsdException w:name="Book Title" w:uiPriority="33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Smart Link" w:semiHidden="1" w:unhideWhenUsed="1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aliases w:val="正文-表格"/>
    <w:qFormat/>
    <w:rsid w:val="006C3BE6"/>
    <w:pPr>
      <w:widowControl w:val="0"/>
      <w:topLinePunct/>
      <w:spacing w:before="40" w:after="40"/>
      <w:jc w:val="both"/>
    </w:pPr>
    <w:rPr>
      <w:rFonts w:ascii="Times New Roman" w:eastAsia="宋体" w:hAnsi="Times New Roman"/>
    </w:rPr>
  </w:style>
  <w:style w:type="paragraph" w:styleId="Heading1">
    <w:name w:val="heading 1"/>
    <w:basedOn w:val="Normal"/>
    <w:next w:val="Normal"/>
    <w:link w:val="11"/>
    <w:autoRedefine/>
    <w:qFormat/>
    <w:rsid w:val="00580126"/>
    <w:pPr>
      <w:keepNext/>
      <w:keepLines/>
      <w:pageBreakBefore/>
      <w:widowControl/>
      <w:numPr>
        <w:numId w:val="3"/>
      </w:numPr>
      <w:topLinePunct w:val="0"/>
      <w:spacing w:before="120" w:after="120"/>
      <w:jc w:val="center"/>
      <w:outlineLvl w:val="0"/>
    </w:pPr>
    <w:rPr>
      <w:rFonts w:eastAsia="黑体" w:cs="Calibri"/>
      <w:b/>
      <w:color w:val="000080"/>
      <w:kern w:val="0"/>
      <w:sz w:val="30"/>
      <w:szCs w:val="32"/>
      <w:lang w:val="en-IN" w:eastAsia="en-US"/>
    </w:rPr>
  </w:style>
  <w:style w:type="paragraph" w:styleId="Heading2">
    <w:name w:val="heading 2"/>
    <w:basedOn w:val="Normal"/>
    <w:next w:val="Normal"/>
    <w:link w:val="21"/>
    <w:autoRedefine/>
    <w:qFormat/>
    <w:rsid w:val="000D1730"/>
    <w:pPr>
      <w:keepNext/>
      <w:keepLines/>
      <w:numPr>
        <w:ilvl w:val="1"/>
        <w:numId w:val="3"/>
      </w:numPr>
      <w:spacing w:before="240" w:after="120"/>
      <w:jc w:val="left"/>
      <w:outlineLvl w:val="1"/>
    </w:pPr>
    <w:rPr>
      <w:rFonts w:cs="Calibri"/>
      <w:b/>
      <w:bCs/>
      <w:color w:val="0D0D0D" w:themeColor="text1" w:themeTint="F2"/>
      <w:sz w:val="28"/>
      <w:szCs w:val="32"/>
    </w:rPr>
  </w:style>
  <w:style w:type="paragraph" w:styleId="Heading3">
    <w:name w:val="heading 3"/>
    <w:basedOn w:val="Normal"/>
    <w:next w:val="Normal"/>
    <w:link w:val="31"/>
    <w:autoRedefine/>
    <w:qFormat/>
    <w:rsid w:val="00566304"/>
    <w:pPr>
      <w:keepNext/>
      <w:keepLines/>
      <w:numPr>
        <w:ilvl w:val="2"/>
        <w:numId w:val="3"/>
      </w:numPr>
      <w:spacing w:before="240" w:after="120"/>
      <w:jc w:val="left"/>
      <w:outlineLvl w:val="2"/>
    </w:pPr>
    <w:rPr>
      <w:rFonts w:cs="Calibri"/>
      <w:b/>
      <w:bCs/>
      <w:color w:val="0D0D0D" w:themeColor="text1" w:themeTint="F2"/>
      <w:sz w:val="24"/>
      <w:szCs w:val="32"/>
    </w:rPr>
  </w:style>
  <w:style w:type="paragraph" w:styleId="Heading4">
    <w:name w:val="heading 4"/>
    <w:basedOn w:val="Normal"/>
    <w:next w:val="Normal"/>
    <w:link w:val="4"/>
    <w:qFormat/>
    <w:rsid w:val="00292078"/>
    <w:pPr>
      <w:keepNext/>
      <w:keepLines/>
      <w:numPr>
        <w:ilvl w:val="3"/>
        <w:numId w:val="3"/>
      </w:numPr>
      <w:outlineLvl w:val="3"/>
    </w:pPr>
    <w:rPr>
      <w:b/>
      <w:bCs/>
      <w:sz w:val="26"/>
      <w:szCs w:val="26"/>
      <w:lang w:val="x-none" w:eastAsia="x-none"/>
    </w:rPr>
  </w:style>
  <w:style w:type="paragraph" w:styleId="Heading5">
    <w:name w:val="heading 5"/>
    <w:basedOn w:val="Normal"/>
    <w:next w:val="Normal"/>
    <w:link w:val="51"/>
    <w:uiPriority w:val="9"/>
    <w:unhideWhenUsed/>
    <w:qFormat/>
    <w:rsid w:val="00AD7B8C"/>
    <w:pPr>
      <w:keepNext/>
      <w:keepLines/>
      <w:numPr>
        <w:ilvl w:val="4"/>
        <w:numId w:val="3"/>
      </w:numPr>
      <w:spacing w:before="280" w:after="290" w:line="376" w:lineRule="auto"/>
      <w:outlineLvl w:val="4"/>
    </w:pPr>
    <w:rPr>
      <w:b/>
      <w:bCs/>
      <w:sz w:val="28"/>
      <w:szCs w:val="28"/>
    </w:rPr>
  </w:style>
  <w:style w:type="paragraph" w:styleId="Heading6">
    <w:name w:val="heading 6"/>
    <w:basedOn w:val="Normal"/>
    <w:next w:val="Normal"/>
    <w:link w:val="61"/>
    <w:autoRedefine/>
    <w:uiPriority w:val="9"/>
    <w:qFormat/>
    <w:rsid w:val="0021703F"/>
    <w:pPr>
      <w:keepNext/>
      <w:keepLines/>
      <w:spacing w:before="360" w:after="120" w:line="288" w:lineRule="auto"/>
      <w:outlineLvl w:val="5"/>
    </w:pPr>
    <w:rPr>
      <w:rFonts w:eastAsiaTheme="majorEastAsia"/>
      <w:b/>
      <w:bCs/>
      <w:color w:val="44546A" w:themeColor="text2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11">
    <w:name w:val="标题 1 字符1"/>
    <w:link w:val="Heading1"/>
    <w:rsid w:val="00580126"/>
    <w:rPr>
      <w:rFonts w:ascii="Times New Roman" w:eastAsia="黑体" w:hAnsi="Times New Roman" w:cs="Calibri"/>
      <w:b/>
      <w:color w:val="000080"/>
      <w:kern w:val="0"/>
      <w:sz w:val="30"/>
      <w:szCs w:val="32"/>
      <w:lang w:val="en-IN" w:eastAsia="en-US"/>
    </w:rPr>
  </w:style>
  <w:style w:type="character" w:customStyle="1" w:styleId="21">
    <w:name w:val="标题 2 字符1"/>
    <w:link w:val="Heading2"/>
    <w:rsid w:val="000D1730"/>
    <w:rPr>
      <w:rFonts w:ascii="Times New Roman" w:eastAsia="宋体" w:hAnsi="Times New Roman" w:cs="Calibri"/>
      <w:b/>
      <w:bCs/>
      <w:color w:val="0D0D0D" w:themeColor="text1" w:themeTint="F2"/>
      <w:sz w:val="28"/>
      <w:szCs w:val="32"/>
    </w:rPr>
  </w:style>
  <w:style w:type="character" w:customStyle="1" w:styleId="31">
    <w:name w:val="标题 3 字符1"/>
    <w:link w:val="Heading3"/>
    <w:rsid w:val="00566304"/>
    <w:rPr>
      <w:rFonts w:ascii="Times New Roman" w:eastAsia="宋体" w:hAnsi="Times New Roman" w:cs="Calibri"/>
      <w:b/>
      <w:bCs/>
      <w:color w:val="0D0D0D" w:themeColor="text1" w:themeTint="F2"/>
      <w:sz w:val="24"/>
      <w:szCs w:val="32"/>
    </w:rPr>
  </w:style>
  <w:style w:type="character" w:customStyle="1" w:styleId="4">
    <w:name w:val="标题 4 字符"/>
    <w:link w:val="Heading4"/>
    <w:rsid w:val="00292078"/>
    <w:rPr>
      <w:rFonts w:ascii="Calibri" w:eastAsia="宋体" w:hAnsi="Calibri"/>
      <w:b/>
      <w:bCs/>
      <w:sz w:val="26"/>
      <w:szCs w:val="26"/>
      <w:lang w:val="x-none" w:eastAsia="x-none"/>
    </w:rPr>
  </w:style>
  <w:style w:type="character" w:customStyle="1" w:styleId="51">
    <w:name w:val="标题 5 字符1"/>
    <w:link w:val="Heading5"/>
    <w:uiPriority w:val="9"/>
    <w:rsid w:val="00AD7B8C"/>
    <w:rPr>
      <w:rFonts w:ascii="Calibri" w:eastAsia="宋体" w:hAnsi="Calibri"/>
      <w:b/>
      <w:bCs/>
      <w:sz w:val="28"/>
      <w:szCs w:val="28"/>
    </w:rPr>
  </w:style>
  <w:style w:type="character" w:customStyle="1" w:styleId="61">
    <w:name w:val="标题 6 字符1"/>
    <w:link w:val="Heading6"/>
    <w:uiPriority w:val="9"/>
    <w:rsid w:val="0021703F"/>
    <w:rPr>
      <w:rFonts w:ascii="Calibri" w:hAnsi="Calibri" w:eastAsiaTheme="majorEastAsia"/>
      <w:b/>
      <w:bCs/>
      <w:color w:val="44546A" w:themeColor="text2"/>
    </w:rPr>
  </w:style>
  <w:style w:type="paragraph" w:styleId="Header">
    <w:name w:val="header"/>
    <w:basedOn w:val="Normal"/>
    <w:link w:val="a"/>
    <w:uiPriority w:val="99"/>
    <w:unhideWhenUsed/>
    <w:qFormat/>
    <w:rsid w:val="00AD7B8C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">
    <w:name w:val="页眉 字符"/>
    <w:basedOn w:val="DefaultParagraphFont"/>
    <w:link w:val="Header"/>
    <w:uiPriority w:val="99"/>
    <w:qFormat/>
    <w:rsid w:val="00AD7B8C"/>
    <w:rPr>
      <w:sz w:val="18"/>
      <w:szCs w:val="18"/>
    </w:rPr>
  </w:style>
  <w:style w:type="paragraph" w:styleId="Footer">
    <w:name w:val="footer"/>
    <w:basedOn w:val="Normal"/>
    <w:link w:val="a0"/>
    <w:uiPriority w:val="99"/>
    <w:unhideWhenUsed/>
    <w:qFormat/>
    <w:rsid w:val="00AD7B8C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0">
    <w:name w:val="页脚 字符"/>
    <w:basedOn w:val="DefaultParagraphFont"/>
    <w:link w:val="Footer"/>
    <w:uiPriority w:val="99"/>
    <w:qFormat/>
    <w:rsid w:val="00AD7B8C"/>
    <w:rPr>
      <w:sz w:val="18"/>
      <w:szCs w:val="18"/>
    </w:rPr>
  </w:style>
  <w:style w:type="character" w:customStyle="1" w:styleId="1">
    <w:name w:val="标题 1 字符"/>
    <w:basedOn w:val="DefaultParagraphFont"/>
    <w:uiPriority w:val="9"/>
    <w:rsid w:val="00AD7B8C"/>
    <w:rPr>
      <w:rFonts w:ascii="Times New Roman" w:eastAsia="Times New Roman" w:hAnsi="Times New Roman" w:cs="Times New Roman"/>
      <w:b/>
      <w:bCs/>
      <w:kern w:val="44"/>
      <w:sz w:val="44"/>
      <w:szCs w:val="44"/>
    </w:rPr>
  </w:style>
  <w:style w:type="character" w:customStyle="1" w:styleId="2">
    <w:name w:val="标题 2 字符"/>
    <w:basedOn w:val="DefaultParagraphFont"/>
    <w:uiPriority w:val="9"/>
    <w:rsid w:val="00AD7B8C"/>
    <w:rPr>
      <w:rFonts w:asciiTheme="majorHAnsi" w:eastAsiaTheme="majorEastAsia" w:hAnsiTheme="majorHAnsi" w:cstheme="majorBidi"/>
      <w:b/>
      <w:bCs/>
      <w:sz w:val="32"/>
      <w:szCs w:val="32"/>
    </w:rPr>
  </w:style>
  <w:style w:type="character" w:customStyle="1" w:styleId="3">
    <w:name w:val="标题 3 字符"/>
    <w:basedOn w:val="DefaultParagraphFont"/>
    <w:uiPriority w:val="9"/>
    <w:rsid w:val="00AD7B8C"/>
    <w:rPr>
      <w:rFonts w:ascii="Times New Roman" w:eastAsia="Times New Roman" w:hAnsi="Times New Roman" w:cs="Times New Roman"/>
      <w:b/>
      <w:bCs/>
      <w:sz w:val="32"/>
      <w:szCs w:val="32"/>
    </w:rPr>
  </w:style>
  <w:style w:type="character" w:customStyle="1" w:styleId="5">
    <w:name w:val="标题 5 字符"/>
    <w:basedOn w:val="DefaultParagraphFont"/>
    <w:uiPriority w:val="9"/>
    <w:rsid w:val="00AD7B8C"/>
    <w:rPr>
      <w:rFonts w:ascii="Times New Roman" w:eastAsia="Times New Roman" w:hAnsi="Times New Roman" w:cs="Times New Roman"/>
      <w:b/>
      <w:bCs/>
      <w:sz w:val="28"/>
      <w:szCs w:val="28"/>
    </w:rPr>
  </w:style>
  <w:style w:type="character" w:customStyle="1" w:styleId="6">
    <w:name w:val="标题 6 字符"/>
    <w:basedOn w:val="DefaultParagraphFont"/>
    <w:uiPriority w:val="9"/>
    <w:rsid w:val="00AD7B8C"/>
    <w:rPr>
      <w:rFonts w:asciiTheme="majorHAnsi" w:eastAsiaTheme="majorEastAsia" w:hAnsiTheme="majorHAnsi" w:cstheme="majorBidi"/>
      <w:b/>
      <w:bCs/>
      <w:sz w:val="24"/>
      <w:szCs w:val="24"/>
    </w:rPr>
  </w:style>
  <w:style w:type="table" w:customStyle="1" w:styleId="TableNormal0">
    <w:name w:val="Table Normal_0"/>
    <w:uiPriority w:val="2"/>
    <w:semiHidden/>
    <w:unhideWhenUsed/>
    <w:qFormat/>
    <w:rsid w:val="00AD7B8C"/>
    <w:pPr>
      <w:widowControl w:val="0"/>
    </w:pPr>
    <w:rPr>
      <w:rFonts w:ascii="Calibri" w:eastAsia="宋体" w:hAnsi="Calibri" w:cs="Times New Roman"/>
      <w:sz w:val="22"/>
      <w:lang w:eastAsia="en-US"/>
    </w:rPr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character" w:customStyle="1" w:styleId="Char">
    <w:name w:val="页眉 Char"/>
    <w:rsid w:val="00AD7B8C"/>
    <w:rPr>
      <w:rFonts w:ascii="Arial Unicode MS" w:eastAsia="微软雅黑" w:hAnsi="Arial Unicode MS"/>
      <w:kern w:val="2"/>
      <w:sz w:val="18"/>
      <w:szCs w:val="22"/>
    </w:rPr>
  </w:style>
  <w:style w:type="character" w:customStyle="1" w:styleId="Char0">
    <w:name w:val="页脚 Char"/>
    <w:uiPriority w:val="99"/>
    <w:rsid w:val="00AD7B8C"/>
    <w:rPr>
      <w:rFonts w:ascii="Arial Unicode MS" w:eastAsia="微软雅黑" w:hAnsi="Arial Unicode MS"/>
      <w:kern w:val="2"/>
      <w:sz w:val="18"/>
      <w:szCs w:val="22"/>
    </w:rPr>
  </w:style>
  <w:style w:type="character" w:customStyle="1" w:styleId="10">
    <w:name w:val="文档结构图 字符1"/>
    <w:link w:val="DocumentMap"/>
    <w:rsid w:val="00AD7B8C"/>
    <w:rPr>
      <w:rFonts w:eastAsia="Times New Roman"/>
      <w:szCs w:val="21"/>
      <w:shd w:val="clear" w:color="auto" w:fill="000080"/>
    </w:rPr>
  </w:style>
  <w:style w:type="paragraph" w:styleId="DocumentMap">
    <w:name w:val="Document Map"/>
    <w:basedOn w:val="Normal"/>
    <w:link w:val="10"/>
    <w:rsid w:val="00AD7B8C"/>
    <w:pPr>
      <w:shd w:val="clear" w:color="auto" w:fill="000080"/>
    </w:pPr>
    <w:rPr>
      <w:rFonts w:asciiTheme="minorHAnsi" w:hAnsiTheme="minorHAnsi"/>
    </w:rPr>
  </w:style>
  <w:style w:type="character" w:customStyle="1" w:styleId="a1">
    <w:name w:val="文档结构图 字符"/>
    <w:basedOn w:val="DefaultParagraphFont"/>
    <w:semiHidden/>
    <w:rsid w:val="00AD7B8C"/>
    <w:rPr>
      <w:rFonts w:ascii="Microsoft YaHei UI" w:eastAsia="Microsoft YaHei UI" w:hAnsi="Times New Roman" w:cs="Times New Roman"/>
      <w:sz w:val="18"/>
      <w:szCs w:val="18"/>
    </w:rPr>
  </w:style>
  <w:style w:type="character" w:customStyle="1" w:styleId="Char1">
    <w:name w:val="文档结构图 Char1"/>
    <w:uiPriority w:val="99"/>
    <w:rsid w:val="00AD7B8C"/>
    <w:rPr>
      <w:rFonts w:ascii="宋体" w:hAnsi="Arial Unicode MS"/>
      <w:kern w:val="2"/>
      <w:sz w:val="18"/>
      <w:szCs w:val="18"/>
    </w:rPr>
  </w:style>
  <w:style w:type="paragraph" w:styleId="TableofFigures">
    <w:name w:val="table of figures"/>
    <w:autoRedefine/>
    <w:uiPriority w:val="99"/>
    <w:qFormat/>
    <w:rsid w:val="002726CB"/>
    <w:pPr>
      <w:widowControl w:val="0"/>
      <w:tabs>
        <w:tab w:val="right" w:leader="dot" w:pos="9736"/>
      </w:tabs>
      <w:topLinePunct/>
      <w:spacing w:line="312" w:lineRule="auto"/>
      <w:ind w:left="1021" w:hanging="1021"/>
      <w:jc w:val="distribute"/>
    </w:pPr>
    <w:rPr>
      <w:rFonts w:ascii="Times New Roman" w:eastAsia="宋体" w:hAnsi="Times New Roman"/>
      <w:szCs w:val="20"/>
    </w:rPr>
  </w:style>
  <w:style w:type="paragraph" w:styleId="TOC1">
    <w:name w:val="toc 1"/>
    <w:basedOn w:val="Normal"/>
    <w:next w:val="Normal"/>
    <w:autoRedefine/>
    <w:uiPriority w:val="39"/>
    <w:qFormat/>
    <w:rsid w:val="006C3BE6"/>
    <w:pPr>
      <w:widowControl/>
      <w:tabs>
        <w:tab w:val="right" w:pos="9746"/>
      </w:tabs>
      <w:topLinePunct w:val="0"/>
      <w:spacing w:before="120" w:after="0" w:line="312" w:lineRule="auto"/>
      <w:jc w:val="distribute"/>
    </w:pPr>
    <w:rPr>
      <w:rFonts w:cstheme="majorHAnsi"/>
      <w:b/>
      <w:bCs/>
      <w:noProof/>
      <w:color w:val="174A7C"/>
      <w:kern w:val="0"/>
      <w:szCs w:val="24"/>
      <w:lang w:val="en-IN" w:eastAsia="en-US"/>
    </w:rPr>
  </w:style>
  <w:style w:type="paragraph" w:styleId="TOC2">
    <w:name w:val="toc 2"/>
    <w:basedOn w:val="Normal"/>
    <w:next w:val="Normal"/>
    <w:link w:val="TOC20"/>
    <w:autoRedefine/>
    <w:uiPriority w:val="39"/>
    <w:qFormat/>
    <w:rsid w:val="006C3BE6"/>
    <w:pPr>
      <w:widowControl/>
      <w:topLinePunct w:val="0"/>
      <w:spacing w:before="80" w:after="0" w:line="312" w:lineRule="auto"/>
      <w:ind w:left="748" w:hanging="578"/>
      <w:jc w:val="distribute"/>
    </w:pPr>
    <w:rPr>
      <w:b/>
      <w:color w:val="000000" w:themeColor="text1"/>
      <w:spacing w:val="-6"/>
      <w:kern w:val="0"/>
      <w:szCs w:val="22"/>
      <w:lang w:eastAsia="en-US"/>
    </w:rPr>
  </w:style>
  <w:style w:type="character" w:customStyle="1" w:styleId="TOC20">
    <w:name w:val="TOC 2 字符"/>
    <w:basedOn w:val="DefaultParagraphFont"/>
    <w:link w:val="TOC2"/>
    <w:uiPriority w:val="39"/>
    <w:rsid w:val="00396871"/>
    <w:rPr>
      <w:rFonts w:ascii="Times New Roman" w:eastAsia="宋体" w:hAnsi="Times New Roman"/>
      <w:b/>
      <w:color w:val="000000" w:themeColor="text1"/>
      <w:spacing w:val="-6"/>
      <w:kern w:val="0"/>
      <w:szCs w:val="22"/>
      <w:lang w:eastAsia="en-US"/>
    </w:rPr>
  </w:style>
  <w:style w:type="paragraph" w:styleId="TOC3">
    <w:name w:val="toc 3"/>
    <w:basedOn w:val="Normal"/>
    <w:next w:val="Normal"/>
    <w:autoRedefine/>
    <w:uiPriority w:val="39"/>
    <w:qFormat/>
    <w:rsid w:val="002726CB"/>
    <w:pPr>
      <w:tabs>
        <w:tab w:val="right" w:pos="9746"/>
      </w:tabs>
      <w:spacing w:line="312" w:lineRule="auto"/>
      <w:ind w:left="918" w:hanging="578"/>
      <w:jc w:val="distribute"/>
    </w:pPr>
    <w:rPr>
      <w:color w:val="000000" w:themeColor="text1"/>
    </w:rPr>
  </w:style>
  <w:style w:type="character" w:customStyle="1" w:styleId="a2">
    <w:name w:val="纯文本 字符"/>
    <w:basedOn w:val="DefaultParagraphFont"/>
    <w:uiPriority w:val="99"/>
    <w:semiHidden/>
    <w:rsid w:val="00AD7B8C"/>
    <w:rPr>
      <w:rFonts w:hAnsi="Courier New" w:asciiTheme="minorEastAsia" w:cs="Courier New"/>
      <w:szCs w:val="21"/>
    </w:rPr>
  </w:style>
  <w:style w:type="paragraph" w:styleId="TOC5">
    <w:name w:val="toc 5"/>
    <w:basedOn w:val="Normal"/>
    <w:next w:val="Normal"/>
    <w:autoRedefine/>
    <w:uiPriority w:val="39"/>
    <w:unhideWhenUsed/>
    <w:rsid w:val="00AD7B8C"/>
    <w:pPr>
      <w:ind w:left="1680" w:leftChars="800"/>
    </w:pPr>
  </w:style>
  <w:style w:type="paragraph" w:styleId="TOC6">
    <w:name w:val="toc 6"/>
    <w:basedOn w:val="Normal"/>
    <w:next w:val="Normal"/>
    <w:autoRedefine/>
    <w:uiPriority w:val="39"/>
    <w:unhideWhenUsed/>
    <w:qFormat/>
    <w:rsid w:val="00AD7B8C"/>
  </w:style>
  <w:style w:type="paragraph" w:styleId="TOC7">
    <w:name w:val="toc 7"/>
    <w:basedOn w:val="Normal"/>
    <w:next w:val="Normal"/>
    <w:autoRedefine/>
    <w:uiPriority w:val="39"/>
    <w:unhideWhenUsed/>
    <w:rsid w:val="00AD7B8C"/>
    <w:pPr>
      <w:ind w:left="2520" w:leftChars="1200"/>
    </w:pPr>
  </w:style>
  <w:style w:type="paragraph" w:styleId="TOC8">
    <w:name w:val="toc 8"/>
    <w:basedOn w:val="Normal"/>
    <w:next w:val="Normal"/>
    <w:autoRedefine/>
    <w:uiPriority w:val="39"/>
    <w:unhideWhenUsed/>
    <w:rsid w:val="00AD7B8C"/>
    <w:pPr>
      <w:ind w:left="2940" w:leftChars="1400"/>
    </w:pPr>
  </w:style>
  <w:style w:type="paragraph" w:styleId="TOC9">
    <w:name w:val="toc 9"/>
    <w:basedOn w:val="Normal"/>
    <w:next w:val="Normal"/>
    <w:autoRedefine/>
    <w:uiPriority w:val="39"/>
    <w:unhideWhenUsed/>
    <w:rsid w:val="00AD7B8C"/>
    <w:pPr>
      <w:ind w:left="3360" w:leftChars="1600"/>
    </w:pPr>
  </w:style>
  <w:style w:type="table" w:styleId="TableGrid">
    <w:name w:val="Table Grid"/>
    <w:basedOn w:val="TableNormal"/>
    <w:uiPriority w:val="39"/>
    <w:rsid w:val="00AD7B8C"/>
    <w:rPr>
      <w:rFonts w:ascii="Times New Roman" w:eastAsia="宋体" w:hAnsi="Times New Roman" w:cs="Times New Roman"/>
      <w:kern w:val="0"/>
      <w:sz w:val="20"/>
      <w:szCs w:val="20"/>
    </w:rPr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  <w:style w:type="table" w:styleId="TableColorful2">
    <w:name w:val="Table Colorful 2"/>
    <w:basedOn w:val="TableNormal"/>
    <w:rsid w:val="00AD7B8C"/>
    <w:pPr>
      <w:widowControl w:val="0"/>
      <w:jc w:val="both"/>
    </w:pPr>
    <w:rPr>
      <w:rFonts w:ascii="Times New Roman" w:eastAsia="宋体" w:hAnsi="Times New Roman" w:cs="Times New Roman"/>
      <w:kern w:val="0"/>
      <w:sz w:val="20"/>
      <w:szCs w:val="20"/>
    </w:rPr>
    <w:tblPr>
      <w:tblBorders>
        <w:bottom w:val="single" w:sz="12" w:space="0" w:color="000000"/>
      </w:tblBorders>
    </w:tblPr>
    <w:tcPr>
      <w:shd w:val="pct20" w:color="FFFF00" w:fill="FFFFFF"/>
    </w:tcPr>
    <w:tblStylePr w:type="firstRow">
      <w:rPr>
        <w:b/>
        <w:bCs/>
        <w:i/>
        <w:iCs/>
        <w:color w:val="FFFFFF"/>
      </w:rPr>
      <w:tblPr/>
      <w:tcPr>
        <w:tcBorders>
          <w:bottom w:val="single" w:sz="12" w:space="0" w:color="000000"/>
          <w:tl2br w:val="none" w:sz="0" w:space="0" w:color="auto"/>
          <w:tr2bl w:val="none" w:sz="0" w:space="0" w:color="auto"/>
        </w:tcBorders>
        <w:shd w:val="solid" w:color="800000" w:fill="FFFFFF"/>
      </w:tcPr>
    </w:tblStylePr>
    <w:tblStylePr w:type="firstCol">
      <w:rPr>
        <w:b/>
        <w:bCs/>
        <w:i/>
        <w:i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lastCol">
      <w:tblPr/>
      <w:tcPr>
        <w:tcBorders>
          <w:tl2br w:val="none" w:sz="0" w:space="0" w:color="auto"/>
          <w:tr2bl w:val="none" w:sz="0" w:space="0" w:color="auto"/>
        </w:tcBorders>
        <w:shd w:val="solid" w:color="C0C0C0" w:fill="FFFFFF"/>
      </w:tcPr>
    </w:tblStylePr>
    <w:tblStylePr w:type="swCell">
      <w:rPr>
        <w:b/>
        <w:bCs/>
        <w:i w:val="0"/>
        <w:iCs w:val="0"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paragraph" w:customStyle="1" w:styleId="ac">
    <w:name w:val="ac"/>
    <w:uiPriority w:val="63"/>
    <w:rsid w:val="00AD7B8C"/>
    <w:rPr>
      <w:rFonts w:ascii="Calibri" w:eastAsia="宋体" w:hAnsi="Calibri" w:cs="Times New Roman"/>
    </w:rPr>
  </w:style>
  <w:style w:type="table" w:styleId="ColorfulGrid">
    <w:name w:val="Colorful Grid"/>
    <w:basedOn w:val="TableNormal"/>
    <w:uiPriority w:val="73"/>
    <w:rsid w:val="00AD7B8C"/>
    <w:rPr>
      <w:rFonts w:ascii="Calibri" w:eastAsia="宋体" w:hAnsi="Calibri" w:cs="Times New Roman"/>
      <w:color w:val="000000"/>
      <w:kern w:val="0"/>
      <w:sz w:val="20"/>
      <w:szCs w:val="20"/>
    </w:rPr>
    <w:tblPr>
      <w:tblStyleRowBandSize w:val="1"/>
      <w:tblStyleColBandSize w:val="1"/>
      <w:tblBorders>
        <w:insideH w:val="single" w:sz="4" w:space="0" w:color="FFFFFF"/>
      </w:tblBorders>
    </w:tblPr>
    <w:tcPr>
      <w:shd w:val="clear" w:color="auto" w:fill="CCCCCC"/>
    </w:tcPr>
    <w:tblStylePr w:type="firstRow">
      <w:rPr>
        <w:b/>
        <w:bCs/>
      </w:rPr>
      <w:tblPr/>
      <w:tcPr>
        <w:shd w:val="clear" w:color="auto" w:fill="999999"/>
      </w:tcPr>
    </w:tblStylePr>
    <w:tblStylePr w:type="lastRow">
      <w:rPr>
        <w:b/>
        <w:bCs/>
        <w:color w:val="000000"/>
      </w:rPr>
      <w:tblPr/>
      <w:tcPr>
        <w:shd w:val="clear" w:color="auto" w:fill="999999"/>
      </w:tcPr>
    </w:tblStylePr>
    <w:tblStylePr w:type="firstCol">
      <w:rPr>
        <w:color w:val="FFFFFF"/>
      </w:rPr>
      <w:tblPr/>
      <w:tcPr>
        <w:shd w:val="clear" w:color="auto" w:fill="000000"/>
      </w:tcPr>
    </w:tblStylePr>
    <w:tblStylePr w:type="lastCol">
      <w:rPr>
        <w:color w:val="FFFFFF"/>
      </w:rPr>
      <w:tblPr/>
      <w:tcPr>
        <w:shd w:val="clear" w:color="auto" w:fill="000000"/>
      </w:tcPr>
    </w:tblStylePr>
    <w:tblStylePr w:type="band1Vert">
      <w:tblPr/>
      <w:tcPr>
        <w:shd w:val="clear" w:color="auto" w:fill="808080"/>
      </w:tcPr>
    </w:tblStylePr>
    <w:tblStylePr w:type="band1Horz">
      <w:tblPr/>
      <w:tcPr>
        <w:shd w:val="clear" w:color="auto" w:fill="808080"/>
      </w:tcPr>
    </w:tblStylePr>
  </w:style>
  <w:style w:type="table" w:styleId="MediumShading1">
    <w:name w:val="Medium Shading 1"/>
    <w:basedOn w:val="TableNormal"/>
    <w:uiPriority w:val="63"/>
    <w:rsid w:val="00AD7B8C"/>
    <w:rPr>
      <w:rFonts w:ascii="Calibri" w:eastAsia="宋体" w:hAnsi="Calibri" w:cs="Times New Roman"/>
      <w:kern w:val="0"/>
      <w:sz w:val="20"/>
      <w:szCs w:val="20"/>
    </w:rPr>
    <w:tblPr>
      <w:tblStyleRowBandSize w:val="1"/>
      <w:tblStyleColBandSize w:val="1"/>
      <w:tblBorders>
        <w:top w:val="single" w:sz="8" w:space="0" w:color="404040"/>
        <w:left w:val="single" w:sz="8" w:space="0" w:color="404040"/>
        <w:bottom w:val="single" w:sz="8" w:space="0" w:color="404040"/>
        <w:right w:val="single" w:sz="8" w:space="0" w:color="404040"/>
        <w:insideH w:val="single" w:sz="8" w:space="0" w:color="404040"/>
      </w:tblBorders>
    </w:tblPr>
    <w:tblStylePr w:type="firstRow">
      <w:pPr>
        <w:spacing w:before="0" w:after="0" w:line="240" w:lineRule="auto"/>
      </w:pPr>
      <w:rPr>
        <w:b/>
        <w:bCs/>
        <w:color w:val="FFFFFF"/>
      </w:rPr>
      <w:tblPr/>
      <w:tcPr>
        <w:tcBorders>
          <w:top w:val="single" w:sz="8" w:space="0" w:color="404040"/>
          <w:left w:val="single" w:sz="8" w:space="0" w:color="404040"/>
          <w:bottom w:val="single" w:sz="8" w:space="0" w:color="404040"/>
          <w:right w:val="single" w:sz="8" w:space="0" w:color="404040"/>
          <w:insideH w:val="nil"/>
          <w:insideV w:val="nil"/>
        </w:tcBorders>
        <w:shd w:val="clear" w:color="auto" w:fill="000000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/>
          <w:left w:val="single" w:sz="8" w:space="0" w:color="404040"/>
          <w:bottom w:val="single" w:sz="8" w:space="0" w:color="404040"/>
          <w:right w:val="single" w:sz="8" w:space="0" w:color="404040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LightList">
    <w:name w:val="Light List"/>
    <w:basedOn w:val="TableNormal"/>
    <w:uiPriority w:val="61"/>
    <w:rsid w:val="00AD7B8C"/>
    <w:rPr>
      <w:rFonts w:ascii="Calibri" w:eastAsia="宋体" w:hAnsi="Calibri" w:cs="Times New Roman"/>
      <w:kern w:val="0"/>
      <w:sz w:val="20"/>
      <w:szCs w:val="20"/>
    </w:rPr>
    <w:tblPr>
      <w:tblStyleRowBandSize w:val="1"/>
      <w:tblStyleColBandSize w:val="1"/>
      <w:tblBorders>
        <w:top w:val="single" w:sz="8" w:space="0" w:color="000000"/>
        <w:left w:val="single" w:sz="8" w:space="0" w:color="000000"/>
        <w:bottom w:val="single" w:sz="8" w:space="0" w:color="000000"/>
        <w:right w:val="single" w:sz="8" w:space="0" w:color="000000"/>
      </w:tblBorders>
    </w:tblPr>
    <w:tblStylePr w:type="firstRow">
      <w:pPr>
        <w:spacing w:before="0" w:after="0" w:line="240" w:lineRule="auto"/>
      </w:pPr>
      <w:rPr>
        <w:b/>
        <w:bCs/>
        <w:color w:val="FFFFFF"/>
      </w:rPr>
      <w:tblPr/>
      <w:tcPr>
        <w:shd w:val="clear" w:color="auto" w:fill="000000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/>
          <w:left w:val="single" w:sz="8" w:space="0" w:color="000000"/>
          <w:bottom w:val="single" w:sz="8" w:space="0" w:color="000000"/>
          <w:right w:val="single" w:sz="8" w:space="0" w:color="00000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</w:tcBorders>
      </w:tcPr>
    </w:tblStylePr>
    <w:tblStylePr w:type="band1Horz">
      <w:tblPr/>
      <w:tcPr>
        <w:tc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</w:tcBorders>
      </w:tcPr>
    </w:tblStylePr>
  </w:style>
  <w:style w:type="paragraph" w:styleId="TOCHeading">
    <w:name w:val="TOC Heading"/>
    <w:basedOn w:val="Heading1"/>
    <w:next w:val="Normal"/>
    <w:uiPriority w:val="39"/>
    <w:unhideWhenUsed/>
    <w:qFormat/>
    <w:rsid w:val="00AD7B8C"/>
    <w:pPr>
      <w:spacing w:before="480" w:after="0" w:line="276" w:lineRule="auto"/>
      <w:jc w:val="left"/>
      <w:outlineLvl w:val="9"/>
    </w:pPr>
    <w:rPr>
      <w:rFonts w:ascii="Cambria" w:hAnsi="Cambria" w:cs="Times New Roman"/>
      <w:color w:val="365F91"/>
      <w:sz w:val="28"/>
      <w:szCs w:val="28"/>
      <w14:textFill>
        <w14:solidFill>
          <w14:srgbClr w14:val="365F91">
            <w14:lumMod w14:val="75000"/>
          </w14:srgbClr>
        </w14:solidFill>
      </w14:textFill>
    </w:rPr>
  </w:style>
  <w:style w:type="table" w:styleId="TableColumns2">
    <w:name w:val="Table Columns 2"/>
    <w:basedOn w:val="TableNormal"/>
    <w:rsid w:val="00AD7B8C"/>
    <w:pPr>
      <w:widowControl w:val="0"/>
      <w:jc w:val="both"/>
    </w:pPr>
    <w:rPr>
      <w:rFonts w:ascii="Times New Roman" w:eastAsia="宋体" w:hAnsi="Times New Roman" w:cs="Times New Roman"/>
      <w:b/>
      <w:bCs/>
      <w:kern w:val="0"/>
      <w:sz w:val="20"/>
      <w:szCs w:val="20"/>
    </w:rPr>
    <w:tblPr>
      <w:tblStyleColBandSize w:val="1"/>
    </w:tblPr>
    <w:tblStylePr w:type="firstRow">
      <w:rPr>
        <w:color w:val="FFFFFF"/>
      </w:rPr>
      <w:tblPr/>
      <w:tcPr>
        <w:tcBorders>
          <w:tl2br w:val="none" w:sz="0" w:space="0" w:color="auto"/>
          <w:tr2bl w:val="none" w:sz="0" w:space="0" w:color="auto"/>
        </w:tcBorders>
        <w:shd w:val="solid" w:color="000080" w:fill="FFFFFF"/>
      </w:tcPr>
    </w:tblStylePr>
    <w:tblStylePr w:type="lastRow">
      <w:rPr>
        <w:b w:val="0"/>
        <w:bCs w:val="0"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firstCol">
      <w:rPr>
        <w:b w:val="0"/>
        <w:bCs w:val="0"/>
        <w:color w:val="000000"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lastCol">
      <w:rPr>
        <w:b w:val="0"/>
        <w:bCs w:val="0"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band1Vert">
      <w:rPr>
        <w:color w:val="auto"/>
      </w:rPr>
      <w:tblPr/>
      <w:tcPr>
        <w:shd w:val="pct30" w:color="000000" w:fill="FFFFFF"/>
      </w:tcPr>
    </w:tblStylePr>
    <w:tblStylePr w:type="band2Vert">
      <w:rPr>
        <w:color w:val="auto"/>
      </w:rPr>
      <w:tblPr/>
      <w:tcPr>
        <w:shd w:val="pct25" w:color="00FF00" w:fill="FFFFFF"/>
      </w:tcPr>
    </w:tblStylePr>
    <w:tblStylePr w:type="neCel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swCel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TableGrid4">
    <w:name w:val="Table Grid 4"/>
    <w:basedOn w:val="TableNormal"/>
    <w:rsid w:val="00AD7B8C"/>
    <w:pPr>
      <w:widowControl w:val="0"/>
      <w:jc w:val="both"/>
    </w:pPr>
    <w:rPr>
      <w:rFonts w:ascii="Times New Roman" w:eastAsia="宋体" w:hAnsi="Times New Roman" w:cs="Times New Roman"/>
      <w:kern w:val="0"/>
      <w:sz w:val="20"/>
      <w:szCs w:val="20"/>
    </w:rPr>
    <w:tblPr>
      <w:tblBorders>
        <w:left w:val="single" w:sz="12" w:space="0" w:color="000000"/>
        <w:right w:val="single" w:sz="12" w:space="0" w:color="000000"/>
        <w:insideH w:val="single" w:sz="6" w:space="0" w:color="000000"/>
        <w:insideV w:val="single" w:sz="6" w:space="0" w:color="000000"/>
      </w:tblBorders>
    </w:tblPr>
    <w:tcPr>
      <w:shd w:val="clear" w:color="auto" w:fill="auto"/>
    </w:tcPr>
    <w:tblStylePr w:type="firstRow">
      <w:rPr>
        <w:color w:val="auto"/>
      </w:rPr>
      <w:tblPr/>
      <w:tcPr>
        <w:tcBorders>
          <w:bottom w:val="single" w:sz="6" w:space="0" w:color="000000"/>
          <w:tl2br w:val="none" w:sz="0" w:space="0" w:color="auto"/>
          <w:tr2bl w:val="none" w:sz="0" w:space="0" w:color="auto"/>
        </w:tcBorders>
        <w:shd w:val="pct30" w:color="FFFF00" w:fill="FFFFFF"/>
      </w:tcPr>
    </w:tblStylePr>
    <w:tblStylePr w:type="lastRow">
      <w:rPr>
        <w:b/>
        <w:bCs/>
        <w:color w:val="auto"/>
      </w:rPr>
      <w:tblPr/>
      <w:tcPr>
        <w:tcBorders>
          <w:top w:val="single" w:sz="6" w:space="0" w:color="000000"/>
          <w:tl2br w:val="none" w:sz="0" w:space="0" w:color="auto"/>
          <w:tr2bl w:val="none" w:sz="0" w:space="0" w:color="auto"/>
        </w:tcBorders>
        <w:shd w:val="pct30" w:color="FFFF00" w:fill="FFFFFF"/>
      </w:tcPr>
    </w:tblStylePr>
    <w:tblStylePr w:type="lastCol">
      <w:rPr>
        <w:b/>
        <w:bCs/>
        <w:color w:val="auto"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TableGrid3">
    <w:name w:val="Table Grid 3"/>
    <w:basedOn w:val="TableNormal"/>
    <w:rsid w:val="00AD7B8C"/>
    <w:pPr>
      <w:widowControl w:val="0"/>
      <w:jc w:val="both"/>
    </w:pPr>
    <w:rPr>
      <w:rFonts w:ascii="Times New Roman" w:eastAsia="宋体" w:hAnsi="Times New Roman" w:cs="Times New Roman"/>
      <w:kern w:val="0"/>
      <w:sz w:val="20"/>
      <w:szCs w:val="20"/>
    </w:rPr>
    <w:tblPr>
      <w:tblBorders>
        <w:top w:val="single" w:sz="6" w:space="0" w:color="000000"/>
        <w:left w:val="single" w:sz="12" w:space="0" w:color="000000"/>
        <w:bottom w:val="single" w:sz="6" w:space="0" w:color="000000"/>
        <w:right w:val="single" w:sz="12" w:space="0" w:color="000000"/>
        <w:insideV w:val="single" w:sz="6" w:space="0" w:color="000000"/>
      </w:tblBorders>
    </w:tblPr>
    <w:tcPr>
      <w:shd w:val="clear" w:color="auto" w:fill="auto"/>
    </w:tcPr>
    <w:tblStylePr w:type="firstRow">
      <w:tblPr/>
      <w:tcPr>
        <w:tcBorders>
          <w:bottom w:val="single" w:sz="6" w:space="0" w:color="000000"/>
          <w:tl2br w:val="none" w:sz="0" w:space="0" w:color="auto"/>
          <w:tr2bl w:val="none" w:sz="0" w:space="0" w:color="auto"/>
        </w:tcBorders>
        <w:shd w:val="pct30" w:color="FFFF00" w:fill="FFFFFF"/>
      </w:tcPr>
    </w:tblStylePr>
    <w:tblStylePr w:type="lastRow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lastCo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nwCell">
      <w:tblPr/>
      <w:tcPr>
        <w:tcBorders>
          <w:tl2br w:val="single" w:sz="6" w:space="0" w:color="000000"/>
          <w:tr2bl w:val="none" w:sz="0" w:space="0" w:color="auto"/>
        </w:tcBorders>
      </w:tcPr>
    </w:tblStylePr>
  </w:style>
  <w:style w:type="table" w:styleId="TableColumns5">
    <w:name w:val="Table Columns 5"/>
    <w:basedOn w:val="TableNormal"/>
    <w:rsid w:val="00AD7B8C"/>
    <w:pPr>
      <w:widowControl w:val="0"/>
      <w:jc w:val="both"/>
    </w:pPr>
    <w:rPr>
      <w:rFonts w:ascii="Times New Roman" w:eastAsia="宋体" w:hAnsi="Times New Roman" w:cs="Times New Roman"/>
      <w:kern w:val="0"/>
      <w:sz w:val="20"/>
      <w:szCs w:val="20"/>
    </w:rPr>
    <w:tblPr>
      <w:tblStyleColBandSize w:val="1"/>
      <w:tblBorders>
        <w:top w:val="single" w:sz="12" w:space="0" w:color="808080"/>
        <w:left w:val="single" w:sz="12" w:space="0" w:color="808080"/>
        <w:bottom w:val="single" w:sz="12" w:space="0" w:color="808080"/>
        <w:right w:val="single" w:sz="12" w:space="0" w:color="808080"/>
        <w:insideV w:val="single" w:sz="6" w:space="0" w:color="C0C0C0"/>
      </w:tblBorders>
    </w:tblPr>
    <w:tblStylePr w:type="firstRow">
      <w:rPr>
        <w:b/>
        <w:bCs/>
        <w:i/>
        <w:iCs/>
      </w:rPr>
      <w:tblPr/>
      <w:tcPr>
        <w:tcBorders>
          <w:bottom w:val="single" w:sz="6" w:space="0" w:color="808080"/>
          <w:tl2br w:val="none" w:sz="0" w:space="0" w:color="auto"/>
          <w:tr2bl w:val="none" w:sz="0" w:space="0" w:color="auto"/>
        </w:tcBorders>
      </w:tcPr>
    </w:tblStylePr>
    <w:tblStylePr w:type="lastRow">
      <w:rPr>
        <w:b/>
        <w:bCs/>
      </w:rPr>
      <w:tblPr/>
      <w:tcPr>
        <w:tcBorders>
          <w:top w:val="single" w:sz="6" w:space="0" w:color="808080"/>
          <w:tl2br w:val="none" w:sz="0" w:space="0" w:color="auto"/>
          <w:tr2bl w:val="none" w:sz="0" w:space="0" w:color="auto"/>
        </w:tcBorders>
      </w:tcPr>
    </w:tblStylePr>
    <w:tblStylePr w:type="firstCo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lastCo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band1Vert">
      <w:rPr>
        <w:color w:val="auto"/>
      </w:rPr>
      <w:tblPr/>
      <w:tcPr>
        <w:shd w:val="solid" w:color="C0C0C0" w:fill="FFFFFF"/>
      </w:tcPr>
    </w:tblStylePr>
    <w:tblStylePr w:type="band2Vert">
      <w:rPr>
        <w:color w:val="auto"/>
      </w:rPr>
    </w:tblStylePr>
  </w:style>
  <w:style w:type="table" w:styleId="TableColumns3">
    <w:name w:val="Table Columns 3"/>
    <w:basedOn w:val="TableNormal"/>
    <w:rsid w:val="00AD7B8C"/>
    <w:pPr>
      <w:widowControl w:val="0"/>
      <w:jc w:val="both"/>
    </w:pPr>
    <w:rPr>
      <w:rFonts w:ascii="Times New Roman" w:eastAsia="宋体" w:hAnsi="Times New Roman" w:cs="Times New Roman"/>
      <w:b/>
      <w:bCs/>
      <w:kern w:val="0"/>
      <w:sz w:val="20"/>
      <w:szCs w:val="20"/>
    </w:rPr>
    <w:tblPr>
      <w:tblStyleColBandSize w:val="1"/>
      <w:tblBorders>
        <w:top w:val="single" w:sz="6" w:space="0" w:color="000080"/>
        <w:left w:val="single" w:sz="6" w:space="0" w:color="000080"/>
        <w:bottom w:val="single" w:sz="6" w:space="0" w:color="000080"/>
        <w:right w:val="single" w:sz="6" w:space="0" w:color="000080"/>
        <w:insideV w:val="single" w:sz="6" w:space="0" w:color="000080"/>
      </w:tblBorders>
    </w:tblPr>
    <w:tblStylePr w:type="firstRow">
      <w:rPr>
        <w:color w:val="FFFFFF"/>
      </w:rPr>
      <w:tblPr/>
      <w:tcPr>
        <w:tcBorders>
          <w:tl2br w:val="none" w:sz="0" w:space="0" w:color="auto"/>
          <w:tr2bl w:val="none" w:sz="0" w:space="0" w:color="auto"/>
        </w:tcBorders>
        <w:shd w:val="solid" w:color="000080" w:fill="FFFFFF"/>
      </w:tcPr>
    </w:tblStylePr>
    <w:tblStylePr w:type="lastRow">
      <w:rPr>
        <w:b w:val="0"/>
        <w:bCs w:val="0"/>
      </w:rPr>
      <w:tblPr/>
      <w:tcPr>
        <w:tcBorders>
          <w:top w:val="single" w:sz="6" w:space="0" w:color="000080"/>
          <w:tl2br w:val="none" w:sz="0" w:space="0" w:color="auto"/>
          <w:tr2bl w:val="none" w:sz="0" w:space="0" w:color="auto"/>
        </w:tcBorders>
      </w:tcPr>
    </w:tblStylePr>
    <w:tblStylePr w:type="firstCol">
      <w:rPr>
        <w:b w:val="0"/>
        <w:bCs w:val="0"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lastCol">
      <w:rPr>
        <w:b w:val="0"/>
        <w:bCs w:val="0"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band1Vert">
      <w:rPr>
        <w:color w:val="auto"/>
      </w:rPr>
      <w:tblPr/>
      <w:tcPr>
        <w:shd w:val="solid" w:color="C0C0C0" w:fill="FFFFFF"/>
      </w:tcPr>
    </w:tblStylePr>
    <w:tblStylePr w:type="band2Vert">
      <w:rPr>
        <w:color w:val="auto"/>
      </w:rPr>
      <w:tblPr/>
      <w:tcPr>
        <w:shd w:val="pct10" w:color="000000" w:fill="FFFFFF"/>
      </w:tcPr>
    </w:tblStylePr>
    <w:tblStylePr w:type="neCel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TableGrid8">
    <w:name w:val="Table Grid 8"/>
    <w:basedOn w:val="TableNormal"/>
    <w:rsid w:val="007D7B3B"/>
    <w:pPr>
      <w:widowControl w:val="0"/>
      <w:jc w:val="right"/>
    </w:pPr>
    <w:rPr>
      <w:rFonts w:ascii="Times New Roman" w:eastAsia="宋体" w:hAnsi="Times New Roman" w:cs="Times New Roman"/>
      <w:kern w:val="0"/>
      <w:sz w:val="20"/>
      <w:szCs w:val="20"/>
    </w:rPr>
    <w:tblPr>
      <w:tblBorders>
        <w:top w:val="single" w:sz="6" w:space="0" w:color="000080"/>
        <w:left w:val="single" w:sz="6" w:space="0" w:color="000080"/>
        <w:bottom w:val="single" w:sz="6" w:space="0" w:color="000080"/>
        <w:right w:val="single" w:sz="6" w:space="0" w:color="000080"/>
        <w:insideH w:val="single" w:sz="6" w:space="0" w:color="000080"/>
        <w:insideV w:val="single" w:sz="6" w:space="0" w:color="000080"/>
      </w:tblBorders>
    </w:tblPr>
    <w:tcPr>
      <w:shd w:val="clear" w:color="auto" w:fill="auto"/>
      <w:vAlign w:val="center"/>
    </w:tcPr>
    <w:tblStylePr w:type="firstRow">
      <w:pPr>
        <w:jc w:val="center"/>
      </w:pPr>
      <w:rPr>
        <w:b/>
        <w:bCs/>
        <w:color w:val="FFFFFF"/>
      </w:rPr>
      <w:tblPr/>
      <w:tcPr>
        <w:shd w:val="solid" w:color="000080" w:fill="FFFFFF"/>
      </w:tcPr>
    </w:tblStylePr>
    <w:tblStylePr w:type="lastRow">
      <w:rPr>
        <w:b/>
        <w:bCs/>
        <w:color w:val="auto"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firstCol">
      <w:pPr>
        <w:jc w:val="both"/>
      </w:pPr>
    </w:tblStylePr>
    <w:tblStylePr w:type="lastCol">
      <w:rPr>
        <w:b/>
        <w:bCs/>
        <w:color w:val="auto"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nwCell">
      <w:pPr>
        <w:jc w:val="both"/>
      </w:pPr>
    </w:tblStylePr>
  </w:style>
  <w:style w:type="paragraph" w:styleId="Title">
    <w:name w:val="Title"/>
    <w:basedOn w:val="Normal"/>
    <w:next w:val="Normal"/>
    <w:link w:val="12"/>
    <w:uiPriority w:val="10"/>
    <w:qFormat/>
    <w:rsid w:val="00AD7B8C"/>
    <w:pPr>
      <w:spacing w:before="240" w:after="60"/>
      <w:jc w:val="center"/>
      <w:outlineLvl w:val="0"/>
    </w:pPr>
    <w:rPr>
      <w:rFonts w:ascii="Cambria" w:hAnsi="Cambria"/>
      <w:b/>
      <w:bCs/>
      <w:sz w:val="32"/>
      <w:szCs w:val="32"/>
    </w:rPr>
  </w:style>
  <w:style w:type="character" w:customStyle="1" w:styleId="12">
    <w:name w:val="标题 字符1"/>
    <w:link w:val="Title"/>
    <w:uiPriority w:val="10"/>
    <w:rsid w:val="00AD7B8C"/>
    <w:rPr>
      <w:rFonts w:ascii="Cambria" w:eastAsia="宋体" w:hAnsi="Cambria" w:cs="Times New Roman"/>
      <w:b/>
      <w:bCs/>
      <w:sz w:val="32"/>
      <w:szCs w:val="32"/>
    </w:rPr>
  </w:style>
  <w:style w:type="character" w:customStyle="1" w:styleId="a3">
    <w:name w:val="标题 字符"/>
    <w:basedOn w:val="DefaultParagraphFont"/>
    <w:uiPriority w:val="10"/>
    <w:rsid w:val="00AD7B8C"/>
    <w:rPr>
      <w:rFonts w:asciiTheme="majorHAnsi" w:eastAsiaTheme="majorEastAsia" w:hAnsiTheme="majorHAnsi" w:cstheme="majorBidi"/>
      <w:b/>
      <w:bCs/>
      <w:sz w:val="32"/>
      <w:szCs w:val="32"/>
    </w:rPr>
  </w:style>
  <w:style w:type="table" w:styleId="TableClassic1">
    <w:name w:val="Table Classic 1"/>
    <w:basedOn w:val="TableNormal"/>
    <w:uiPriority w:val="99"/>
    <w:rsid w:val="00AD7B8C"/>
    <w:pPr>
      <w:widowControl w:val="0"/>
      <w:jc w:val="both"/>
    </w:pPr>
    <w:rPr>
      <w:rFonts w:ascii="Times New Roman" w:eastAsia="宋体" w:hAnsi="Times New Roman" w:cs="Times New Roman"/>
      <w:kern w:val="0"/>
      <w:sz w:val="20"/>
      <w:szCs w:val="20"/>
    </w:rPr>
    <w:tblPr>
      <w:tblBorders>
        <w:top w:val="single" w:sz="12" w:space="0" w:color="000000"/>
        <w:bottom w:val="single" w:sz="12" w:space="0" w:color="000000"/>
      </w:tblBorders>
    </w:tblPr>
    <w:tcPr>
      <w:shd w:val="clear" w:color="auto" w:fill="auto"/>
    </w:tcPr>
    <w:tblStylePr w:type="firstRow">
      <w:rPr>
        <w:i/>
        <w:iCs/>
      </w:rPr>
      <w:tblPr/>
      <w:tcPr>
        <w:tcBorders>
          <w:bottom w:val="single" w:sz="6" w:space="0" w:color="000000"/>
          <w:tl2br w:val="none" w:sz="0" w:space="0" w:color="auto"/>
          <w:tr2bl w:val="none" w:sz="0" w:space="0" w:color="auto"/>
        </w:tcBorders>
      </w:tcPr>
    </w:tblStylePr>
    <w:tblStylePr w:type="lastRow">
      <w:rPr>
        <w:color w:val="auto"/>
      </w:rPr>
      <w:tblPr/>
      <w:tcPr>
        <w:tcBorders>
          <w:top w:val="single" w:sz="6" w:space="0" w:color="000000"/>
          <w:tl2br w:val="none" w:sz="0" w:space="0" w:color="auto"/>
          <w:tr2bl w:val="none" w:sz="0" w:space="0" w:color="auto"/>
        </w:tcBorders>
      </w:tcPr>
    </w:tblStylePr>
    <w:tblStylePr w:type="firstCol">
      <w:tblPr/>
      <w:tcPr>
        <w:tcBorders>
          <w:right w:val="single" w:sz="6" w:space="0" w:color="000000"/>
          <w:tl2br w:val="none" w:sz="0" w:space="0" w:color="auto"/>
          <w:tr2bl w:val="none" w:sz="0" w:space="0" w:color="auto"/>
        </w:tcBorders>
      </w:tcPr>
    </w:tblStylePr>
    <w:tblStylePr w:type="neCell">
      <w:rPr>
        <w:b/>
        <w:bCs/>
        <w:i w:val="0"/>
        <w:iCs w:val="0"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swCel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paragraph" w:styleId="Revision">
    <w:name w:val="Revision"/>
    <w:hidden/>
    <w:uiPriority w:val="99"/>
    <w:semiHidden/>
    <w:rsid w:val="00AD7B8C"/>
    <w:rPr>
      <w:rFonts w:ascii="Times New Roman" w:eastAsia="宋体" w:hAnsi="Times New Roman" w:cs="Times New Roman"/>
      <w:szCs w:val="24"/>
    </w:rPr>
  </w:style>
  <w:style w:type="paragraph" w:styleId="Subtitle">
    <w:name w:val="Subtitle"/>
    <w:basedOn w:val="Normal"/>
    <w:next w:val="Normal"/>
    <w:link w:val="13"/>
    <w:uiPriority w:val="11"/>
    <w:rsid w:val="00AD7B8C"/>
    <w:pPr>
      <w:spacing w:before="240" w:after="60" w:line="312" w:lineRule="auto"/>
      <w:jc w:val="center"/>
      <w:outlineLvl w:val="1"/>
    </w:pPr>
    <w:rPr>
      <w:rFonts w:ascii="Cambria" w:hAnsi="Cambria"/>
      <w:b/>
      <w:bCs/>
      <w:kern w:val="28"/>
      <w:sz w:val="32"/>
      <w:szCs w:val="32"/>
    </w:rPr>
  </w:style>
  <w:style w:type="character" w:customStyle="1" w:styleId="13">
    <w:name w:val="副标题 字符1"/>
    <w:link w:val="Subtitle"/>
    <w:uiPriority w:val="11"/>
    <w:rsid w:val="00AD7B8C"/>
    <w:rPr>
      <w:rFonts w:ascii="Cambria" w:eastAsia="宋体" w:hAnsi="Cambria" w:cs="Times New Roman"/>
      <w:b/>
      <w:bCs/>
      <w:kern w:val="28"/>
      <w:sz w:val="32"/>
      <w:szCs w:val="32"/>
    </w:rPr>
  </w:style>
  <w:style w:type="character" w:customStyle="1" w:styleId="a4">
    <w:name w:val="副标题 字符"/>
    <w:basedOn w:val="DefaultParagraphFont"/>
    <w:uiPriority w:val="11"/>
    <w:rsid w:val="00AD7B8C"/>
    <w:rPr>
      <w:b/>
      <w:bCs/>
      <w:kern w:val="28"/>
      <w:sz w:val="32"/>
      <w:szCs w:val="32"/>
    </w:rPr>
  </w:style>
  <w:style w:type="character" w:customStyle="1" w:styleId="14">
    <w:name w:val="@他1"/>
    <w:uiPriority w:val="99"/>
    <w:semiHidden/>
    <w:unhideWhenUsed/>
    <w:rsid w:val="00AD7B8C"/>
    <w:rPr>
      <w:color w:val="2B579A"/>
      <w:shd w:val="clear" w:color="auto" w:fill="E6E6E6"/>
    </w:rPr>
  </w:style>
  <w:style w:type="paragraph" w:styleId="BalloonText">
    <w:name w:val="Balloon Text"/>
    <w:basedOn w:val="Normal"/>
    <w:link w:val="15"/>
    <w:uiPriority w:val="99"/>
    <w:unhideWhenUsed/>
    <w:rsid w:val="00AD7B8C"/>
    <w:rPr>
      <w:rFonts w:ascii="Arial" w:hAnsi="Arial" w:cs="Arial"/>
      <w:kern w:val="0"/>
      <w:sz w:val="18"/>
      <w:szCs w:val="18"/>
      <w:lang w:eastAsia="en-US"/>
    </w:rPr>
  </w:style>
  <w:style w:type="character" w:customStyle="1" w:styleId="15">
    <w:name w:val="批注框文本 字符1"/>
    <w:link w:val="BalloonText"/>
    <w:uiPriority w:val="99"/>
    <w:rsid w:val="00AD7B8C"/>
    <w:rPr>
      <w:rFonts w:ascii="Arial" w:eastAsia="Times New Roman" w:hAnsi="Arial" w:cs="Arial"/>
      <w:kern w:val="0"/>
      <w:sz w:val="18"/>
      <w:szCs w:val="18"/>
      <w:lang w:eastAsia="en-US"/>
    </w:rPr>
  </w:style>
  <w:style w:type="character" w:customStyle="1" w:styleId="a5">
    <w:name w:val="批注框文本 字符"/>
    <w:basedOn w:val="DefaultParagraphFont"/>
    <w:uiPriority w:val="99"/>
    <w:rsid w:val="00AD7B8C"/>
    <w:rPr>
      <w:rFonts w:ascii="Times New Roman" w:eastAsia="Times New Roman" w:hAnsi="Times New Roman" w:cs="Times New Roman"/>
      <w:sz w:val="18"/>
      <w:szCs w:val="18"/>
    </w:rPr>
  </w:style>
  <w:style w:type="table" w:customStyle="1" w:styleId="4-11">
    <w:name w:val="网格表 4 - 着色 11"/>
    <w:basedOn w:val="TableNormal"/>
    <w:uiPriority w:val="49"/>
    <w:rsid w:val="00AD7B8C"/>
    <w:pPr>
      <w:widowControl w:val="0"/>
      <w:jc w:val="both"/>
    </w:pPr>
    <w:rPr>
      <w:rFonts w:ascii="Times New Roman" w:eastAsia="宋体" w:hAnsi="Times New Roman" w:cs="Times New Roman"/>
      <w:sz w:val="20"/>
    </w:rPr>
    <w:tblPr>
      <w:tblStyleRowBandSize w:val="1"/>
      <w:tblStyleColBandSize w:val="1"/>
      <w:tblBorders>
        <w:top w:val="single" w:sz="4" w:space="0" w:color="95B3D7"/>
        <w:left w:val="single" w:sz="4" w:space="0" w:color="95B3D7"/>
        <w:bottom w:val="single" w:sz="4" w:space="0" w:color="95B3D7"/>
        <w:right w:val="single" w:sz="4" w:space="0" w:color="95B3D7"/>
        <w:insideH w:val="single" w:sz="4" w:space="0" w:color="95B3D7"/>
        <w:insideV w:val="single" w:sz="4" w:space="0" w:color="95B3D7"/>
      </w:tblBorders>
    </w:tblPr>
    <w:tblStylePr w:type="firstRow">
      <w:rPr>
        <w:b/>
        <w:bCs/>
        <w:color w:val="FFFFFF"/>
      </w:rPr>
      <w:tblPr/>
      <w:tcPr>
        <w:tcBorders>
          <w:top w:val="single" w:sz="4" w:space="0" w:color="4F81BD"/>
          <w:left w:val="single" w:sz="4" w:space="0" w:color="4F81BD"/>
          <w:bottom w:val="single" w:sz="4" w:space="0" w:color="4F81BD"/>
          <w:right w:val="single" w:sz="4" w:space="0" w:color="4F81BD"/>
          <w:insideH w:val="nil"/>
          <w:insideV w:val="nil"/>
        </w:tcBorders>
        <w:shd w:val="clear" w:color="auto" w:fill="4F81BD"/>
      </w:tcPr>
    </w:tblStylePr>
    <w:tblStylePr w:type="lastRow">
      <w:rPr>
        <w:b/>
        <w:bCs/>
      </w:rPr>
      <w:tblPr/>
      <w:tcPr>
        <w:tcBorders>
          <w:top w:val="double" w:sz="4" w:space="0" w:color="4F81BD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BE5F1"/>
      </w:tcPr>
    </w:tblStylePr>
    <w:tblStylePr w:type="band1Horz">
      <w:tblPr/>
      <w:tcPr>
        <w:shd w:val="clear" w:color="auto" w:fill="DBE5F1"/>
      </w:tcPr>
    </w:tblStylePr>
  </w:style>
  <w:style w:type="character" w:styleId="Hyperlink">
    <w:name w:val="Hyperlink"/>
    <w:uiPriority w:val="99"/>
    <w:unhideWhenUsed/>
    <w:rsid w:val="00AD7B8C"/>
    <w:rPr>
      <w:color w:val="0000FF"/>
      <w:u w:val="single"/>
    </w:rPr>
  </w:style>
  <w:style w:type="paragraph" w:styleId="TOC4">
    <w:name w:val="toc 4"/>
    <w:basedOn w:val="Normal"/>
    <w:next w:val="Normal"/>
    <w:autoRedefine/>
    <w:uiPriority w:val="39"/>
    <w:rsid w:val="002726CB"/>
    <w:pPr>
      <w:ind w:left="300" w:leftChars="300"/>
    </w:pPr>
    <w:rPr>
      <w:color w:val="1F3864" w:themeColor="accent5" w:themeShade="80"/>
    </w:rPr>
  </w:style>
  <w:style w:type="table" w:customStyle="1" w:styleId="4-12">
    <w:name w:val="网格表 4 - 着色 12"/>
    <w:basedOn w:val="TableNormal"/>
    <w:uiPriority w:val="49"/>
    <w:rsid w:val="00AD7B8C"/>
    <w:pPr>
      <w:widowControl w:val="0"/>
    </w:pPr>
    <w:rPr>
      <w:rFonts w:ascii="Calibri" w:eastAsia="宋体" w:hAnsi="Calibri" w:cs="Times New Roman"/>
      <w:kern w:val="0"/>
      <w:sz w:val="22"/>
      <w:lang w:eastAsia="en-US"/>
    </w:rPr>
    <w:tblPr>
      <w:tblStyleRowBandSize w:val="1"/>
      <w:tblStyleColBandSize w:val="1"/>
      <w:tblBorders>
        <w:top w:val="single" w:sz="4" w:space="0" w:color="95B3D7"/>
        <w:left w:val="single" w:sz="4" w:space="0" w:color="95B3D7"/>
        <w:bottom w:val="single" w:sz="4" w:space="0" w:color="95B3D7"/>
        <w:right w:val="single" w:sz="4" w:space="0" w:color="95B3D7"/>
        <w:insideH w:val="single" w:sz="4" w:space="0" w:color="95B3D7"/>
        <w:insideV w:val="single" w:sz="4" w:space="0" w:color="95B3D7"/>
      </w:tblBorders>
    </w:tblPr>
    <w:tblStylePr w:type="firstRow">
      <w:rPr>
        <w:b/>
        <w:bCs/>
        <w:color w:val="FFFFFF"/>
      </w:rPr>
      <w:tblPr/>
      <w:tcPr>
        <w:tcBorders>
          <w:top w:val="single" w:sz="4" w:space="0" w:color="4F81BD"/>
          <w:left w:val="single" w:sz="4" w:space="0" w:color="4F81BD"/>
          <w:bottom w:val="single" w:sz="4" w:space="0" w:color="4F81BD"/>
          <w:right w:val="single" w:sz="4" w:space="0" w:color="4F81BD"/>
          <w:insideH w:val="nil"/>
          <w:insideV w:val="nil"/>
        </w:tcBorders>
        <w:shd w:val="clear" w:color="auto" w:fill="4F81BD"/>
      </w:tcPr>
    </w:tblStylePr>
    <w:tblStylePr w:type="lastRow">
      <w:rPr>
        <w:b/>
        <w:bCs/>
      </w:rPr>
      <w:tblPr/>
      <w:tcPr>
        <w:tcBorders>
          <w:top w:val="double" w:sz="4" w:space="0" w:color="4F81BD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BE5F1"/>
      </w:tcPr>
    </w:tblStylePr>
    <w:tblStylePr w:type="band1Horz">
      <w:tblPr/>
      <w:tcPr>
        <w:shd w:val="clear" w:color="auto" w:fill="DBE5F1"/>
      </w:tcPr>
    </w:tblStylePr>
  </w:style>
  <w:style w:type="table" w:customStyle="1" w:styleId="5-11">
    <w:name w:val="网格表 5 深色 - 着色 11"/>
    <w:basedOn w:val="TableNormal"/>
    <w:uiPriority w:val="50"/>
    <w:rsid w:val="00AD7B8C"/>
    <w:pPr>
      <w:widowControl w:val="0"/>
    </w:pPr>
    <w:rPr>
      <w:rFonts w:ascii="Calibri" w:eastAsia="宋体" w:hAnsi="Calibri" w:cs="Times New Roman"/>
      <w:kern w:val="0"/>
      <w:sz w:val="22"/>
      <w:lang w:eastAsia="en-US"/>
    </w:rPr>
    <w:tblPr>
      <w:tblStyleRowBandSize w:val="1"/>
      <w:tblStyleColBandSize w:val="1"/>
      <w:tblBorders>
        <w:top w:val="single" w:sz="4" w:space="0" w:color="FFFFFF"/>
        <w:left w:val="single" w:sz="4" w:space="0" w:color="FFFFFF"/>
        <w:bottom w:val="single" w:sz="4" w:space="0" w:color="FFFFFF"/>
        <w:right w:val="single" w:sz="4" w:space="0" w:color="FFFFFF"/>
        <w:insideH w:val="single" w:sz="4" w:space="0" w:color="FFFFFF"/>
        <w:insideV w:val="single" w:sz="4" w:space="0" w:color="FFFFFF"/>
      </w:tblBorders>
    </w:tblPr>
    <w:tcPr>
      <w:shd w:val="clear" w:color="auto" w:fill="DBE5F1"/>
    </w:tcPr>
    <w:tblStylePr w:type="firstRow">
      <w:rPr>
        <w:b/>
        <w:bCs/>
        <w:color w:val="FFFFFF"/>
      </w:rPr>
      <w:tblPr/>
      <w:tcPr>
        <w:tcBorders>
          <w:top w:val="single" w:sz="4" w:space="0" w:color="FFFFFF"/>
          <w:left w:val="single" w:sz="4" w:space="0" w:color="FFFFFF"/>
          <w:right w:val="single" w:sz="4" w:space="0" w:color="FFFFFF"/>
          <w:insideH w:val="nil"/>
          <w:insideV w:val="nil"/>
        </w:tcBorders>
        <w:shd w:val="clear" w:color="auto" w:fill="4F81BD"/>
      </w:tcPr>
    </w:tblStylePr>
    <w:tblStylePr w:type="lastRow">
      <w:rPr>
        <w:b/>
        <w:bCs/>
        <w:color w:val="FFFFFF"/>
      </w:rPr>
      <w:tblPr/>
      <w:tcPr>
        <w:tcBorders>
          <w:left w:val="single" w:sz="4" w:space="0" w:color="FFFFFF"/>
          <w:bottom w:val="single" w:sz="4" w:space="0" w:color="FFFFFF"/>
          <w:right w:val="single" w:sz="4" w:space="0" w:color="FFFFFF"/>
          <w:insideH w:val="nil"/>
          <w:insideV w:val="nil"/>
        </w:tcBorders>
        <w:shd w:val="clear" w:color="auto" w:fill="4F81BD"/>
      </w:tcPr>
    </w:tblStylePr>
    <w:tblStylePr w:type="firstCol">
      <w:rPr>
        <w:b/>
        <w:bCs/>
        <w:color w:val="FFFFFF"/>
      </w:rPr>
      <w:tblPr/>
      <w:tcPr>
        <w:tcBorders>
          <w:top w:val="single" w:sz="4" w:space="0" w:color="FFFFFF"/>
          <w:left w:val="single" w:sz="4" w:space="0" w:color="FFFFFF"/>
          <w:bottom w:val="single" w:sz="4" w:space="0" w:color="FFFFFF"/>
          <w:insideV w:val="nil"/>
        </w:tcBorders>
        <w:shd w:val="clear" w:color="auto" w:fill="4F81BD"/>
      </w:tcPr>
    </w:tblStylePr>
    <w:tblStylePr w:type="lastCol">
      <w:rPr>
        <w:b/>
        <w:bCs/>
        <w:color w:val="FFFFFF"/>
      </w:rPr>
      <w:tblPr/>
      <w:tcPr>
        <w:tcBorders>
          <w:top w:val="single" w:sz="4" w:space="0" w:color="FFFFFF"/>
          <w:bottom w:val="single" w:sz="4" w:space="0" w:color="FFFFFF"/>
          <w:right w:val="single" w:sz="4" w:space="0" w:color="FFFFFF"/>
          <w:insideV w:val="nil"/>
        </w:tcBorders>
        <w:shd w:val="clear" w:color="auto" w:fill="4F81BD"/>
      </w:tcPr>
    </w:tblStylePr>
    <w:tblStylePr w:type="band1Vert">
      <w:tblPr/>
      <w:tcPr>
        <w:shd w:val="clear" w:color="auto" w:fill="B8CCE4"/>
      </w:tcPr>
    </w:tblStylePr>
    <w:tblStylePr w:type="band1Horz">
      <w:tblPr/>
      <w:tcPr>
        <w:shd w:val="clear" w:color="auto" w:fill="B8CCE4"/>
      </w:tcPr>
    </w:tblStylePr>
  </w:style>
  <w:style w:type="paragraph" w:styleId="BodyText">
    <w:name w:val="Body Text"/>
    <w:basedOn w:val="Normal"/>
    <w:link w:val="16"/>
    <w:uiPriority w:val="1"/>
    <w:rsid w:val="00AD7B8C"/>
    <w:pPr>
      <w:jc w:val="left"/>
    </w:pPr>
    <w:rPr>
      <w:rFonts w:ascii="Arial" w:eastAsia="Arial" w:hAnsi="Arial" w:cs="Arial"/>
      <w:kern w:val="0"/>
      <w:sz w:val="53"/>
      <w:szCs w:val="53"/>
      <w:lang w:eastAsia="en-US"/>
    </w:rPr>
  </w:style>
  <w:style w:type="character" w:customStyle="1" w:styleId="16">
    <w:name w:val="正文文本 字符1"/>
    <w:link w:val="BodyText"/>
    <w:uiPriority w:val="1"/>
    <w:rsid w:val="00AD7B8C"/>
    <w:rPr>
      <w:rFonts w:ascii="Arial" w:eastAsia="Arial" w:hAnsi="Arial" w:cs="Arial"/>
      <w:kern w:val="0"/>
      <w:sz w:val="53"/>
      <w:szCs w:val="53"/>
      <w:lang w:eastAsia="en-US"/>
    </w:rPr>
  </w:style>
  <w:style w:type="character" w:customStyle="1" w:styleId="a6">
    <w:name w:val="正文文本 字符"/>
    <w:basedOn w:val="DefaultParagraphFont"/>
    <w:uiPriority w:val="99"/>
    <w:semiHidden/>
    <w:rsid w:val="00AD7B8C"/>
    <w:rPr>
      <w:rFonts w:ascii="Times New Roman" w:eastAsia="Times New Roman" w:hAnsi="Times New Roman" w:cs="Times New Roman"/>
      <w:szCs w:val="21"/>
    </w:rPr>
  </w:style>
  <w:style w:type="paragraph" w:styleId="ListParagraph">
    <w:name w:val="List Paragraph"/>
    <w:basedOn w:val="Normal"/>
    <w:link w:val="a7"/>
    <w:uiPriority w:val="1"/>
    <w:qFormat/>
    <w:rsid w:val="00AD7B8C"/>
    <w:pPr>
      <w:jc w:val="left"/>
    </w:pPr>
    <w:rPr>
      <w:rFonts w:ascii="Arial" w:eastAsia="Arial" w:hAnsi="Arial" w:cs="Arial"/>
      <w:kern w:val="0"/>
      <w:sz w:val="22"/>
      <w:szCs w:val="22"/>
      <w:lang w:eastAsia="en-US"/>
    </w:rPr>
  </w:style>
  <w:style w:type="character" w:customStyle="1" w:styleId="a7">
    <w:name w:val="列表段落 字符"/>
    <w:basedOn w:val="DefaultParagraphFont"/>
    <w:link w:val="ListParagraph"/>
    <w:uiPriority w:val="1"/>
    <w:rsid w:val="009D5DFD"/>
    <w:rPr>
      <w:rFonts w:ascii="Arial" w:eastAsia="Arial" w:hAnsi="Arial" w:cs="Arial"/>
      <w:kern w:val="0"/>
      <w:sz w:val="22"/>
      <w:szCs w:val="22"/>
      <w:lang w:eastAsia="en-US"/>
    </w:rPr>
  </w:style>
  <w:style w:type="paragraph" w:customStyle="1" w:styleId="TableParagraph">
    <w:name w:val="Table Paragraph"/>
    <w:basedOn w:val="Normal"/>
    <w:uiPriority w:val="1"/>
    <w:rsid w:val="00AD7B8C"/>
    <w:pPr>
      <w:jc w:val="left"/>
    </w:pPr>
    <w:rPr>
      <w:rFonts w:ascii="Arial" w:eastAsia="Arial" w:hAnsi="Arial" w:cs="Arial"/>
      <w:kern w:val="0"/>
      <w:sz w:val="22"/>
      <w:szCs w:val="22"/>
      <w:lang w:eastAsia="en-US"/>
    </w:rPr>
  </w:style>
  <w:style w:type="character" w:styleId="Strong">
    <w:name w:val="Strong"/>
    <w:rsid w:val="00AD7B8C"/>
    <w:rPr>
      <w:b/>
      <w:bCs/>
    </w:rPr>
  </w:style>
  <w:style w:type="character" w:styleId="CommentReference">
    <w:name w:val="annotation reference"/>
    <w:rsid w:val="00AD7B8C"/>
    <w:rPr>
      <w:sz w:val="21"/>
      <w:szCs w:val="21"/>
    </w:rPr>
  </w:style>
  <w:style w:type="paragraph" w:styleId="CommentText">
    <w:name w:val="annotation text"/>
    <w:basedOn w:val="Normal"/>
    <w:link w:val="17"/>
    <w:unhideWhenUsed/>
    <w:rsid w:val="00AD7B8C"/>
    <w:pPr>
      <w:jc w:val="left"/>
    </w:pPr>
  </w:style>
  <w:style w:type="character" w:customStyle="1" w:styleId="17">
    <w:name w:val="批注文字 字符1"/>
    <w:link w:val="CommentText"/>
    <w:rsid w:val="00AD7B8C"/>
    <w:rPr>
      <w:rFonts w:ascii="Times New Roman" w:eastAsia="Times New Roman" w:hAnsi="Times New Roman" w:cs="Times New Roman"/>
      <w:szCs w:val="21"/>
    </w:rPr>
  </w:style>
  <w:style w:type="character" w:customStyle="1" w:styleId="a8">
    <w:name w:val="批注文字 字符"/>
    <w:basedOn w:val="DefaultParagraphFont"/>
    <w:rsid w:val="00AD7B8C"/>
    <w:rPr>
      <w:rFonts w:ascii="Times New Roman" w:eastAsia="Times New Roman" w:hAnsi="Times New Roman" w:cs="Times New Roman"/>
      <w:szCs w:val="21"/>
    </w:rPr>
  </w:style>
  <w:style w:type="paragraph" w:styleId="CommentSubject">
    <w:name w:val="annotation subject"/>
    <w:basedOn w:val="Normal"/>
    <w:next w:val="Normal"/>
    <w:link w:val="18"/>
    <w:rsid w:val="00AD7B8C"/>
    <w:pPr>
      <w:jc w:val="left"/>
    </w:pPr>
    <w:rPr>
      <w:b/>
      <w:bCs/>
    </w:rPr>
  </w:style>
  <w:style w:type="character" w:customStyle="1" w:styleId="18">
    <w:name w:val="批注主题 字符1"/>
    <w:link w:val="CommentSubject"/>
    <w:rsid w:val="00AD7B8C"/>
    <w:rPr>
      <w:rFonts w:ascii="Times New Roman" w:eastAsia="Times New Roman" w:hAnsi="Times New Roman" w:cs="Times New Roman"/>
      <w:b/>
      <w:bCs/>
      <w:szCs w:val="21"/>
    </w:rPr>
  </w:style>
  <w:style w:type="character" w:customStyle="1" w:styleId="a9">
    <w:name w:val="批注主题 字符"/>
    <w:basedOn w:val="a8"/>
    <w:rsid w:val="00AD7B8C"/>
    <w:rPr>
      <w:rFonts w:ascii="Times New Roman" w:eastAsia="Times New Roman" w:hAnsi="Times New Roman" w:cs="Times New Roman"/>
      <w:b/>
      <w:bCs/>
      <w:szCs w:val="21"/>
    </w:rPr>
  </w:style>
  <w:style w:type="paragraph" w:styleId="Date">
    <w:name w:val="Date"/>
    <w:basedOn w:val="Normal"/>
    <w:next w:val="Normal"/>
    <w:link w:val="19"/>
    <w:rsid w:val="00AD7B8C"/>
    <w:pPr>
      <w:ind w:left="100" w:leftChars="2500"/>
    </w:pPr>
  </w:style>
  <w:style w:type="character" w:customStyle="1" w:styleId="19">
    <w:name w:val="日期 字符1"/>
    <w:link w:val="Date"/>
    <w:rsid w:val="00AD7B8C"/>
    <w:rPr>
      <w:rFonts w:ascii="Times New Roman" w:eastAsia="Times New Roman" w:hAnsi="Times New Roman" w:cs="Times New Roman"/>
      <w:szCs w:val="21"/>
    </w:rPr>
  </w:style>
  <w:style w:type="character" w:customStyle="1" w:styleId="a10">
    <w:name w:val="日期 字符"/>
    <w:basedOn w:val="DefaultParagraphFont"/>
    <w:rsid w:val="00AD7B8C"/>
    <w:rPr>
      <w:rFonts w:ascii="Times New Roman" w:eastAsia="Times New Roman" w:hAnsi="Times New Roman" w:cs="Times New Roman"/>
      <w:szCs w:val="21"/>
    </w:rPr>
  </w:style>
  <w:style w:type="paragraph" w:styleId="NoSpacing">
    <w:name w:val="No Spacing"/>
    <w:link w:val="a11"/>
    <w:uiPriority w:val="1"/>
    <w:rsid w:val="00AD7B8C"/>
    <w:rPr>
      <w:rFonts w:ascii="Calibri" w:eastAsia="宋体" w:hAnsi="Calibri" w:cs="Times New Roman"/>
      <w:kern w:val="0"/>
      <w:sz w:val="22"/>
    </w:rPr>
  </w:style>
  <w:style w:type="character" w:customStyle="1" w:styleId="a11">
    <w:name w:val="无间隔 字符"/>
    <w:link w:val="NoSpacing"/>
    <w:uiPriority w:val="1"/>
    <w:rsid w:val="00AD7B8C"/>
    <w:rPr>
      <w:rFonts w:ascii="Calibri" w:eastAsia="宋体" w:hAnsi="Calibri" w:cs="Times New Roman"/>
      <w:kern w:val="0"/>
      <w:sz w:val="22"/>
    </w:rPr>
  </w:style>
  <w:style w:type="paragraph" w:customStyle="1" w:styleId="a12">
    <w:name w:val="概述标题"/>
    <w:basedOn w:val="Normal"/>
    <w:rsid w:val="00AD7B8C"/>
    <w:rPr>
      <w:b/>
    </w:rPr>
  </w:style>
  <w:style w:type="table" w:styleId="ColorfulGridAccent5">
    <w:name w:val="Colorful Grid Accent 5"/>
    <w:basedOn w:val="TableNormal"/>
    <w:uiPriority w:val="73"/>
    <w:unhideWhenUsed/>
    <w:rsid w:val="00AD7B8C"/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D9E2F3" w:themeFill="accent5" w:themeFillTint="33"/>
    </w:tcPr>
    <w:tblStylePr w:type="firstRow">
      <w:rPr>
        <w:b/>
        <w:bCs/>
      </w:rPr>
      <w:tblPr/>
      <w:tcPr>
        <w:shd w:val="clear" w:color="auto" w:fill="B4C6E7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4C6E7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2F5496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2F5496" w:themeFill="accent5" w:themeFillShade="BF"/>
      </w:tcPr>
    </w:tblStylePr>
    <w:tblStylePr w:type="band1Vert">
      <w:tblPr/>
      <w:tcPr>
        <w:shd w:val="clear" w:color="auto" w:fill="A1B8E1" w:themeFill="accent5" w:themeFillTint="7F"/>
      </w:tcPr>
    </w:tblStylePr>
    <w:tblStylePr w:type="band1Horz">
      <w:tblPr/>
      <w:tcPr>
        <w:shd w:val="clear" w:color="auto" w:fill="A1B8E1" w:themeFill="accent5" w:themeFillTint="7F"/>
      </w:tcPr>
    </w:tblStylePr>
  </w:style>
  <w:style w:type="table" w:styleId="ColorfulGridAccent3">
    <w:name w:val="Colorful Grid Accent 3"/>
    <w:basedOn w:val="TableNormal"/>
    <w:uiPriority w:val="73"/>
    <w:unhideWhenUsed/>
    <w:rsid w:val="00AD7B8C"/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EDEDED" w:themeFill="accent3" w:themeFillTint="33"/>
    </w:tcPr>
    <w:tblStylePr w:type="firstRow">
      <w:rPr>
        <w:b/>
        <w:bCs/>
      </w:rPr>
      <w:tblPr/>
      <w:tcPr>
        <w:shd w:val="clear" w:color="auto" w:fill="DBDBDB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BDBDB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B7B7B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B7B7B" w:themeFill="accent3" w:themeFillShade="BF"/>
      </w:tcPr>
    </w:tblStylePr>
    <w:tblStylePr w:type="band1Vert">
      <w:tblPr/>
      <w:tcPr>
        <w:shd w:val="clear" w:color="auto" w:fill="D2D2D2" w:themeFill="accent3" w:themeFillTint="7F"/>
      </w:tcPr>
    </w:tblStylePr>
    <w:tblStylePr w:type="band1Horz">
      <w:tblPr/>
      <w:tcPr>
        <w:shd w:val="clear" w:color="auto" w:fill="D2D2D2" w:themeFill="accent3" w:themeFillTint="7F"/>
      </w:tcPr>
    </w:tblStylePr>
  </w:style>
  <w:style w:type="table" w:styleId="DarkListAccent3">
    <w:name w:val="Dark List Accent 3"/>
    <w:basedOn w:val="TableNormal"/>
    <w:uiPriority w:val="70"/>
    <w:unhideWhenUsed/>
    <w:rsid w:val="00AD7B8C"/>
    <w:rPr>
      <w:color w:val="FFFFFF" w:themeColor="background1"/>
    </w:rPr>
    <w:tblPr>
      <w:tblStyleRowBandSize w:val="1"/>
      <w:tblStyleColBandSize w:val="1"/>
    </w:tblPr>
    <w:tcPr>
      <w:shd w:val="clear" w:color="auto" w:fill="A5A5A5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525252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B7B7B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B7B7B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B7B7B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B7B7B" w:themeFill="accent3" w:themeFillShade="BF"/>
      </w:tcPr>
    </w:tblStylePr>
  </w:style>
  <w:style w:type="table" w:styleId="DarkListAccent4">
    <w:name w:val="Dark List Accent 4"/>
    <w:basedOn w:val="TableNormal"/>
    <w:uiPriority w:val="70"/>
    <w:unhideWhenUsed/>
    <w:rsid w:val="00AD7B8C"/>
    <w:rPr>
      <w:color w:val="FFFFFF" w:themeColor="background1"/>
    </w:rPr>
    <w:tblPr>
      <w:tblStyleRowBandSize w:val="1"/>
      <w:tblStyleColBandSize w:val="1"/>
    </w:tblPr>
    <w:tcPr>
      <w:shd w:val="clear" w:color="auto" w:fill="FFC000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7F5F00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BF8F00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BF8F00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F8F00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F8F00" w:themeFill="accent4" w:themeFillShade="BF"/>
      </w:tcPr>
    </w:tblStylePr>
  </w:style>
  <w:style w:type="table" w:styleId="DarkListAccent5">
    <w:name w:val="Dark List Accent 5"/>
    <w:basedOn w:val="TableNormal"/>
    <w:uiPriority w:val="70"/>
    <w:unhideWhenUsed/>
    <w:rsid w:val="00AD7B8C"/>
    <w:rPr>
      <w:color w:val="FFFFFF" w:themeColor="background1"/>
    </w:rPr>
    <w:tblPr>
      <w:tblStyleRowBandSize w:val="1"/>
      <w:tblStyleColBandSize w:val="1"/>
    </w:tblPr>
    <w:tcPr>
      <w:shd w:val="clear" w:color="auto" w:fill="4472C4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1F3763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2F5496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2F5496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F5496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F5496" w:themeFill="accent5" w:themeFillShade="BF"/>
      </w:tcPr>
    </w:tblStylePr>
  </w:style>
  <w:style w:type="table" w:styleId="MediumShading1Accent4">
    <w:name w:val="Medium Shading 1 Accent 4"/>
    <w:basedOn w:val="TableNormal"/>
    <w:uiPriority w:val="63"/>
    <w:unhideWhenUsed/>
    <w:rsid w:val="00AD7B8C"/>
    <w:tblPr>
      <w:tblStyleRowBandSize w:val="1"/>
      <w:tblStyleColBandSize w:val="1"/>
      <w:tblBorders>
        <w:top w:val="single" w:sz="8" w:space="0" w:color="FFCF40" w:themeColor="accent4" w:themeTint="BF"/>
        <w:left w:val="single" w:sz="8" w:space="0" w:color="FFCF40" w:themeColor="accent4" w:themeTint="BF"/>
        <w:bottom w:val="single" w:sz="8" w:space="0" w:color="FFCF40" w:themeColor="accent4" w:themeTint="BF"/>
        <w:right w:val="single" w:sz="8" w:space="0" w:color="FFCF40" w:themeColor="accent4" w:themeTint="BF"/>
        <w:insideH w:val="single" w:sz="8" w:space="0" w:color="FFCF40" w:themeColor="accent4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FCF40" w:themeColor="accent4" w:themeTint="BF"/>
          <w:left w:val="single" w:sz="8" w:space="0" w:color="FFCF40" w:themeColor="accent4" w:themeTint="BF"/>
          <w:bottom w:val="single" w:sz="8" w:space="0" w:color="FFCF40" w:themeColor="accent4" w:themeTint="BF"/>
          <w:right w:val="single" w:sz="8" w:space="0" w:color="FFCF40" w:themeColor="accent4" w:themeTint="BF"/>
          <w:insideH w:val="nil"/>
          <w:insideV w:val="nil"/>
        </w:tcBorders>
        <w:shd w:val="clear" w:color="auto" w:fill="FFC000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FCF40" w:themeColor="accent4" w:themeTint="BF"/>
          <w:left w:val="single" w:sz="8" w:space="0" w:color="FFCF40" w:themeColor="accent4" w:themeTint="BF"/>
          <w:bottom w:val="single" w:sz="8" w:space="0" w:color="FFCF40" w:themeColor="accent4" w:themeTint="BF"/>
          <w:right w:val="single" w:sz="8" w:space="0" w:color="FFCF40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FEFC0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FEFC0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LightListAccent3">
    <w:name w:val="Light List Accent 3"/>
    <w:basedOn w:val="TableNormal"/>
    <w:uiPriority w:val="61"/>
    <w:unhideWhenUsed/>
    <w:rsid w:val="00AD7B8C"/>
    <w:tblPr>
      <w:tblStyleRowBandSize w:val="1"/>
      <w:tblStyleColBandSize w:val="1"/>
      <w:tblBorders>
        <w:top w:val="single" w:sz="8" w:space="0" w:color="A5A5A5" w:themeColor="accent3"/>
        <w:left w:val="single" w:sz="8" w:space="0" w:color="A5A5A5" w:themeColor="accent3"/>
        <w:bottom w:val="single" w:sz="8" w:space="0" w:color="A5A5A5" w:themeColor="accent3"/>
        <w:right w:val="single" w:sz="8" w:space="0" w:color="A5A5A5" w:themeColor="accent3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A5A5A5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A5A5A5" w:themeColor="accent3"/>
          <w:left w:val="single" w:sz="8" w:space="0" w:color="A5A5A5" w:themeColor="accent3"/>
          <w:bottom w:val="single" w:sz="8" w:space="0" w:color="A5A5A5" w:themeColor="accent3"/>
          <w:right w:val="single" w:sz="8" w:space="0" w:color="A5A5A5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A5A5A5" w:themeColor="accent3"/>
          <w:left w:val="single" w:sz="8" w:space="0" w:color="A5A5A5" w:themeColor="accent3"/>
          <w:bottom w:val="single" w:sz="8" w:space="0" w:color="A5A5A5" w:themeColor="accent3"/>
          <w:right w:val="single" w:sz="8" w:space="0" w:color="A5A5A5" w:themeColor="accent3"/>
        </w:tcBorders>
      </w:tcPr>
    </w:tblStylePr>
    <w:tblStylePr w:type="band1Horz">
      <w:tblPr/>
      <w:tcPr>
        <w:tcBorders>
          <w:top w:val="single" w:sz="8" w:space="0" w:color="A5A5A5" w:themeColor="accent3"/>
          <w:left w:val="single" w:sz="8" w:space="0" w:color="A5A5A5" w:themeColor="accent3"/>
          <w:bottom w:val="single" w:sz="8" w:space="0" w:color="A5A5A5" w:themeColor="accent3"/>
          <w:right w:val="single" w:sz="8" w:space="0" w:color="A5A5A5" w:themeColor="accent3"/>
        </w:tcBorders>
      </w:tcPr>
    </w:tblStylePr>
  </w:style>
  <w:style w:type="table" w:styleId="LightListAccent2">
    <w:name w:val="Light List Accent 2"/>
    <w:basedOn w:val="TableNormal"/>
    <w:uiPriority w:val="61"/>
    <w:unhideWhenUsed/>
    <w:rsid w:val="00AD7B8C"/>
    <w:tblPr>
      <w:tblStyleRowBandSize w:val="1"/>
      <w:tblStyleColBandSize w:val="1"/>
      <w:tblBorders>
        <w:top w:val="single" w:sz="8" w:space="0" w:color="77ACDC" w:themeColor="accent2"/>
        <w:left w:val="single" w:sz="8" w:space="0" w:color="77ACDC" w:themeColor="accent2"/>
        <w:bottom w:val="single" w:sz="8" w:space="0" w:color="77ACDC" w:themeColor="accent2"/>
        <w:right w:val="single" w:sz="8" w:space="0" w:color="77ACDC" w:themeColor="accent2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77ACDC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7ACDC" w:themeColor="accent2"/>
          <w:left w:val="single" w:sz="8" w:space="0" w:color="77ACDC" w:themeColor="accent2"/>
          <w:bottom w:val="single" w:sz="8" w:space="0" w:color="77ACDC" w:themeColor="accent2"/>
          <w:right w:val="single" w:sz="8" w:space="0" w:color="77ACDC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77ACDC" w:themeColor="accent2"/>
          <w:left w:val="single" w:sz="8" w:space="0" w:color="77ACDC" w:themeColor="accent2"/>
          <w:bottom w:val="single" w:sz="8" w:space="0" w:color="77ACDC" w:themeColor="accent2"/>
          <w:right w:val="single" w:sz="8" w:space="0" w:color="77ACDC" w:themeColor="accent2"/>
        </w:tcBorders>
      </w:tcPr>
    </w:tblStylePr>
    <w:tblStylePr w:type="band1Horz">
      <w:tblPr/>
      <w:tcPr>
        <w:tcBorders>
          <w:top w:val="single" w:sz="8" w:space="0" w:color="77ACDC" w:themeColor="accent2"/>
          <w:left w:val="single" w:sz="8" w:space="0" w:color="77ACDC" w:themeColor="accent2"/>
          <w:bottom w:val="single" w:sz="8" w:space="0" w:color="77ACDC" w:themeColor="accent2"/>
          <w:right w:val="single" w:sz="8" w:space="0" w:color="77ACDC" w:themeColor="accent2"/>
        </w:tcBorders>
      </w:tcPr>
    </w:tblStylePr>
  </w:style>
  <w:style w:type="table" w:styleId="LightListAccent4">
    <w:name w:val="Light List Accent 4"/>
    <w:basedOn w:val="TableNormal"/>
    <w:uiPriority w:val="61"/>
    <w:unhideWhenUsed/>
    <w:rsid w:val="00AD7B8C"/>
    <w:tblPr>
      <w:tblStyleRowBandSize w:val="1"/>
      <w:tblStyleColBandSize w:val="1"/>
      <w:tblBorders>
        <w:top w:val="single" w:sz="8" w:space="0" w:color="FFC000" w:themeColor="accent4"/>
        <w:left w:val="single" w:sz="8" w:space="0" w:color="FFC000" w:themeColor="accent4"/>
        <w:bottom w:val="single" w:sz="8" w:space="0" w:color="FFC000" w:themeColor="accent4"/>
        <w:right w:val="single" w:sz="8" w:space="0" w:color="FFC000" w:themeColor="accent4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FC000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FC000" w:themeColor="accent4"/>
          <w:left w:val="single" w:sz="8" w:space="0" w:color="FFC000" w:themeColor="accent4"/>
          <w:bottom w:val="single" w:sz="8" w:space="0" w:color="FFC000" w:themeColor="accent4"/>
          <w:right w:val="single" w:sz="8" w:space="0" w:color="FFC000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FC000" w:themeColor="accent4"/>
          <w:left w:val="single" w:sz="8" w:space="0" w:color="FFC000" w:themeColor="accent4"/>
          <w:bottom w:val="single" w:sz="8" w:space="0" w:color="FFC000" w:themeColor="accent4"/>
          <w:right w:val="single" w:sz="8" w:space="0" w:color="FFC000" w:themeColor="accent4"/>
        </w:tcBorders>
      </w:tcPr>
    </w:tblStylePr>
    <w:tblStylePr w:type="band1Horz">
      <w:tblPr/>
      <w:tcPr>
        <w:tcBorders>
          <w:top w:val="single" w:sz="8" w:space="0" w:color="FFC000" w:themeColor="accent4"/>
          <w:left w:val="single" w:sz="8" w:space="0" w:color="FFC000" w:themeColor="accent4"/>
          <w:bottom w:val="single" w:sz="8" w:space="0" w:color="FFC000" w:themeColor="accent4"/>
          <w:right w:val="single" w:sz="8" w:space="0" w:color="FFC000" w:themeColor="accent4"/>
        </w:tcBorders>
      </w:tcPr>
    </w:tblStylePr>
  </w:style>
  <w:style w:type="table" w:styleId="MediumShading2Accent2">
    <w:name w:val="Medium Shading 2 Accent 2"/>
    <w:basedOn w:val="TableNormal"/>
    <w:uiPriority w:val="64"/>
    <w:unhideWhenUsed/>
    <w:rsid w:val="00AD7B8C"/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77ACDC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ACDC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77ACDC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</w:style>
  <w:style w:type="table" w:styleId="MediumShading1Accent2">
    <w:name w:val="Medium Shading 1 Accent 2"/>
    <w:basedOn w:val="TableNormal"/>
    <w:uiPriority w:val="63"/>
    <w:unhideWhenUsed/>
    <w:rsid w:val="00AD7B8C"/>
    <w:tblPr>
      <w:tblStyleRowBandSize w:val="1"/>
      <w:tblStyleColBandSize w:val="1"/>
      <w:tblBorders>
        <w:top w:val="single" w:sz="8" w:space="0" w:color="98C0E4" w:themeColor="accent2" w:themeTint="BF"/>
        <w:left w:val="single" w:sz="8" w:space="0" w:color="98C0E4" w:themeColor="accent2" w:themeTint="BF"/>
        <w:bottom w:val="single" w:sz="8" w:space="0" w:color="98C0E4" w:themeColor="accent2" w:themeTint="BF"/>
        <w:right w:val="single" w:sz="8" w:space="0" w:color="98C0E4" w:themeColor="accent2" w:themeTint="BF"/>
        <w:insideH w:val="single" w:sz="8" w:space="0" w:color="98C0E4" w:themeColor="accent2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8C0E4" w:themeColor="accent2" w:themeTint="BF"/>
          <w:left w:val="single" w:sz="8" w:space="0" w:color="98C0E4" w:themeColor="accent2" w:themeTint="BF"/>
          <w:bottom w:val="single" w:sz="8" w:space="0" w:color="98C0E4" w:themeColor="accent2" w:themeTint="BF"/>
          <w:right w:val="single" w:sz="8" w:space="0" w:color="98C0E4" w:themeColor="accent2" w:themeTint="BF"/>
          <w:insideH w:val="nil"/>
          <w:insideV w:val="nil"/>
        </w:tcBorders>
        <w:shd w:val="clear" w:color="auto" w:fill="77ACDC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8C0E4" w:themeColor="accent2" w:themeTint="BF"/>
          <w:left w:val="single" w:sz="8" w:space="0" w:color="98C0E4" w:themeColor="accent2" w:themeTint="BF"/>
          <w:bottom w:val="single" w:sz="8" w:space="0" w:color="98C0E4" w:themeColor="accent2" w:themeTint="BF"/>
          <w:right w:val="single" w:sz="8" w:space="0" w:color="98C0E4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DEAF6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DEAF6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Grid3Accent1">
    <w:name w:val="Medium Grid 3 Accent 1"/>
    <w:basedOn w:val="TableNormal"/>
    <w:uiPriority w:val="69"/>
    <w:unhideWhenUsed/>
    <w:rsid w:val="00AD7B8C"/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D6E6F4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5B9BD5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5B9BD5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5B9BD5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5B9BD5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DCCEA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DCCEA" w:themeFill="accent1" w:themeFillTint="7F"/>
      </w:tcPr>
    </w:tblStylePr>
  </w:style>
  <w:style w:type="table" w:styleId="MediumShading2Accent3">
    <w:name w:val="Medium Shading 2 Accent 3"/>
    <w:basedOn w:val="TableNormal"/>
    <w:uiPriority w:val="64"/>
    <w:unhideWhenUsed/>
    <w:rsid w:val="00AD7B8C"/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A5A5A5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A5A5A5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A5A5A5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</w:style>
  <w:style w:type="table" w:styleId="LightListAccent5">
    <w:name w:val="Light List Accent 5"/>
    <w:basedOn w:val="TableNormal"/>
    <w:uiPriority w:val="61"/>
    <w:unhideWhenUsed/>
    <w:rsid w:val="00AD7B8C"/>
    <w:tblPr>
      <w:tblStyleRowBandSize w:val="1"/>
      <w:tblStyleColBandSize w:val="1"/>
      <w:tblBorders>
        <w:top w:val="single" w:sz="8" w:space="0" w:color="4472C4" w:themeColor="accent5"/>
        <w:left w:val="single" w:sz="8" w:space="0" w:color="4472C4" w:themeColor="accent5"/>
        <w:bottom w:val="single" w:sz="8" w:space="0" w:color="4472C4" w:themeColor="accent5"/>
        <w:right w:val="single" w:sz="8" w:space="0" w:color="4472C4" w:themeColor="accent5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472C4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472C4" w:themeColor="accent5"/>
          <w:left w:val="single" w:sz="8" w:space="0" w:color="4472C4" w:themeColor="accent5"/>
          <w:bottom w:val="single" w:sz="8" w:space="0" w:color="4472C4" w:themeColor="accent5"/>
          <w:right w:val="single" w:sz="8" w:space="0" w:color="4472C4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472C4" w:themeColor="accent5"/>
          <w:left w:val="single" w:sz="8" w:space="0" w:color="4472C4" w:themeColor="accent5"/>
          <w:bottom w:val="single" w:sz="8" w:space="0" w:color="4472C4" w:themeColor="accent5"/>
          <w:right w:val="single" w:sz="8" w:space="0" w:color="4472C4" w:themeColor="accent5"/>
        </w:tcBorders>
      </w:tcPr>
    </w:tblStylePr>
    <w:tblStylePr w:type="band1Horz">
      <w:tblPr/>
      <w:tcPr>
        <w:tcBorders>
          <w:top w:val="single" w:sz="8" w:space="0" w:color="4472C4" w:themeColor="accent5"/>
          <w:left w:val="single" w:sz="8" w:space="0" w:color="4472C4" w:themeColor="accent5"/>
          <w:bottom w:val="single" w:sz="8" w:space="0" w:color="4472C4" w:themeColor="accent5"/>
          <w:right w:val="single" w:sz="8" w:space="0" w:color="4472C4" w:themeColor="accent5"/>
        </w:tcBorders>
      </w:tcPr>
    </w:tblStylePr>
  </w:style>
  <w:style w:type="table" w:styleId="MediumGrid3Accent3">
    <w:name w:val="Medium Grid 3 Accent 3"/>
    <w:basedOn w:val="TableNormal"/>
    <w:uiPriority w:val="69"/>
    <w:unhideWhenUsed/>
    <w:rsid w:val="00AD7B8C"/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E8E8E8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A5A5A5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A5A5A5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A5A5A5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A5A5A5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2D2D2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2D2D2" w:themeFill="accent3" w:themeFillTint="7F"/>
      </w:tcPr>
    </w:tblStylePr>
  </w:style>
  <w:style w:type="table" w:styleId="MediumGrid1Accent3">
    <w:name w:val="Medium Grid 1 Accent 3"/>
    <w:basedOn w:val="TableNormal"/>
    <w:uiPriority w:val="67"/>
    <w:unhideWhenUsed/>
    <w:rsid w:val="00AD7B8C"/>
    <w:tblPr>
      <w:tblStyleRowBandSize w:val="1"/>
      <w:tblStyleColBandSize w:val="1"/>
      <w:tblBorders>
        <w:top w:val="single" w:sz="8" w:space="0" w:color="BBBBBB" w:themeColor="accent3" w:themeTint="BF"/>
        <w:left w:val="single" w:sz="8" w:space="0" w:color="BBBBBB" w:themeColor="accent3" w:themeTint="BF"/>
        <w:bottom w:val="single" w:sz="8" w:space="0" w:color="BBBBBB" w:themeColor="accent3" w:themeTint="BF"/>
        <w:right w:val="single" w:sz="8" w:space="0" w:color="BBBBBB" w:themeColor="accent3" w:themeTint="BF"/>
        <w:insideH w:val="single" w:sz="8" w:space="0" w:color="BBBBBB" w:themeColor="accent3" w:themeTint="BF"/>
        <w:insideV w:val="single" w:sz="8" w:space="0" w:color="BBBBBB" w:themeColor="accent3" w:themeTint="BF"/>
      </w:tblBorders>
    </w:tblPr>
    <w:tcPr>
      <w:shd w:val="clear" w:color="auto" w:fill="E8E8E8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BBBBB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D2D2" w:themeFill="accent3" w:themeFillTint="7F"/>
      </w:tcPr>
    </w:tblStylePr>
    <w:tblStylePr w:type="band1Horz">
      <w:tblPr/>
      <w:tcPr>
        <w:shd w:val="clear" w:color="auto" w:fill="D2D2D2" w:themeFill="accent3" w:themeFillTint="7F"/>
      </w:tcPr>
    </w:tblStylePr>
  </w:style>
  <w:style w:type="table" w:styleId="MediumShading1Accent3">
    <w:name w:val="Medium Shading 1 Accent 3"/>
    <w:basedOn w:val="TableNormal"/>
    <w:uiPriority w:val="63"/>
    <w:unhideWhenUsed/>
    <w:rsid w:val="00AD7B8C"/>
    <w:tblPr>
      <w:tblStyleRowBandSize w:val="1"/>
      <w:tblStyleColBandSize w:val="1"/>
      <w:tblBorders>
        <w:top w:val="single" w:sz="8" w:space="0" w:color="BBBBBB" w:themeColor="accent3" w:themeTint="BF"/>
        <w:left w:val="single" w:sz="8" w:space="0" w:color="BBBBBB" w:themeColor="accent3" w:themeTint="BF"/>
        <w:bottom w:val="single" w:sz="8" w:space="0" w:color="BBBBBB" w:themeColor="accent3" w:themeTint="BF"/>
        <w:right w:val="single" w:sz="8" w:space="0" w:color="BBBBBB" w:themeColor="accent3" w:themeTint="BF"/>
        <w:insideH w:val="single" w:sz="8" w:space="0" w:color="BBBBBB" w:themeColor="accent3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BBBBB" w:themeColor="accent3" w:themeTint="BF"/>
          <w:left w:val="single" w:sz="8" w:space="0" w:color="BBBBBB" w:themeColor="accent3" w:themeTint="BF"/>
          <w:bottom w:val="single" w:sz="8" w:space="0" w:color="BBBBBB" w:themeColor="accent3" w:themeTint="BF"/>
          <w:right w:val="single" w:sz="8" w:space="0" w:color="BBBBBB" w:themeColor="accent3" w:themeTint="BF"/>
          <w:insideH w:val="nil"/>
          <w:insideV w:val="nil"/>
        </w:tcBorders>
        <w:shd w:val="clear" w:color="auto" w:fill="A5A5A5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BBBBB" w:themeColor="accent3" w:themeTint="BF"/>
          <w:left w:val="single" w:sz="8" w:space="0" w:color="BBBBBB" w:themeColor="accent3" w:themeTint="BF"/>
          <w:bottom w:val="single" w:sz="8" w:space="0" w:color="BBBBBB" w:themeColor="accent3" w:themeTint="BF"/>
          <w:right w:val="single" w:sz="8" w:space="0" w:color="BBBBBB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8E8E8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8E8E8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Accent5">
    <w:name w:val="Medium Shading 2 Accent 5"/>
    <w:basedOn w:val="TableNormal"/>
    <w:uiPriority w:val="64"/>
    <w:unhideWhenUsed/>
    <w:rsid w:val="00AD7B8C"/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472C4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472C4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472C4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</w:style>
  <w:style w:type="table" w:styleId="MediumShading1Accent5">
    <w:name w:val="Medium Shading 1 Accent 5"/>
    <w:basedOn w:val="TableNormal"/>
    <w:uiPriority w:val="63"/>
    <w:unhideWhenUsed/>
    <w:rsid w:val="00AD7B8C"/>
    <w:tblPr>
      <w:tblStyleRowBandSize w:val="1"/>
      <w:tblStyleColBandSize w:val="1"/>
      <w:tblBorders>
        <w:top w:val="single" w:sz="8" w:space="0" w:color="7295D2" w:themeColor="accent5" w:themeTint="BF"/>
        <w:left w:val="single" w:sz="8" w:space="0" w:color="7295D2" w:themeColor="accent5" w:themeTint="BF"/>
        <w:bottom w:val="single" w:sz="8" w:space="0" w:color="7295D2" w:themeColor="accent5" w:themeTint="BF"/>
        <w:right w:val="single" w:sz="8" w:space="0" w:color="7295D2" w:themeColor="accent5" w:themeTint="BF"/>
        <w:insideH w:val="single" w:sz="8" w:space="0" w:color="7295D2" w:themeColor="accent5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295D2" w:themeColor="accent5" w:themeTint="BF"/>
          <w:left w:val="single" w:sz="8" w:space="0" w:color="7295D2" w:themeColor="accent5" w:themeTint="BF"/>
          <w:bottom w:val="single" w:sz="8" w:space="0" w:color="7295D2" w:themeColor="accent5" w:themeTint="BF"/>
          <w:right w:val="single" w:sz="8" w:space="0" w:color="7295D2" w:themeColor="accent5" w:themeTint="BF"/>
          <w:insideH w:val="nil"/>
          <w:insideV w:val="nil"/>
        </w:tcBorders>
        <w:shd w:val="clear" w:color="auto" w:fill="4472C4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295D2" w:themeColor="accent5" w:themeTint="BF"/>
          <w:left w:val="single" w:sz="8" w:space="0" w:color="7295D2" w:themeColor="accent5" w:themeTint="BF"/>
          <w:bottom w:val="single" w:sz="8" w:space="0" w:color="7295D2" w:themeColor="accent5" w:themeTint="BF"/>
          <w:right w:val="single" w:sz="8" w:space="0" w:color="7295D2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0DBF0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0DBF0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Accent1">
    <w:name w:val="Medium Shading 1 Accent 1"/>
    <w:basedOn w:val="TableNormal"/>
    <w:uiPriority w:val="63"/>
    <w:unhideWhenUsed/>
    <w:rsid w:val="00AD7B8C"/>
    <w:tblPr>
      <w:tblStyleRowBandSize w:val="1"/>
      <w:tblStyleColBandSize w:val="1"/>
      <w:tblBorders>
        <w:top w:val="single" w:sz="8" w:space="0" w:color="84B3DF" w:themeColor="accent1" w:themeTint="BF"/>
        <w:left w:val="single" w:sz="8" w:space="0" w:color="84B3DF" w:themeColor="accent1" w:themeTint="BF"/>
        <w:bottom w:val="single" w:sz="8" w:space="0" w:color="84B3DF" w:themeColor="accent1" w:themeTint="BF"/>
        <w:right w:val="single" w:sz="8" w:space="0" w:color="84B3DF" w:themeColor="accent1" w:themeTint="BF"/>
        <w:insideH w:val="single" w:sz="8" w:space="0" w:color="84B3DF" w:themeColor="accent1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84B3DF" w:themeColor="accent1" w:themeTint="BF"/>
          <w:left w:val="single" w:sz="8" w:space="0" w:color="84B3DF" w:themeColor="accent1" w:themeTint="BF"/>
          <w:bottom w:val="single" w:sz="8" w:space="0" w:color="84B3DF" w:themeColor="accent1" w:themeTint="BF"/>
          <w:right w:val="single" w:sz="8" w:space="0" w:color="84B3DF" w:themeColor="accent1" w:themeTint="BF"/>
          <w:insideH w:val="nil"/>
          <w:insideV w:val="nil"/>
        </w:tcBorders>
        <w:shd w:val="clear" w:color="auto" w:fill="5B9BD5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4B3DF" w:themeColor="accent1" w:themeTint="BF"/>
          <w:left w:val="single" w:sz="8" w:space="0" w:color="84B3DF" w:themeColor="accent1" w:themeTint="BF"/>
          <w:bottom w:val="single" w:sz="8" w:space="0" w:color="84B3DF" w:themeColor="accent1" w:themeTint="BF"/>
          <w:right w:val="single" w:sz="8" w:space="0" w:color="84B3DF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6E6F4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6E6F4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customStyle="1" w:styleId="4-13">
    <w:name w:val="网格表 4 - 着色 13"/>
    <w:basedOn w:val="TableNormal"/>
    <w:uiPriority w:val="49"/>
    <w:rsid w:val="0064539E"/>
    <w:tblPr>
      <w:tblStyleRowBandSize w:val="1"/>
      <w:tblStyleColBandSize w:val="1"/>
      <w:tblBorders>
        <w:top w:val="single" w:sz="4" w:space="0" w:color="9CC2E5" w:themeColor="accent1" w:themeTint="99"/>
        <w:left w:val="single" w:sz="4" w:space="0" w:color="9CC2E5" w:themeColor="accent1" w:themeTint="99"/>
        <w:bottom w:val="single" w:sz="4" w:space="0" w:color="9CC2E5" w:themeColor="accent1" w:themeTint="99"/>
        <w:right w:val="single" w:sz="4" w:space="0" w:color="9CC2E5" w:themeColor="accent1" w:themeTint="99"/>
        <w:insideH w:val="single" w:sz="4" w:space="0" w:color="9CC2E5" w:themeColor="accent1" w:themeTint="99"/>
        <w:insideV w:val="single" w:sz="4" w:space="0" w:color="9CC2E5" w:themeColor="accent1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5B9BD5" w:themeColor="accent1"/>
          <w:left w:val="single" w:sz="4" w:space="0" w:color="5B9BD5" w:themeColor="accent1"/>
          <w:bottom w:val="single" w:sz="4" w:space="0" w:color="5B9BD5" w:themeColor="accent1"/>
          <w:right w:val="single" w:sz="4" w:space="0" w:color="5B9BD5" w:themeColor="accent1"/>
          <w:insideH w:val="nil"/>
          <w:insideV w:val="nil"/>
        </w:tcBorders>
        <w:shd w:val="clear" w:color="auto" w:fill="5B9BD5" w:themeFill="accent1"/>
      </w:tcPr>
    </w:tblStylePr>
    <w:tblStylePr w:type="lastRow">
      <w:rPr>
        <w:b/>
        <w:bCs/>
      </w:rPr>
      <w:tblPr/>
      <w:tcPr>
        <w:tcBorders>
          <w:top w:val="double" w:sz="4" w:space="0" w:color="5B9BD5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EEAF6" w:themeFill="accent1" w:themeFillTint="33"/>
      </w:tcPr>
    </w:tblStylePr>
    <w:tblStylePr w:type="band1Horz">
      <w:tblPr/>
      <w:tcPr>
        <w:shd w:val="clear" w:color="auto" w:fill="DEEAF6" w:themeFill="accent1" w:themeFillTint="33"/>
      </w:tcPr>
    </w:tblStylePr>
  </w:style>
  <w:style w:type="table" w:customStyle="1" w:styleId="4-51">
    <w:name w:val="网格表 4 - 着色 51"/>
    <w:basedOn w:val="TableNormal"/>
    <w:uiPriority w:val="49"/>
    <w:rsid w:val="00B11816"/>
    <w:rPr>
      <w:szCs w:val="22"/>
    </w:rPr>
    <w:tblPr>
      <w:tblStyleRowBandSize w:val="1"/>
      <w:tblStyleColBandSize w:val="1"/>
      <w:tblBorders>
        <w:top w:val="single" w:sz="4" w:space="0" w:color="8EAADB" w:themeColor="accent5" w:themeTint="99"/>
        <w:left w:val="single" w:sz="4" w:space="0" w:color="8EAADB" w:themeColor="accent5" w:themeTint="99"/>
        <w:bottom w:val="single" w:sz="4" w:space="0" w:color="8EAADB" w:themeColor="accent5" w:themeTint="99"/>
        <w:right w:val="single" w:sz="4" w:space="0" w:color="8EAADB" w:themeColor="accent5" w:themeTint="99"/>
        <w:insideH w:val="single" w:sz="4" w:space="0" w:color="8EAADB" w:themeColor="accent5" w:themeTint="99"/>
        <w:insideV w:val="single" w:sz="4" w:space="0" w:color="8EAADB" w:themeColor="accent5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4472C4" w:themeColor="accent5"/>
          <w:left w:val="single" w:sz="4" w:space="0" w:color="4472C4" w:themeColor="accent5"/>
          <w:bottom w:val="single" w:sz="4" w:space="0" w:color="4472C4" w:themeColor="accent5"/>
          <w:right w:val="single" w:sz="4" w:space="0" w:color="4472C4" w:themeColor="accent5"/>
          <w:insideH w:val="nil"/>
          <w:insideV w:val="nil"/>
        </w:tcBorders>
        <w:shd w:val="clear" w:color="auto" w:fill="4472C4" w:themeFill="accent5"/>
      </w:tcPr>
    </w:tblStylePr>
    <w:tblStylePr w:type="lastRow">
      <w:rPr>
        <w:b/>
        <w:bCs/>
      </w:rPr>
      <w:tblPr/>
      <w:tcPr>
        <w:tcBorders>
          <w:top w:val="double" w:sz="4" w:space="0" w:color="4472C4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9E2F3" w:themeFill="accent5" w:themeFillTint="33"/>
      </w:tcPr>
    </w:tblStylePr>
    <w:tblStylePr w:type="band1Horz">
      <w:tblPr/>
      <w:tcPr>
        <w:shd w:val="clear" w:color="auto" w:fill="D9E2F3" w:themeFill="accent5" w:themeFillTint="33"/>
      </w:tcPr>
    </w:tblStylePr>
  </w:style>
  <w:style w:type="paragraph" w:styleId="NormalWeb">
    <w:name w:val="Normal (Web)"/>
    <w:basedOn w:val="Normal"/>
    <w:uiPriority w:val="99"/>
    <w:unhideWhenUsed/>
    <w:rsid w:val="00042B36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Cs w:val="24"/>
    </w:rPr>
  </w:style>
  <w:style w:type="table" w:customStyle="1" w:styleId="510">
    <w:name w:val="无格式表格 51"/>
    <w:basedOn w:val="TableNormal"/>
    <w:uiPriority w:val="45"/>
    <w:rsid w:val="00DE7DEB"/>
    <w:tblPr>
      <w:tblStyleRowBandSize w:val="1"/>
      <w:tblStyleColBandSize w:val="1"/>
    </w:tblPr>
    <w:tblStylePr w:type="fir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bottom w:val="single" w:sz="4" w:space="0" w:color="7F7F7F" w:themeColor="text1" w:themeTint="80"/>
        </w:tcBorders>
        <w:shd w:val="clear" w:color="auto" w:fill="FFFFFF" w:themeFill="background1"/>
      </w:tcPr>
    </w:tblStylePr>
    <w:tblStylePr w:type="la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top w:val="single" w:sz="4" w:space="0" w:color="7F7F7F" w:themeColor="text1" w:themeTint="80"/>
        </w:tcBorders>
        <w:shd w:val="clear" w:color="auto" w:fill="FFFFFF" w:themeFill="background1"/>
      </w:tcPr>
    </w:tblStylePr>
    <w:tblStylePr w:type="firstCol">
      <w:pPr>
        <w:jc w:val="right"/>
      </w:pPr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right w:val="single" w:sz="4" w:space="0" w:color="7F7F7F" w:themeColor="text1" w:themeTint="80"/>
        </w:tcBorders>
        <w:shd w:val="clear" w:color="auto" w:fill="FFFFFF" w:themeFill="background1"/>
      </w:tcPr>
    </w:tblStylePr>
    <w:tblStylePr w:type="lastCol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left w:val="single" w:sz="4" w:space="0" w:color="7F7F7F" w:themeColor="text1" w:themeTint="80"/>
        </w:tcBorders>
        <w:shd w:val="clear" w:color="auto" w:fill="FFFFFF" w:themeFill="background1"/>
      </w:tcPr>
    </w:tblStylePr>
    <w:tblStylePr w:type="band1Vert">
      <w:tblPr/>
      <w:tcPr>
        <w:shd w:val="clear" w:color="auto" w:fill="F2F2F2" w:themeFill="background1" w:themeFillShade="F2"/>
      </w:tcPr>
    </w:tblStylePr>
    <w:tblStylePr w:type="band1Horz">
      <w:tblPr/>
      <w:tcPr>
        <w:shd w:val="clear" w:color="auto" w:fill="F2F2F2" w:themeFill="background1" w:themeFillShade="F2"/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left w:val="nil"/>
        </w:tcBorders>
      </w:tcPr>
    </w:tblStylePr>
    <w:tblStylePr w:type="swCell">
      <w:tblPr/>
      <w:tcPr>
        <w:tcBorders>
          <w:right w:val="nil"/>
        </w:tcBorders>
      </w:tcPr>
    </w:tblStylePr>
  </w:style>
  <w:style w:type="character" w:customStyle="1" w:styleId="110">
    <w:name w:val="未处理的提及1"/>
    <w:basedOn w:val="DefaultParagraphFont"/>
    <w:uiPriority w:val="99"/>
    <w:semiHidden/>
    <w:unhideWhenUsed/>
    <w:rsid w:val="00FC7EDD"/>
    <w:rPr>
      <w:color w:val="605E5C"/>
      <w:shd w:val="clear" w:color="auto" w:fill="E1DFDD"/>
    </w:rPr>
  </w:style>
  <w:style w:type="paragraph" w:customStyle="1" w:styleId="Style1">
    <w:name w:val="Style1"/>
    <w:link w:val="Style10"/>
    <w:autoRedefine/>
    <w:rsid w:val="00B43AAF"/>
    <w:pPr>
      <w:pBdr>
        <w:bottom w:val="single" w:sz="4" w:space="6" w:color="auto"/>
      </w:pBdr>
      <w:spacing w:before="160" w:after="160"/>
    </w:pPr>
    <w:rPr>
      <w:rFonts w:ascii="Calibri" w:eastAsia="宋体" w:hAnsi="Calibri" w:cs="Calibri"/>
      <w:b/>
      <w:caps/>
      <w:color w:val="1F4E79" w:themeColor="accent1" w:themeShade="80"/>
      <w:spacing w:val="-3"/>
      <w:kern w:val="0"/>
      <w:sz w:val="40"/>
      <w:szCs w:val="40"/>
    </w:rPr>
  </w:style>
  <w:style w:type="character" w:customStyle="1" w:styleId="Style10">
    <w:name w:val="Style1 字符"/>
    <w:basedOn w:val="DefaultParagraphFont"/>
    <w:link w:val="Style1"/>
    <w:rsid w:val="00B43AAF"/>
    <w:rPr>
      <w:rFonts w:ascii="Calibri" w:eastAsia="宋体" w:hAnsi="Calibri" w:cs="Calibri"/>
      <w:b/>
      <w:caps/>
      <w:color w:val="1F4E79" w:themeColor="accent1" w:themeShade="80"/>
      <w:spacing w:val="-3"/>
      <w:kern w:val="0"/>
      <w:sz w:val="40"/>
      <w:szCs w:val="40"/>
    </w:rPr>
  </w:style>
  <w:style w:type="paragraph" w:styleId="EndnoteText">
    <w:name w:val="endnote text"/>
    <w:basedOn w:val="Normal"/>
    <w:link w:val="a13"/>
    <w:uiPriority w:val="99"/>
    <w:semiHidden/>
    <w:unhideWhenUsed/>
    <w:rsid w:val="00DF619E"/>
    <w:pPr>
      <w:snapToGrid w:val="0"/>
      <w:jc w:val="left"/>
    </w:pPr>
  </w:style>
  <w:style w:type="character" w:customStyle="1" w:styleId="a13">
    <w:name w:val="尾注文本 字符"/>
    <w:basedOn w:val="DefaultParagraphFont"/>
    <w:link w:val="EndnoteText"/>
    <w:uiPriority w:val="99"/>
    <w:semiHidden/>
    <w:rsid w:val="00DF619E"/>
    <w:rPr>
      <w:rFonts w:ascii="Times New Roman" w:hAnsi="Times New Roman"/>
    </w:rPr>
  </w:style>
  <w:style w:type="character" w:styleId="EndnoteReference">
    <w:name w:val="endnote reference"/>
    <w:basedOn w:val="DefaultParagraphFont"/>
    <w:uiPriority w:val="99"/>
    <w:semiHidden/>
    <w:unhideWhenUsed/>
    <w:rsid w:val="00DF619E"/>
    <w:rPr>
      <w:vertAlign w:val="superscript"/>
    </w:rPr>
  </w:style>
  <w:style w:type="character" w:customStyle="1" w:styleId="100">
    <w:name w:val="未处理的提及1_0"/>
    <w:basedOn w:val="DefaultParagraphFont"/>
    <w:uiPriority w:val="99"/>
    <w:semiHidden/>
    <w:unhideWhenUsed/>
    <w:rsid w:val="00E5088E"/>
    <w:rPr>
      <w:color w:val="605E5C"/>
      <w:shd w:val="clear" w:color="auto" w:fill="E1DFDD"/>
    </w:rPr>
  </w:style>
  <w:style w:type="character" w:customStyle="1" w:styleId="20">
    <w:name w:val="未处理的提及2"/>
    <w:basedOn w:val="DefaultParagraphFont"/>
    <w:uiPriority w:val="99"/>
    <w:semiHidden/>
    <w:unhideWhenUsed/>
    <w:rsid w:val="001B06E7"/>
    <w:rPr>
      <w:color w:val="605E5C"/>
      <w:shd w:val="clear" w:color="auto" w:fill="E1DFDD"/>
    </w:rPr>
  </w:style>
  <w:style w:type="paragraph" w:customStyle="1" w:styleId="Source">
    <w:name w:val="Source"/>
    <w:basedOn w:val="Normal"/>
    <w:link w:val="Source0"/>
    <w:autoRedefine/>
    <w:qFormat/>
    <w:rsid w:val="002726CB"/>
    <w:pPr>
      <w:widowControl/>
      <w:topLinePunct w:val="0"/>
      <w:spacing w:after="240"/>
      <w:jc w:val="left"/>
    </w:pPr>
    <w:rPr>
      <w:rFonts w:eastAsia="仿宋"/>
      <w:noProof/>
      <w:color w:val="0D0D0D" w:themeColor="text1" w:themeTint="F2"/>
      <w:kern w:val="0"/>
      <w:sz w:val="16"/>
      <w:szCs w:val="22"/>
      <w:lang w:val="en-IN"/>
    </w:rPr>
  </w:style>
  <w:style w:type="character" w:customStyle="1" w:styleId="Source0">
    <w:name w:val="Source 字符"/>
    <w:basedOn w:val="DefaultParagraphFont"/>
    <w:link w:val="Source"/>
    <w:rsid w:val="002726CB"/>
    <w:rPr>
      <w:rFonts w:ascii="Times New Roman" w:eastAsia="仿宋" w:hAnsi="Times New Roman"/>
      <w:noProof/>
      <w:color w:val="0D0D0D" w:themeColor="text1" w:themeTint="F2"/>
      <w:kern w:val="0"/>
      <w:sz w:val="16"/>
      <w:szCs w:val="22"/>
      <w:lang w:val="en-IN"/>
    </w:rPr>
  </w:style>
  <w:style w:type="paragraph" w:customStyle="1" w:styleId="-0">
    <w:name w:val="正文-段落"/>
    <w:basedOn w:val="Normal"/>
    <w:link w:val="-1"/>
    <w:qFormat/>
    <w:rsid w:val="00DF5A0B"/>
    <w:pPr>
      <w:widowControl/>
      <w:topLinePunct w:val="0"/>
      <w:spacing w:before="240" w:line="259" w:lineRule="auto"/>
      <w:ind w:firstLine="200" w:firstLineChars="200"/>
    </w:pPr>
    <w:rPr>
      <w:color w:val="0D0D0D" w:themeColor="text1" w:themeTint="F2"/>
      <w:kern w:val="0"/>
      <w:szCs w:val="22"/>
      <w:lang w:val="en-IN" w:eastAsia="en-US"/>
    </w:rPr>
  </w:style>
  <w:style w:type="character" w:customStyle="1" w:styleId="-1">
    <w:name w:val="正文-段落 字符"/>
    <w:basedOn w:val="DefaultParagraphFont"/>
    <w:link w:val="-0"/>
    <w:rsid w:val="00DF5A0B"/>
    <w:rPr>
      <w:rFonts w:ascii="Times New Roman" w:eastAsia="宋体" w:hAnsi="Times New Roman"/>
      <w:color w:val="0D0D0D" w:themeColor="text1" w:themeTint="F2"/>
      <w:kern w:val="0"/>
      <w:szCs w:val="22"/>
      <w:lang w:val="en-IN" w:eastAsia="en-US"/>
    </w:rPr>
  </w:style>
  <w:style w:type="paragraph" w:customStyle="1" w:styleId="FigureStyle">
    <w:name w:val="Figure Style"/>
    <w:basedOn w:val="Caption"/>
    <w:link w:val="FigureStyle0"/>
    <w:qFormat/>
    <w:rsid w:val="00580126"/>
    <w:pPr>
      <w:keepNext/>
      <w:keepLines/>
      <w:numPr>
        <w:numId w:val="1"/>
      </w:numPr>
      <w:tabs>
        <w:tab w:val="left" w:pos="284"/>
      </w:tabs>
      <w:spacing w:before="240"/>
    </w:pPr>
    <w:rPr>
      <w:rFonts w:ascii="Times New Roman" w:eastAsia="宋体" w:hAnsi="Times New Roman"/>
      <w:b/>
      <w:sz w:val="24"/>
    </w:rPr>
  </w:style>
  <w:style w:type="paragraph" w:styleId="Caption">
    <w:name w:val="caption"/>
    <w:basedOn w:val="Normal"/>
    <w:next w:val="Normal"/>
    <w:uiPriority w:val="35"/>
    <w:unhideWhenUsed/>
    <w:qFormat/>
    <w:rsid w:val="008D0042"/>
    <w:pPr>
      <w:spacing w:after="160" w:line="259" w:lineRule="auto"/>
    </w:pPr>
    <w:rPr>
      <w:rFonts w:eastAsia="黑体" w:asciiTheme="majorHAnsi" w:hAnsiTheme="majorHAnsi" w:cstheme="majorBidi"/>
      <w:sz w:val="20"/>
      <w:szCs w:val="20"/>
    </w:rPr>
  </w:style>
  <w:style w:type="character" w:customStyle="1" w:styleId="FigureStyle0">
    <w:name w:val="Figure Style 字符"/>
    <w:basedOn w:val="a7"/>
    <w:link w:val="FigureStyle"/>
    <w:rsid w:val="00580126"/>
    <w:rPr>
      <w:rFonts w:ascii="Times New Roman" w:eastAsia="宋体" w:hAnsi="Times New Roman" w:cstheme="majorBidi"/>
      <w:b/>
      <w:kern w:val="0"/>
      <w:sz w:val="24"/>
      <w:szCs w:val="20"/>
      <w:lang w:eastAsia="en-US"/>
    </w:rPr>
  </w:style>
  <w:style w:type="paragraph" w:customStyle="1" w:styleId="TableStyle">
    <w:name w:val="Table Style"/>
    <w:basedOn w:val="ListParagraph"/>
    <w:link w:val="TableStyleChar"/>
    <w:qFormat/>
    <w:rsid w:val="006C3BE6"/>
    <w:pPr>
      <w:keepNext/>
      <w:keepLines/>
      <w:numPr>
        <w:numId w:val="2"/>
      </w:numPr>
      <w:tabs>
        <w:tab w:val="left" w:pos="288"/>
      </w:tabs>
      <w:topLinePunct w:val="0"/>
      <w:spacing w:before="240" w:after="120"/>
      <w:ind w:left="307" w:leftChars="-50"/>
    </w:pPr>
    <w:rPr>
      <w:rFonts w:ascii="Times New Roman" w:eastAsia="宋体" w:hAnsi="Times New Roman" w:cstheme="minorBidi"/>
      <w:b/>
      <w:sz w:val="24"/>
      <w:lang w:val="en-IN"/>
    </w:rPr>
  </w:style>
  <w:style w:type="character" w:customStyle="1" w:styleId="TableStyleChar">
    <w:name w:val="Table Style Char"/>
    <w:basedOn w:val="DefaultParagraphFont"/>
    <w:link w:val="TableStyle"/>
    <w:rsid w:val="006C3BE6"/>
    <w:rPr>
      <w:rFonts w:ascii="Times New Roman" w:eastAsia="宋体" w:hAnsi="Times New Roman"/>
      <w:b/>
      <w:kern w:val="0"/>
      <w:sz w:val="24"/>
      <w:szCs w:val="22"/>
      <w:lang w:val="en-IN" w:eastAsia="en-US"/>
    </w:rPr>
  </w:style>
  <w:style w:type="paragraph" w:customStyle="1" w:styleId="22">
    <w:name w:val="目录2"/>
    <w:basedOn w:val="TOC2"/>
    <w:next w:val="TOC2"/>
    <w:link w:val="23"/>
    <w:rsid w:val="00210657"/>
    <w:pPr>
      <w:tabs>
        <w:tab w:val="right" w:pos="9736"/>
      </w:tabs>
    </w:pPr>
    <w:rPr>
      <w:noProof/>
    </w:rPr>
  </w:style>
  <w:style w:type="character" w:customStyle="1" w:styleId="23">
    <w:name w:val="目录2 字符"/>
    <w:basedOn w:val="TOC20"/>
    <w:link w:val="22"/>
    <w:rsid w:val="00210657"/>
    <w:rPr>
      <w:rFonts w:ascii="Calibri" w:eastAsia="宋体" w:hAnsi="Calibri"/>
      <w:b/>
      <w:caps w:val="0"/>
      <w:noProof/>
      <w:color w:val="000000" w:themeColor="text1"/>
      <w:spacing w:val="-6"/>
      <w:kern w:val="0"/>
      <w:sz w:val="24"/>
      <w:szCs w:val="22"/>
      <w:lang w:eastAsia="en-US"/>
    </w:rPr>
  </w:style>
  <w:style w:type="character" w:customStyle="1" w:styleId="30">
    <w:name w:val="未处理的提及3"/>
    <w:basedOn w:val="DefaultParagraphFont"/>
    <w:uiPriority w:val="99"/>
    <w:semiHidden/>
    <w:unhideWhenUsed/>
    <w:rsid w:val="009450DC"/>
    <w:rPr>
      <w:color w:val="605E5C"/>
      <w:shd w:val="clear" w:color="auto" w:fill="E1DFDD"/>
    </w:rPr>
  </w:style>
  <w:style w:type="table" w:styleId="ListTable2Accent4">
    <w:name w:val="List Table 2 Accent 4"/>
    <w:basedOn w:val="TableNormal"/>
    <w:uiPriority w:val="47"/>
    <w:rsid w:val="00A1090B"/>
    <w:tblPr>
      <w:tblStyleRowBandSize w:val="1"/>
      <w:tblStyleColBandSize w:val="1"/>
      <w:tblBorders>
        <w:top w:val="single" w:sz="4" w:space="0" w:color="FFD966" w:themeColor="accent4" w:themeTint="99"/>
        <w:bottom w:val="single" w:sz="4" w:space="0" w:color="FFD966" w:themeColor="accent4" w:themeTint="99"/>
        <w:insideH w:val="single" w:sz="4" w:space="0" w:color="FFD966" w:themeColor="accent4" w:themeTint="99"/>
      </w:tblBorders>
    </w:tblPr>
    <w:tblStylePr w:type="firstRow">
      <w:rPr>
        <w:b/>
        <w:bCs/>
      </w:rPr>
    </w:tblStylePr>
    <w:tblStylePr w:type="lastRow">
      <w:rPr>
        <w:b/>
        <w:bCs/>
      </w:r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FF2CC" w:themeFill="accent4" w:themeFillTint="33"/>
      </w:tcPr>
    </w:tblStylePr>
    <w:tblStylePr w:type="band1Horz">
      <w:tblPr/>
      <w:tcPr>
        <w:shd w:val="clear" w:color="auto" w:fill="FFF2CC" w:themeFill="accent4" w:themeFillTint="33"/>
      </w:tcPr>
    </w:tblStylePr>
  </w:style>
  <w:style w:type="table" w:customStyle="1" w:styleId="111">
    <w:name w:val="古典型1"/>
    <w:basedOn w:val="TableClassic1"/>
    <w:uiPriority w:val="99"/>
    <w:rsid w:val="008D0042"/>
    <w:pPr>
      <w:topLinePunct/>
      <w:spacing w:line="336" w:lineRule="auto"/>
    </w:pPr>
    <w:rPr>
      <w:rFonts w:asciiTheme="minorHAnsi" w:eastAsiaTheme="minorEastAsia" w:hAnsiTheme="minorHAnsi" w:cstheme="minorBidi"/>
      <w:kern w:val="2"/>
      <w:sz w:val="21"/>
      <w:szCs w:val="21"/>
    </w:rPr>
    <w:tblPr/>
    <w:tcPr>
      <w:shd w:val="clear" w:color="auto" w:fill="auto"/>
    </w:tcPr>
    <w:tblStylePr w:type="firstRow">
      <w:rPr>
        <w:i/>
        <w:iCs/>
      </w:rPr>
      <w:tblPr/>
      <w:tcPr>
        <w:tcBorders>
          <w:bottom w:val="single" w:sz="6" w:space="0" w:color="000000"/>
          <w:tl2br w:val="none" w:sz="0" w:space="0" w:color="auto"/>
          <w:tr2bl w:val="none" w:sz="0" w:space="0" w:color="auto"/>
        </w:tcBorders>
      </w:tcPr>
    </w:tblStylePr>
    <w:tblStylePr w:type="lastRow">
      <w:rPr>
        <w:color w:val="auto"/>
      </w:rPr>
      <w:tblPr/>
      <w:tcPr>
        <w:tcBorders>
          <w:top w:val="single" w:sz="6" w:space="0" w:color="000000"/>
          <w:tl2br w:val="none" w:sz="0" w:space="0" w:color="auto"/>
          <w:tr2bl w:val="none" w:sz="0" w:space="0" w:color="auto"/>
        </w:tcBorders>
      </w:tcPr>
    </w:tblStylePr>
    <w:tblStylePr w:type="firstCol">
      <w:tblPr/>
      <w:tcPr>
        <w:tcBorders>
          <w:right w:val="single" w:sz="6" w:space="0" w:color="000000"/>
          <w:tl2br w:val="none" w:sz="0" w:space="0" w:color="auto"/>
          <w:tr2bl w:val="none" w:sz="0" w:space="0" w:color="auto"/>
        </w:tcBorders>
      </w:tcPr>
    </w:tblStylePr>
    <w:tblStylePr w:type="neCell">
      <w:rPr>
        <w:b/>
        <w:bCs/>
        <w:i w:val="0"/>
        <w:iCs w:val="0"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swCel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ListTable1LightAccent1">
    <w:name w:val="List Table 1 Light Accent 1"/>
    <w:basedOn w:val="TableNormal"/>
    <w:uiPriority w:val="46"/>
    <w:rsid w:val="00526887"/>
    <w:pPr>
      <w:jc w:val="both"/>
    </w:pPr>
    <w:tblPr>
      <w:tblStyleRowBandSize w:val="1"/>
      <w:tblStyleColBandSize w:val="1"/>
      <w:tblBorders>
        <w:top w:val="single" w:sz="18" w:space="0" w:color="5B9BD5" w:themeColor="accent1"/>
        <w:bottom w:val="single" w:sz="18" w:space="0" w:color="5B9BD5" w:themeColor="accent1"/>
      </w:tblBorders>
    </w:tblPr>
    <w:tcPr>
      <w:vAlign w:val="center"/>
    </w:tcPr>
    <w:tblStylePr w:type="firstRow">
      <w:rPr>
        <w:b/>
        <w:bCs/>
      </w:rPr>
      <w:tblPr/>
      <w:tcPr>
        <w:tcBorders>
          <w:bottom w:val="single" w:sz="12" w:space="0" w:color="5B9BD5" w:themeColor="accent1"/>
        </w:tcBorders>
      </w:tcPr>
    </w:tblStylePr>
    <w:tblStylePr w:type="lastRow">
      <w:rPr>
        <w:b/>
        <w:bCs/>
      </w:rPr>
      <w:tblPr/>
      <w:tcPr>
        <w:tcBorders>
          <w:top w:val="single" w:sz="12" w:space="0" w:color="5B9BD5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EEAF6" w:themeFill="accent1" w:themeFillTint="33"/>
      </w:tcPr>
    </w:tblStylePr>
    <w:tblStylePr w:type="band1Horz">
      <w:tblPr/>
      <w:tcPr>
        <w:shd w:val="clear" w:color="auto" w:fill="DEEAF6" w:themeFill="accent1" w:themeFillTint="33"/>
      </w:tcPr>
    </w:tblStylePr>
  </w:style>
  <w:style w:type="character" w:customStyle="1" w:styleId="40">
    <w:name w:val="未处理的提及4"/>
    <w:basedOn w:val="DefaultParagraphFont"/>
    <w:uiPriority w:val="99"/>
    <w:semiHidden/>
    <w:unhideWhenUsed/>
    <w:rsid w:val="004C6A54"/>
    <w:rPr>
      <w:color w:val="605E5C"/>
      <w:shd w:val="clear" w:color="auto" w:fill="E1DFDD"/>
    </w:rPr>
  </w:style>
  <w:style w:type="paragraph" w:customStyle="1" w:styleId="a14">
    <w:name w:val="中文摘要"/>
    <w:basedOn w:val="Style1"/>
    <w:link w:val="a15"/>
    <w:qFormat/>
    <w:rsid w:val="00CC28A6"/>
    <w:pPr>
      <w:spacing w:before="40" w:after="0"/>
    </w:pPr>
    <w:rPr>
      <w:rFonts w:eastAsia="黑体"/>
      <w:color w:val="000080"/>
      <w:sz w:val="32"/>
    </w:rPr>
  </w:style>
  <w:style w:type="character" w:customStyle="1" w:styleId="a15">
    <w:name w:val="中文摘要 字符"/>
    <w:basedOn w:val="Style10"/>
    <w:link w:val="a14"/>
    <w:rsid w:val="00CC28A6"/>
    <w:rPr>
      <w:rFonts w:ascii="Calibri" w:eastAsia="黑体" w:hAnsi="Calibri" w:cs="Calibri"/>
      <w:b/>
      <w:caps/>
      <w:color w:val="000080"/>
      <w:spacing w:val="-3"/>
      <w:kern w:val="0"/>
      <w:sz w:val="32"/>
      <w:szCs w:val="40"/>
    </w:rPr>
  </w:style>
  <w:style w:type="table" w:styleId="ListTable1LightAccent2">
    <w:name w:val="List Table 1 Light Accent 2"/>
    <w:basedOn w:val="TableNormal"/>
    <w:uiPriority w:val="46"/>
    <w:rsid w:val="006029F6"/>
    <w:tblPr>
      <w:tblStyleRowBandSize w:val="1"/>
      <w:tblStyleColBandSize w:val="1"/>
    </w:tblPr>
    <w:tblStylePr w:type="firstRow">
      <w:rPr>
        <w:b/>
        <w:bCs/>
      </w:rPr>
      <w:tblPr/>
      <w:tcPr>
        <w:tcBorders>
          <w:bottom w:val="single" w:sz="4" w:space="0" w:color="ADCCEA" w:themeColor="accent2" w:themeTint="99"/>
        </w:tcBorders>
      </w:tcPr>
    </w:tblStylePr>
    <w:tblStylePr w:type="lastRow">
      <w:rPr>
        <w:b/>
        <w:bCs/>
      </w:rPr>
      <w:tblPr/>
      <w:tcPr>
        <w:tcBorders>
          <w:top w:val="single" w:sz="4" w:space="0" w:color="ADCCEA" w:themeColor="accent2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3EEF8" w:themeFill="accent2" w:themeFillTint="33"/>
      </w:tcPr>
    </w:tblStylePr>
    <w:tblStylePr w:type="band1Horz">
      <w:tblPr/>
      <w:tcPr>
        <w:shd w:val="clear" w:color="auto" w:fill="E3EEF8" w:themeFill="accent2" w:themeFillTint="33"/>
      </w:tcPr>
    </w:tblStylePr>
  </w:style>
  <w:style w:type="table" w:styleId="ListTable2Accent2">
    <w:name w:val="List Table 2 Accent 2"/>
    <w:basedOn w:val="TableNormal"/>
    <w:uiPriority w:val="47"/>
    <w:rsid w:val="005246A2"/>
    <w:pPr>
      <w:spacing w:line="259" w:lineRule="auto"/>
      <w:jc w:val="both"/>
    </w:pPr>
    <w:tblPr>
      <w:tblStyleRowBandSize w:val="1"/>
      <w:tblStyleColBandSize w:val="1"/>
      <w:tblBorders>
        <w:top w:val="single" w:sz="4" w:space="0" w:color="ADCCEA" w:themeColor="accent2" w:themeTint="99"/>
        <w:bottom w:val="single" w:sz="4" w:space="0" w:color="ADCCEA" w:themeColor="accent2" w:themeTint="99"/>
        <w:insideH w:val="single" w:sz="4" w:space="0" w:color="ADCCEA" w:themeColor="accent2" w:themeTint="99"/>
      </w:tblBorders>
    </w:tblPr>
    <w:tcPr>
      <w:vAlign w:val="center"/>
    </w:tcPr>
    <w:tblStylePr w:type="firstRow">
      <w:rPr>
        <w:b/>
        <w:bCs/>
      </w:rPr>
    </w:tblStylePr>
    <w:tblStylePr w:type="lastRow">
      <w:rPr>
        <w:b/>
        <w:bCs/>
      </w:r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3EEF8" w:themeFill="accent2" w:themeFillTint="33"/>
      </w:tcPr>
    </w:tblStylePr>
    <w:tblStylePr w:type="band1Horz">
      <w:tblPr/>
      <w:tcPr>
        <w:shd w:val="clear" w:color="auto" w:fill="E3EEF8" w:themeFill="accent2" w:themeFillTint="33"/>
      </w:tcPr>
    </w:tblStylePr>
  </w:style>
  <w:style w:type="character" w:customStyle="1" w:styleId="50">
    <w:name w:val="未处理的提及5"/>
    <w:basedOn w:val="DefaultParagraphFont"/>
    <w:uiPriority w:val="99"/>
    <w:semiHidden/>
    <w:unhideWhenUsed/>
    <w:rsid w:val="00A31DD8"/>
    <w:rPr>
      <w:color w:val="605E5C"/>
      <w:shd w:val="clear" w:color="auto" w:fill="E1DFDD"/>
    </w:rPr>
  </w:style>
  <w:style w:type="character" w:styleId="UnresolvedMention">
    <w:name w:val="Unresolved Mention"/>
    <w:basedOn w:val="DefaultParagraphFont"/>
    <w:uiPriority w:val="99"/>
    <w:semiHidden/>
    <w:unhideWhenUsed/>
    <w:rsid w:val="009D3089"/>
    <w:rPr>
      <w:color w:val="605E5C"/>
      <w:shd w:val="clear" w:color="auto" w:fill="E1DFDD"/>
    </w:rPr>
  </w:style>
  <w:style w:type="table" w:customStyle="1" w:styleId="-lpi">
    <w:name w:val="表格-lpi"/>
    <w:basedOn w:val="TableNormal"/>
    <w:uiPriority w:val="99"/>
    <w:rsid w:val="009B643D"/>
    <w:rPr>
      <w:rFonts w:ascii="Times New Roman" w:eastAsia="Times New Roman" w:hAnsi="Times New Roman"/>
      <w:color w:val="00B050"/>
      <w:sz w:val="20"/>
      <w:szCs w:val="20"/>
    </w:rPr>
    <w:tblPr/>
  </w:style>
  <w:style w:type="table" w:styleId="GridTable2">
    <w:name w:val="Grid Table 2"/>
    <w:basedOn w:val="TableNormal"/>
    <w:uiPriority w:val="47"/>
    <w:rsid w:val="00DF38C2"/>
    <w:pPr>
      <w:jc w:val="both"/>
    </w:pPr>
    <w:tblPr>
      <w:tblStyleRowBandSize w:val="1"/>
      <w:tblStyleColBandSize w:val="1"/>
      <w:tblBorders>
        <w:top w:val="single" w:sz="2" w:space="0" w:color="666666" w:themeColor="text1" w:themeTint="99"/>
        <w:bottom w:val="single" w:sz="2" w:space="0" w:color="666666" w:themeColor="text1" w:themeTint="99"/>
        <w:insideH w:val="single" w:sz="2" w:space="0" w:color="666666" w:themeColor="text1" w:themeTint="99"/>
        <w:insideV w:val="single" w:sz="2" w:space="0" w:color="666666" w:themeColor="text1" w:themeTint="99"/>
      </w:tblBorders>
    </w:tblPr>
    <w:tcPr>
      <w:vAlign w:val="center"/>
    </w:tcPr>
    <w:tblStylePr w:type="firstRow">
      <w:rPr>
        <w:b/>
        <w:bCs/>
      </w:rPr>
      <w:tblPr/>
      <w:tcPr>
        <w:tcBorders>
          <w:top w:val="nil"/>
          <w:bottom w:val="single" w:sz="12" w:space="0" w:color="666666" w:themeColor="text1" w:themeTint="99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top w:val="double" w:sz="2" w:space="0" w:color="666666" w:themeColor="text1" w:themeTint="99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CCCCC" w:themeFill="text1" w:themeFillTint="33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paragraph" w:customStyle="1" w:styleId="-2">
    <w:name w:val="数据-表格"/>
    <w:qFormat/>
    <w:rsid w:val="007D7B3B"/>
    <w:pPr>
      <w:spacing w:before="40" w:after="40"/>
    </w:pPr>
    <w:rPr>
      <w:rFonts w:ascii="Times New Roman" w:eastAsia="宋体" w:hAnsi="Times New Roman"/>
      <w:kern w:val="0"/>
      <w:szCs w:val="22"/>
      <w:lang w:val="en-IN" w:eastAsia="en-US"/>
    </w:rPr>
  </w:style>
  <w:style w:type="character" w:customStyle="1" w:styleId="60">
    <w:name w:val="未处理的提及6"/>
    <w:basedOn w:val="DefaultParagraphFont"/>
    <w:uiPriority w:val="99"/>
    <w:semiHidden/>
    <w:unhideWhenUsed/>
    <w:rsid w:val="00DC55D6"/>
    <w:rPr>
      <w:color w:val="605E5C"/>
      <w:shd w:val="clear" w:color="auto" w:fill="E1DFDD"/>
    </w:rPr>
  </w:style>
  <w:style w:type="table" w:styleId="GridTable4Accent6">
    <w:name w:val="Grid Table 4 Accent 6"/>
    <w:basedOn w:val="TableNormal"/>
    <w:uiPriority w:val="49"/>
    <w:rsid w:val="00DC55D6"/>
    <w:tblPr>
      <w:tblStyleRowBandSize w:val="1"/>
      <w:tblStyleColBandSize w:val="1"/>
    </w:tblPr>
    <w:tblStylePr w:type="firstRow">
      <w:rPr>
        <w:b/>
        <w:bCs/>
        <w:color w:val="FFFFFF" w:themeColor="background1"/>
      </w:rPr>
      <w:tblPr/>
      <w:tcPr>
        <w:shd w:val="clear" w:color="auto" w:fill="539D69"/>
      </w:tcPr>
    </w:tblStylePr>
    <w:tblStylePr w:type="lastRow">
      <w:rPr>
        <w:b/>
        <w:bCs/>
      </w:rPr>
      <w:tblPr/>
      <w:tcPr>
        <w:tcBorders>
          <w:bottom w:val="nil"/>
        </w:tcBorders>
        <w:shd w:val="clear" w:color="auto" w:fill="E6F1E9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2EFD9" w:themeFill="accent6" w:themeFillTint="33"/>
      </w:tcPr>
    </w:tblStylePr>
    <w:tblStylePr w:type="band1Horz">
      <w:tblPr/>
      <w:tcPr>
        <w:shd w:val="clear" w:color="auto" w:fill="E6F1E9"/>
      </w:tcPr>
    </w:tblStylePr>
  </w:style>
  <w:style w:type="table" w:styleId="ListTable1LightAccent4">
    <w:name w:val="List Table 1 Light Accent 4"/>
    <w:basedOn w:val="TableNormal"/>
    <w:uiPriority w:val="46"/>
    <w:rsid w:val="00842020"/>
    <w:pPr>
      <w:jc w:val="right"/>
    </w:pPr>
    <w:rPr>
      <w:rFonts w:eastAsia="Times New Roman"/>
    </w:rPr>
    <w:tblPr>
      <w:tblStyleRowBandSize w:val="1"/>
      <w:tblStyleColBandSize w:val="1"/>
      <w:tblBorders>
        <w:bottom w:val="single" w:sz="4" w:space="0" w:color="000000" w:themeColor="text1"/>
      </w:tblBorders>
    </w:tblPr>
    <w:tcPr>
      <w:vAlign w:val="center"/>
    </w:tcPr>
    <w:tblStylePr w:type="firstRow">
      <w:pPr>
        <w:jc w:val="center"/>
      </w:pPr>
      <w:rPr>
        <w:b/>
        <w:bCs/>
      </w:rPr>
      <w:tblPr/>
      <w:tcPr>
        <w:tcBorders>
          <w:bottom w:val="single" w:sz="4" w:space="0" w:color="FFD966" w:themeColor="accent4" w:themeTint="99"/>
        </w:tcBorders>
      </w:tcPr>
    </w:tblStylePr>
    <w:tblStylePr w:type="lastRow">
      <w:rPr>
        <w:b/>
        <w:bCs/>
      </w:rPr>
    </w:tblStylePr>
    <w:tblStylePr w:type="firstCol">
      <w:pPr>
        <w:jc w:val="both"/>
      </w:pPr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FF2CC" w:themeFill="accent4" w:themeFillTint="33"/>
      </w:tcPr>
    </w:tblStylePr>
    <w:tblStylePr w:type="band1Horz">
      <w:tblPr/>
      <w:tcPr>
        <w:shd w:val="clear" w:color="auto" w:fill="FFF2CC" w:themeFill="accent4" w:themeFillTint="33"/>
      </w:tcPr>
    </w:tblStylePr>
    <w:tblStylePr w:type="nwCell">
      <w:pPr>
        <w:jc w:val="both"/>
      </w:pPr>
    </w:tblStylePr>
  </w:style>
  <w:style w:type="paragraph" w:customStyle="1" w:styleId="Normal0">
    <w:name w:val="Normal_0"/>
    <w:qFormat/>
    <w:rsid w:val="006C3BE6"/>
    <w:pPr>
      <w:widowControl w:val="0"/>
      <w:topLinePunct/>
      <w:spacing w:before="40" w:after="40"/>
      <w:jc w:val="both"/>
    </w:pPr>
    <w:rPr>
      <w:rFonts w:ascii="Times New Roman" w:eastAsia="宋体" w:hAnsi="Times New Roman"/>
    </w:rPr>
  </w:style>
  <w:style w:type="paragraph" w:customStyle="1" w:styleId="ListParagraph0">
    <w:name w:val="List Paragraph_0"/>
    <w:basedOn w:val="Normal"/>
    <w:link w:val="0"/>
    <w:uiPriority w:val="1"/>
    <w:qFormat/>
    <w:rsid w:val="00AD7B8C"/>
    <w:pPr>
      <w:jc w:val="left"/>
    </w:pPr>
    <w:rPr>
      <w:rFonts w:ascii="Arial" w:eastAsia="Arial" w:hAnsi="Arial" w:cs="Arial"/>
      <w:kern w:val="0"/>
      <w:sz w:val="22"/>
      <w:szCs w:val="22"/>
      <w:lang w:eastAsia="en-US"/>
    </w:rPr>
  </w:style>
  <w:style w:type="character" w:customStyle="1" w:styleId="0">
    <w:name w:val="列表段落 字符_0"/>
    <w:basedOn w:val="DefaultParagraphFont"/>
    <w:link w:val="ListParagraph0"/>
    <w:uiPriority w:val="1"/>
    <w:rsid w:val="009D5DFD"/>
    <w:rPr>
      <w:rFonts w:ascii="Arial" w:eastAsia="Arial" w:hAnsi="Arial" w:cs="Arial"/>
      <w:kern w:val="0"/>
      <w:sz w:val="22"/>
      <w:szCs w:val="22"/>
      <w:lang w:eastAsia="en-US"/>
    </w:rPr>
  </w:style>
  <w:style w:type="paragraph" w:customStyle="1" w:styleId="Footer0">
    <w:name w:val="Footer_0"/>
    <w:basedOn w:val="Normal"/>
    <w:link w:val="00"/>
    <w:uiPriority w:val="99"/>
    <w:unhideWhenUsed/>
    <w:qFormat/>
    <w:rsid w:val="00AD7B8C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00">
    <w:name w:val="页脚 字符_0"/>
    <w:basedOn w:val="DefaultParagraphFont"/>
    <w:link w:val="Footer0"/>
    <w:uiPriority w:val="99"/>
    <w:qFormat/>
    <w:rsid w:val="00AD7B8C"/>
    <w:rPr>
      <w:sz w:val="18"/>
      <w:szCs w:val="18"/>
    </w:rPr>
  </w:style>
  <w:style w:type="paragraph" w:customStyle="1" w:styleId="01">
    <w:name w:val="中文摘要_0"/>
    <w:basedOn w:val="Style1"/>
    <w:link w:val="02"/>
    <w:qFormat/>
    <w:rsid w:val="00CC28A6"/>
    <w:pPr>
      <w:spacing w:before="40" w:after="0"/>
    </w:pPr>
    <w:rPr>
      <w:rFonts w:eastAsia="黑体"/>
      <w:color w:val="000080"/>
      <w:sz w:val="32"/>
    </w:rPr>
  </w:style>
  <w:style w:type="character" w:customStyle="1" w:styleId="02">
    <w:name w:val="中文摘要 字符_0"/>
    <w:basedOn w:val="Style10"/>
    <w:link w:val="01"/>
    <w:rsid w:val="00CC28A6"/>
    <w:rPr>
      <w:rFonts w:ascii="Calibri" w:eastAsia="黑体" w:hAnsi="Calibri" w:cs="Calibri"/>
      <w:b/>
      <w:caps/>
      <w:color w:val="000080"/>
      <w:spacing w:val="-3"/>
      <w:kern w:val="0"/>
      <w:sz w:val="32"/>
      <w:szCs w:val="40"/>
    </w:rPr>
  </w:style>
  <w:style w:type="character" w:customStyle="1" w:styleId="Hyperlink0">
    <w:name w:val="Hyperlink_0"/>
    <w:uiPriority w:val="99"/>
    <w:unhideWhenUsed/>
    <w:rsid w:val="00AD7B8C"/>
    <w:rPr>
      <w:color w:val="0000FF"/>
      <w:u w:val="single"/>
    </w:rPr>
  </w:style>
  <w:style w:type="paragraph" w:customStyle="1" w:styleId="TableofFigures0">
    <w:name w:val="Table of Figures_0"/>
    <w:autoRedefine/>
    <w:uiPriority w:val="99"/>
    <w:qFormat/>
    <w:rsid w:val="002726CB"/>
    <w:pPr>
      <w:widowControl w:val="0"/>
      <w:tabs>
        <w:tab w:val="right" w:leader="dot" w:pos="9736"/>
      </w:tabs>
      <w:topLinePunct/>
      <w:spacing w:line="312" w:lineRule="auto"/>
      <w:ind w:left="1021" w:hanging="1021"/>
      <w:jc w:val="distribute"/>
    </w:pPr>
    <w:rPr>
      <w:rFonts w:ascii="Times New Roman" w:eastAsia="宋体" w:hAnsi="Times New Roman"/>
      <w:szCs w:val="20"/>
    </w:rPr>
  </w:style>
  <w:style w:type="paragraph" w:customStyle="1" w:styleId="Heading10">
    <w:name w:val="Heading 1_0"/>
    <w:basedOn w:val="Normal"/>
    <w:next w:val="Normal0"/>
    <w:link w:val="1100"/>
    <w:autoRedefine/>
    <w:qFormat/>
    <w:rsid w:val="00580126"/>
    <w:pPr>
      <w:keepNext/>
      <w:keepLines/>
      <w:pageBreakBefore/>
      <w:widowControl/>
      <w:numPr>
        <w:numId w:val="21"/>
      </w:numPr>
      <w:topLinePunct w:val="0"/>
      <w:spacing w:before="120" w:after="120"/>
      <w:jc w:val="center"/>
      <w:outlineLvl w:val="0"/>
    </w:pPr>
    <w:rPr>
      <w:rFonts w:eastAsia="黑体" w:cs="Calibri"/>
      <w:b/>
      <w:color w:val="000080"/>
      <w:kern w:val="0"/>
      <w:sz w:val="30"/>
      <w:szCs w:val="32"/>
      <w:lang w:val="en-IN" w:eastAsia="en-US"/>
    </w:rPr>
  </w:style>
  <w:style w:type="paragraph" w:customStyle="1" w:styleId="Heading20">
    <w:name w:val="Heading 2_0"/>
    <w:basedOn w:val="Normal"/>
    <w:next w:val="Normal0"/>
    <w:link w:val="210"/>
    <w:autoRedefine/>
    <w:qFormat/>
    <w:rsid w:val="000D1730"/>
    <w:pPr>
      <w:keepNext/>
      <w:keepLines/>
      <w:numPr>
        <w:ilvl w:val="1"/>
        <w:numId w:val="21"/>
      </w:numPr>
      <w:spacing w:before="240" w:after="120"/>
      <w:jc w:val="left"/>
      <w:outlineLvl w:val="1"/>
    </w:pPr>
    <w:rPr>
      <w:rFonts w:cs="Calibri"/>
      <w:b/>
      <w:bCs/>
      <w:color w:val="0D0D0D" w:themeColor="text1" w:themeTint="F2"/>
      <w:sz w:val="28"/>
      <w:szCs w:val="32"/>
    </w:rPr>
  </w:style>
  <w:style w:type="character" w:customStyle="1" w:styleId="210">
    <w:name w:val="标题 2 字符1_0"/>
    <w:link w:val="Heading20"/>
    <w:rsid w:val="000D1730"/>
    <w:rPr>
      <w:rFonts w:ascii="Times New Roman" w:eastAsia="宋体" w:hAnsi="Times New Roman" w:cs="Calibri"/>
      <w:b/>
      <w:bCs/>
      <w:color w:val="0D0D0D" w:themeColor="text1" w:themeTint="F2"/>
      <w:sz w:val="28"/>
      <w:szCs w:val="32"/>
    </w:rPr>
  </w:style>
  <w:style w:type="paragraph" w:customStyle="1" w:styleId="Heading30">
    <w:name w:val="Heading 3_0"/>
    <w:basedOn w:val="Normal"/>
    <w:next w:val="Normal0"/>
    <w:link w:val="310"/>
    <w:autoRedefine/>
    <w:qFormat/>
    <w:rsid w:val="00566304"/>
    <w:pPr>
      <w:keepNext/>
      <w:keepLines/>
      <w:numPr>
        <w:ilvl w:val="2"/>
        <w:numId w:val="21"/>
      </w:numPr>
      <w:spacing w:before="240" w:after="120"/>
      <w:jc w:val="left"/>
      <w:outlineLvl w:val="2"/>
    </w:pPr>
    <w:rPr>
      <w:rFonts w:cs="Calibri"/>
      <w:b/>
      <w:bCs/>
      <w:color w:val="0D0D0D" w:themeColor="text1" w:themeTint="F2"/>
      <w:sz w:val="24"/>
      <w:szCs w:val="32"/>
    </w:rPr>
  </w:style>
  <w:style w:type="character" w:customStyle="1" w:styleId="310">
    <w:name w:val="标题 3 字符1_0"/>
    <w:link w:val="Heading30"/>
    <w:rsid w:val="00566304"/>
    <w:rPr>
      <w:rFonts w:ascii="Times New Roman" w:eastAsia="宋体" w:hAnsi="Times New Roman" w:cs="Calibri"/>
      <w:b/>
      <w:bCs/>
      <w:color w:val="0D0D0D" w:themeColor="text1" w:themeTint="F2"/>
      <w:sz w:val="24"/>
      <w:szCs w:val="32"/>
    </w:rPr>
  </w:style>
  <w:style w:type="paragraph" w:customStyle="1" w:styleId="Heading40">
    <w:name w:val="Heading 4_0"/>
    <w:basedOn w:val="Normal"/>
    <w:next w:val="Normal0"/>
    <w:link w:val="400"/>
    <w:qFormat/>
    <w:rsid w:val="00292078"/>
    <w:pPr>
      <w:keepNext/>
      <w:keepLines/>
      <w:numPr>
        <w:ilvl w:val="3"/>
        <w:numId w:val="21"/>
      </w:numPr>
      <w:outlineLvl w:val="3"/>
    </w:pPr>
    <w:rPr>
      <w:b/>
      <w:bCs/>
      <w:sz w:val="26"/>
      <w:szCs w:val="26"/>
      <w:lang w:val="x-none" w:eastAsia="x-none"/>
    </w:rPr>
  </w:style>
  <w:style w:type="character" w:customStyle="1" w:styleId="400">
    <w:name w:val="标题 4 字符_0"/>
    <w:link w:val="Heading40"/>
    <w:rsid w:val="00292078"/>
    <w:rPr>
      <w:rFonts w:ascii="Calibri" w:eastAsia="宋体" w:hAnsi="Calibri"/>
      <w:b/>
      <w:bCs/>
      <w:sz w:val="26"/>
      <w:szCs w:val="26"/>
      <w:lang w:val="x-none" w:eastAsia="x-none"/>
    </w:rPr>
  </w:style>
  <w:style w:type="paragraph" w:customStyle="1" w:styleId="Heading50">
    <w:name w:val="Heading 5_0"/>
    <w:basedOn w:val="Normal"/>
    <w:next w:val="Normal0"/>
    <w:link w:val="5100"/>
    <w:uiPriority w:val="9"/>
    <w:unhideWhenUsed/>
    <w:qFormat/>
    <w:rsid w:val="00AD7B8C"/>
    <w:pPr>
      <w:keepNext/>
      <w:keepLines/>
      <w:numPr>
        <w:ilvl w:val="4"/>
        <w:numId w:val="21"/>
      </w:numPr>
      <w:spacing w:before="280" w:after="290" w:line="376" w:lineRule="auto"/>
      <w:outlineLvl w:val="4"/>
    </w:pPr>
    <w:rPr>
      <w:b/>
      <w:bCs/>
      <w:sz w:val="28"/>
      <w:szCs w:val="28"/>
    </w:rPr>
  </w:style>
  <w:style w:type="character" w:customStyle="1" w:styleId="5100">
    <w:name w:val="标题 5 字符1_0"/>
    <w:link w:val="Heading50"/>
    <w:uiPriority w:val="9"/>
    <w:rsid w:val="00AD7B8C"/>
    <w:rPr>
      <w:rFonts w:ascii="Calibri" w:eastAsia="宋体" w:hAnsi="Calibri"/>
      <w:b/>
      <w:bCs/>
      <w:sz w:val="28"/>
      <w:szCs w:val="28"/>
    </w:rPr>
  </w:style>
  <w:style w:type="character" w:customStyle="1" w:styleId="1100">
    <w:name w:val="标题 1 字符1_0"/>
    <w:link w:val="Heading10"/>
    <w:rsid w:val="00580126"/>
    <w:rPr>
      <w:rFonts w:ascii="Times New Roman" w:eastAsia="黑体" w:hAnsi="Times New Roman" w:cs="Calibri"/>
      <w:b/>
      <w:color w:val="000080"/>
      <w:kern w:val="0"/>
      <w:sz w:val="30"/>
      <w:szCs w:val="32"/>
      <w:lang w:val="en-IN" w:eastAsia="en-US"/>
    </w:rPr>
  </w:style>
  <w:style w:type="paragraph" w:customStyle="1" w:styleId="-00">
    <w:name w:val="正文-段落_0"/>
    <w:basedOn w:val="Normal"/>
    <w:link w:val="-01"/>
    <w:qFormat/>
    <w:rsid w:val="00DF5A0B"/>
    <w:pPr>
      <w:widowControl/>
      <w:topLinePunct w:val="0"/>
      <w:spacing w:before="240" w:line="259" w:lineRule="auto"/>
      <w:ind w:firstLine="200" w:firstLineChars="200"/>
    </w:pPr>
    <w:rPr>
      <w:color w:val="0D0D0D" w:themeColor="text1" w:themeTint="F2"/>
      <w:kern w:val="0"/>
      <w:szCs w:val="22"/>
      <w:lang w:val="en-IN" w:eastAsia="en-US"/>
    </w:rPr>
  </w:style>
  <w:style w:type="character" w:customStyle="1" w:styleId="-01">
    <w:name w:val="正文-段落 字符_0"/>
    <w:basedOn w:val="DefaultParagraphFont"/>
    <w:link w:val="-00"/>
    <w:rsid w:val="00DF5A0B"/>
    <w:rPr>
      <w:rFonts w:ascii="Times New Roman" w:eastAsia="宋体" w:hAnsi="Times New Roman"/>
      <w:color w:val="0D0D0D" w:themeColor="text1" w:themeTint="F2"/>
      <w:kern w:val="0"/>
      <w:szCs w:val="22"/>
      <w:lang w:val="en-IN" w:eastAsia="en-US"/>
    </w:rPr>
  </w:style>
  <w:style w:type="paragraph" w:customStyle="1" w:styleId="FigureStyle00">
    <w:name w:val="Figure Style_0"/>
    <w:basedOn w:val="Caption"/>
    <w:link w:val="FigureStyle01"/>
    <w:qFormat/>
    <w:rsid w:val="00580126"/>
    <w:pPr>
      <w:keepNext/>
      <w:keepLines/>
      <w:numPr>
        <w:numId w:val="22"/>
      </w:numPr>
      <w:tabs>
        <w:tab w:val="left" w:pos="284"/>
      </w:tabs>
      <w:spacing w:before="240"/>
    </w:pPr>
    <w:rPr>
      <w:rFonts w:ascii="Times New Roman" w:eastAsia="宋体" w:hAnsi="Times New Roman"/>
      <w:b/>
      <w:sz w:val="24"/>
    </w:rPr>
  </w:style>
  <w:style w:type="character" w:customStyle="1" w:styleId="FigureStyle01">
    <w:name w:val="Figure Style 字符_0"/>
    <w:basedOn w:val="a7"/>
    <w:link w:val="FigureStyle00"/>
    <w:rsid w:val="00580126"/>
    <w:rPr>
      <w:rFonts w:ascii="Times New Roman" w:eastAsia="宋体" w:hAnsi="Times New Roman" w:cstheme="majorBidi"/>
      <w:b/>
      <w:kern w:val="0"/>
      <w:sz w:val="24"/>
      <w:szCs w:val="20"/>
      <w:lang w:eastAsia="en-US"/>
    </w:rPr>
  </w:style>
  <w:style w:type="paragraph" w:customStyle="1" w:styleId="Source00">
    <w:name w:val="Source_0"/>
    <w:basedOn w:val="Normal"/>
    <w:link w:val="Source01"/>
    <w:autoRedefine/>
    <w:qFormat/>
    <w:rsid w:val="002726CB"/>
    <w:pPr>
      <w:widowControl/>
      <w:topLinePunct w:val="0"/>
      <w:spacing w:after="240"/>
      <w:jc w:val="left"/>
    </w:pPr>
    <w:rPr>
      <w:rFonts w:eastAsia="仿宋"/>
      <w:noProof/>
      <w:color w:val="0D0D0D" w:themeColor="text1" w:themeTint="F2"/>
      <w:kern w:val="0"/>
      <w:sz w:val="16"/>
      <w:szCs w:val="22"/>
      <w:lang w:val="en-IN"/>
    </w:rPr>
  </w:style>
  <w:style w:type="character" w:customStyle="1" w:styleId="Source01">
    <w:name w:val="Source 字符_0"/>
    <w:basedOn w:val="DefaultParagraphFont"/>
    <w:link w:val="Source00"/>
    <w:rsid w:val="002726CB"/>
    <w:rPr>
      <w:rFonts w:ascii="Times New Roman" w:eastAsia="仿宋" w:hAnsi="Times New Roman"/>
      <w:noProof/>
      <w:color w:val="0D0D0D" w:themeColor="text1" w:themeTint="F2"/>
      <w:kern w:val="0"/>
      <w:sz w:val="16"/>
      <w:szCs w:val="22"/>
      <w:lang w:val="en-IN"/>
    </w:rPr>
  </w:style>
  <w:style w:type="paragraph" w:customStyle="1" w:styleId="TableStyle0">
    <w:name w:val="Table Style_0"/>
    <w:basedOn w:val="ListParagraph"/>
    <w:link w:val="TableStyleChar0"/>
    <w:qFormat/>
    <w:rsid w:val="006C3BE6"/>
    <w:pPr>
      <w:keepNext/>
      <w:keepLines/>
      <w:numPr>
        <w:numId w:val="23"/>
      </w:numPr>
      <w:tabs>
        <w:tab w:val="left" w:pos="288"/>
      </w:tabs>
      <w:topLinePunct w:val="0"/>
      <w:spacing w:before="240" w:after="120"/>
      <w:ind w:left="307" w:leftChars="-50"/>
    </w:pPr>
    <w:rPr>
      <w:rFonts w:ascii="Times New Roman" w:eastAsia="宋体" w:hAnsi="Times New Roman" w:cstheme="minorBidi"/>
      <w:b/>
      <w:sz w:val="24"/>
      <w:lang w:val="en-IN"/>
    </w:rPr>
  </w:style>
  <w:style w:type="character" w:customStyle="1" w:styleId="TableStyleChar0">
    <w:name w:val="Table Style Char_0"/>
    <w:basedOn w:val="DefaultParagraphFont"/>
    <w:link w:val="TableStyle0"/>
    <w:rsid w:val="006C3BE6"/>
    <w:rPr>
      <w:rFonts w:ascii="Times New Roman" w:eastAsia="宋体" w:hAnsi="Times New Roman"/>
      <w:b/>
      <w:kern w:val="0"/>
      <w:sz w:val="24"/>
      <w:szCs w:val="22"/>
      <w:lang w:val="en-IN" w:eastAsia="en-US"/>
    </w:rPr>
  </w:style>
  <w:style w:type="table" w:customStyle="1" w:styleId="TableGrid80">
    <w:name w:val="Table Grid 8_0"/>
    <w:basedOn w:val="TableNormal"/>
    <w:rsid w:val="007D7B3B"/>
    <w:pPr>
      <w:widowControl w:val="0"/>
      <w:jc w:val="right"/>
    </w:pPr>
    <w:rPr>
      <w:rFonts w:ascii="Times New Roman" w:eastAsia="宋体" w:hAnsi="Times New Roman" w:cs="Times New Roman"/>
      <w:kern w:val="0"/>
      <w:sz w:val="20"/>
      <w:szCs w:val="20"/>
    </w:rPr>
    <w:tblPr>
      <w:tblBorders>
        <w:top w:val="single" w:sz="6" w:space="0" w:color="000080"/>
        <w:left w:val="single" w:sz="6" w:space="0" w:color="000080"/>
        <w:bottom w:val="single" w:sz="6" w:space="0" w:color="000080"/>
        <w:right w:val="single" w:sz="6" w:space="0" w:color="000080"/>
        <w:insideH w:val="single" w:sz="6" w:space="0" w:color="000080"/>
        <w:insideV w:val="single" w:sz="6" w:space="0" w:color="000080"/>
      </w:tblBorders>
    </w:tblPr>
    <w:tcPr>
      <w:shd w:val="clear" w:color="auto" w:fill="auto"/>
      <w:vAlign w:val="center"/>
    </w:tcPr>
    <w:tblStylePr w:type="firstRow">
      <w:pPr>
        <w:jc w:val="center"/>
      </w:pPr>
      <w:rPr>
        <w:b/>
        <w:bCs/>
        <w:color w:val="FFFFFF"/>
      </w:rPr>
      <w:tblPr/>
      <w:tcPr>
        <w:shd w:val="solid" w:color="000080" w:fill="FFFFFF"/>
      </w:tcPr>
    </w:tblStylePr>
    <w:tblStylePr w:type="lastRow">
      <w:rPr>
        <w:b/>
        <w:bCs/>
        <w:color w:val="auto"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firstCol">
      <w:pPr>
        <w:jc w:val="both"/>
      </w:pPr>
    </w:tblStylePr>
    <w:tblStylePr w:type="lastCol">
      <w:rPr>
        <w:b/>
        <w:bCs/>
        <w:color w:val="auto"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nwCell">
      <w:pPr>
        <w:jc w:val="both"/>
      </w:pPr>
    </w:tblStylePr>
  </w:style>
  <w:style w:type="paragraph" w:customStyle="1" w:styleId="-02">
    <w:name w:val="数据-表格_0"/>
    <w:qFormat/>
    <w:rsid w:val="007D7B3B"/>
    <w:pPr>
      <w:spacing w:before="40" w:after="40"/>
    </w:pPr>
    <w:rPr>
      <w:rFonts w:ascii="Times New Roman" w:eastAsia="宋体" w:hAnsi="Times New Roman"/>
      <w:kern w:val="0"/>
      <w:szCs w:val="22"/>
      <w:lang w:val="en-IN" w:eastAsia="en-U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relyOnVML/>
  <w:allowPNG/>
</w:webSettings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chart" Target="charts/chart2.xml" /><Relationship Id="rId11" Type="http://schemas.openxmlformats.org/officeDocument/2006/relationships/chart" Target="charts/chart3.xml" /><Relationship Id="rId12" Type="http://schemas.openxmlformats.org/officeDocument/2006/relationships/chart" Target="charts/chart4.xml" /><Relationship Id="rId13" Type="http://schemas.openxmlformats.org/officeDocument/2006/relationships/chart" Target="charts/chart5.xml" /><Relationship Id="rId14" Type="http://schemas.openxmlformats.org/officeDocument/2006/relationships/chart" Target="charts/chart6.xml" /><Relationship Id="rId15" Type="http://schemas.openxmlformats.org/officeDocument/2006/relationships/chart" Target="charts/chart7.xml" /><Relationship Id="rId16" Type="http://schemas.openxmlformats.org/officeDocument/2006/relationships/chart" Target="charts/chart8.xml" /><Relationship Id="rId17" Type="http://schemas.openxmlformats.org/officeDocument/2006/relationships/chart" Target="charts/chart9.xml" /><Relationship Id="rId18" Type="http://schemas.openxmlformats.org/officeDocument/2006/relationships/chart" Target="charts/chart10.xml" /><Relationship Id="rId19" Type="http://schemas.openxmlformats.org/officeDocument/2006/relationships/chart" Target="charts/chart11.xml" /><Relationship Id="rId2" Type="http://schemas.openxmlformats.org/officeDocument/2006/relationships/webSettings" Target="webSettings.xml" /><Relationship Id="rId20" Type="http://schemas.openxmlformats.org/officeDocument/2006/relationships/chart" Target="charts/chart12.xml" /><Relationship Id="rId21" Type="http://schemas.openxmlformats.org/officeDocument/2006/relationships/chart" Target="charts/chart13.xml" /><Relationship Id="rId22" Type="http://schemas.openxmlformats.org/officeDocument/2006/relationships/chart" Target="charts/chart14.xml" /><Relationship Id="rId23" Type="http://schemas.openxmlformats.org/officeDocument/2006/relationships/chart" Target="charts/chart15.xml" /><Relationship Id="rId24" Type="http://schemas.openxmlformats.org/officeDocument/2006/relationships/chart" Target="charts/chart16.xml" /><Relationship Id="rId25" Type="http://schemas.openxmlformats.org/officeDocument/2006/relationships/chart" Target="charts/chart17.xml" /><Relationship Id="rId26" Type="http://schemas.openxmlformats.org/officeDocument/2006/relationships/chart" Target="charts/chart18.xml" /><Relationship Id="rId27" Type="http://schemas.openxmlformats.org/officeDocument/2006/relationships/image" Target="media/image1.png" /><Relationship Id="rId28" Type="http://schemas.openxmlformats.org/officeDocument/2006/relationships/image" Target="media/image2.png" /><Relationship Id="rId29" Type="http://schemas.openxmlformats.org/officeDocument/2006/relationships/chart" Target="charts/chart19.xml" /><Relationship Id="rId3" Type="http://schemas.openxmlformats.org/officeDocument/2006/relationships/fontTable" Target="fontTable.xml" /><Relationship Id="rId30" Type="http://schemas.openxmlformats.org/officeDocument/2006/relationships/chart" Target="charts/chart20.xml" /><Relationship Id="rId31" Type="http://schemas.openxmlformats.org/officeDocument/2006/relationships/footer" Target="footer3.xml" /><Relationship Id="rId32" Type="http://schemas.openxmlformats.org/officeDocument/2006/relationships/theme" Target="theme/theme1.xml" /><Relationship Id="rId33" Type="http://schemas.openxmlformats.org/officeDocument/2006/relationships/numbering" Target="numbering.xml" /><Relationship Id="rId34" Type="http://schemas.openxmlformats.org/officeDocument/2006/relationships/styles" Target="styles.xml" /><Relationship Id="rId4" Type="http://schemas.openxmlformats.org/officeDocument/2006/relationships/customXml" Target="../customXml/item1.xml" /><Relationship Id="rId5" Type="http://schemas.openxmlformats.org/officeDocument/2006/relationships/header" Target="header1.xml" /><Relationship Id="rId6" Type="http://schemas.openxmlformats.org/officeDocument/2006/relationships/footer" Target="footer1.xml" /><Relationship Id="rId7" Type="http://schemas.openxmlformats.org/officeDocument/2006/relationships/header" Target="header2.xml" /><Relationship Id="rId8" Type="http://schemas.openxmlformats.org/officeDocument/2006/relationships/footer" Target="footer2.xml" /><Relationship Id="rId9" Type="http://schemas.openxmlformats.org/officeDocument/2006/relationships/chart" Target="charts/chart1.xml" /></Relationships>
</file>

<file path=word/charts/_rels/chart1.xml.rels><?xml version="1.0" encoding="utf-8" standalone="yes"?><Relationships xmlns="http://schemas.openxmlformats.org/package/2006/relationships"><Relationship Id="rId1" Type="http://schemas.openxmlformats.org/officeDocument/2006/relationships/oleObject" Target="file:///D:/&#33410;&#36873;%20&#27169;&#26495;/2024&#24180;/QYR%20&#22270;&#34920;%2020231117.xlsx" TargetMode="External" /><Relationship Id="rId2" Type="http://schemas.openxmlformats.org/officeDocument/2006/relationships/chartUserShapes" Target="../drawings/drawing1.xml" /></Relationships>
</file>

<file path=word/charts/_rels/chart2.xml.rels><?xml version="1.0" encoding="utf-8" standalone="yes"?><Relationships xmlns="http://schemas.openxmlformats.org/package/2006/relationships"><Relationship Id="rId1" Type="http://schemas.openxmlformats.org/officeDocument/2006/relationships/oleObject" Target="file:///D:/&#33410;&#36873;%20&#27169;&#26495;/2024&#24180;/QYR%20&#22270;&#34920;%2020231117.xlsx" TargetMode="External" /><Relationship Id="rId2" Type="http://schemas.openxmlformats.org/officeDocument/2006/relationships/chartUserShapes" Target="../drawings/drawing2.xml" /></Relationships>
</file>

<file path=word/charts/_rels/chart3.xml.rels><?xml version="1.0" encoding="utf-8" standalone="yes"?><Relationships xmlns="http://schemas.openxmlformats.org/package/2006/relationships"><Relationship Id="rId1" Type="http://schemas.openxmlformats.org/officeDocument/2006/relationships/oleObject" Target="file:///D:/&#33410;&#36873;%20&#27169;&#26495;/2024&#24180;/QYR%20&#22270;&#34920;%2020231117.xlsx" TargetMode="External" /><Relationship Id="rId2" Type="http://schemas.openxmlformats.org/officeDocument/2006/relationships/chartUserShapes" Target="../drawings/drawing3.xml" /></Relationships>
</file>

<file path=word/charts/_rels/chart4.xml.rels><?xml version="1.0" encoding="utf-8" standalone="yes"?><Relationships xmlns="http://schemas.openxmlformats.org/package/2006/relationships"><Relationship Id="rId1" Type="http://schemas.openxmlformats.org/officeDocument/2006/relationships/oleObject" Target="file:///D:/&#33410;&#36873;%20&#27169;&#26495;/2024&#24180;/QYR%20&#22270;&#34920;%2020231117.xlsx" TargetMode="External" /><Relationship Id="rId2" Type="http://schemas.openxmlformats.org/officeDocument/2006/relationships/chartUserShapes" Target="../drawings/drawing4.xml" /></Relationships>
</file>

<file path=word/charts/_rels/chart5.xml.rels><?xml version="1.0" encoding="utf-8" standalone="yes"?><Relationships xmlns="http://schemas.openxmlformats.org/package/2006/relationships"><Relationship Id="rId1" Type="http://schemas.openxmlformats.org/officeDocument/2006/relationships/oleObject" Target="file:///D:/&#33410;&#36873;%20&#27169;&#26495;/2023&#24180;%20&#33410;&#36873;&#27169;&#26495;-&#36719;&#20214;&#24037;&#20855;&#29256;/QYR%20&#22270;&#34920;%2020221223.xlsx" TargetMode="External" /><Relationship Id="rId2" Type="http://schemas.microsoft.com/office/2011/relationships/chartColorStyle" Target="chart/colors1.xml" /><Relationship Id="rId3" Type="http://schemas.microsoft.com/office/2011/relationships/chartStyle" Target="chart/style1.xml" /></Relationships>
</file>

<file path=word/charts/_rels/chart6.xml.rels><?xml version="1.0" encoding="utf-8" standalone="yes"?><Relationships xmlns="http://schemas.openxmlformats.org/package/2006/relationships"><Relationship Id="rId1" Type="http://schemas.openxmlformats.org/officeDocument/2006/relationships/oleObject" Target="file:///D:/&#33410;&#36873;%20&#27169;&#26495;/2023&#24180;%20&#33410;&#36873;&#27169;&#26495;-&#36719;&#20214;&#24037;&#20855;&#29256;/QYR%20&#22270;&#34920;%2020221223.xlsx" TargetMode="External" /><Relationship Id="rId2" Type="http://schemas.microsoft.com/office/2011/relationships/chartColorStyle" Target="chart/colors2.xml" /><Relationship Id="rId3" Type="http://schemas.microsoft.com/office/2011/relationships/chartStyle" Target="chart/style2.xml" /></Relationships>
</file>

<file path=word/charts/_rels/chart7.xml.rels><?xml version="1.0" encoding="utf-8" standalone="yes"?><Relationships xmlns="http://schemas.openxmlformats.org/package/2006/relationships"><Relationship Id="rId1" Type="http://schemas.openxmlformats.org/officeDocument/2006/relationships/oleObject" Target="file:///D:/&#33410;&#36873;%20&#27169;&#26495;/2024&#24180;/QYR%20&#22270;&#34920;%2020231117.xlsx" TargetMode="External" /><Relationship Id="rId2" Type="http://schemas.openxmlformats.org/officeDocument/2006/relationships/chartUserShapes" Target="../drawings/drawing5.xml" /></Relationships>
</file>

<file path=word/charts/_rels/chart8.xml.rels><?xml version="1.0" encoding="utf-8" standalone="yes"?><Relationships xmlns="http://schemas.openxmlformats.org/package/2006/relationships"><Relationship Id="rId1" Type="http://schemas.openxmlformats.org/officeDocument/2006/relationships/oleObject" Target="file:///D:/&#33410;&#36873;%20&#27169;&#26495;/2024&#24180;/QYR%20&#22270;&#34920;%2020231117.xlsx" TargetMode="External" /><Relationship Id="rId2" Type="http://schemas.openxmlformats.org/officeDocument/2006/relationships/chartUserShapes" Target="../drawings/drawing6.xml" /></Relationships>
</file>

<file path=word/charts/_rels/chart9.xml.rels><?xml version="1.0" encoding="utf-8" standalone="yes"?><Relationships xmlns="http://schemas.openxmlformats.org/package/2006/relationships"><Relationship Id="rId1" Type="http://schemas.openxmlformats.org/officeDocument/2006/relationships/oleObject" Target="file:///D:/&#33410;&#36873;%20&#27169;&#26495;/2024&#24180;/QYR%20&#22270;&#34920;%2020231117.xlsx" TargetMode="External" /><Relationship Id="rId2" Type="http://schemas.openxmlformats.org/officeDocument/2006/relationships/chartUserShapes" Target="../drawings/drawing7.xml" /></Relationships>
</file>

<file path=word/charts/_rels/chart10.xml.rels><?xml version="1.0" encoding="utf-8" standalone="yes"?><Relationships xmlns="http://schemas.openxmlformats.org/package/2006/relationships"><Relationship Id="rId1" Type="http://schemas.openxmlformats.org/officeDocument/2006/relationships/oleObject" Target="file:///D:/&#33410;&#36873;%20&#27169;&#26495;/2024&#24180;/QYR%20&#22270;&#34920;%2020231117.xlsx" TargetMode="External" /><Relationship Id="rId2" Type="http://schemas.openxmlformats.org/officeDocument/2006/relationships/chartUserShapes" Target="../drawings/drawing8.xml" /></Relationships>
</file>

<file path=word/charts/_rels/chart11.xml.rels><?xml version="1.0" encoding="utf-8" standalone="yes"?><Relationships xmlns="http://schemas.openxmlformats.org/package/2006/relationships"><Relationship Id="rId1" Type="http://schemas.openxmlformats.org/officeDocument/2006/relationships/oleObject" Target="file:///D:/&#33410;&#36873;%20&#27169;&#26495;/2024&#24180;/QYR%20&#22270;&#34920;%2020231117.xlsx" TargetMode="External" /><Relationship Id="rId2" Type="http://schemas.openxmlformats.org/officeDocument/2006/relationships/chartUserShapes" Target="../drawings/drawing9.xml" /></Relationships>
</file>

<file path=word/charts/_rels/chart12.xml.rels><?xml version="1.0" encoding="utf-8" standalone="yes"?><Relationships xmlns="http://schemas.openxmlformats.org/package/2006/relationships"><Relationship Id="rId1" Type="http://schemas.openxmlformats.org/officeDocument/2006/relationships/oleObject" Target="file:///D:/&#33410;&#36873;%20&#27169;&#26495;/2024&#24180;/QYR%20&#22270;&#34920;%2020231117.xlsx" TargetMode="External" /><Relationship Id="rId2" Type="http://schemas.openxmlformats.org/officeDocument/2006/relationships/chartUserShapes" Target="../drawings/drawing10.xml" /></Relationships>
</file>

<file path=word/charts/_rels/chart13.xml.rels><?xml version="1.0" encoding="utf-8" standalone="yes"?><Relationships xmlns="http://schemas.openxmlformats.org/package/2006/relationships"><Relationship Id="rId1" Type="http://schemas.openxmlformats.org/officeDocument/2006/relationships/oleObject" Target="file:///D:/&#33410;&#36873;%20&#27169;&#26495;/2024&#24180;/QYR%20&#22270;&#34920;%2020231117.xlsx" TargetMode="External" /><Relationship Id="rId2" Type="http://schemas.openxmlformats.org/officeDocument/2006/relationships/chartUserShapes" Target="../drawings/drawing11.xml" /></Relationships>
</file>

<file path=word/charts/_rels/chart14.xml.rels><?xml version="1.0" encoding="utf-8" standalone="yes"?><Relationships xmlns="http://schemas.openxmlformats.org/package/2006/relationships"><Relationship Id="rId1" Type="http://schemas.openxmlformats.org/officeDocument/2006/relationships/oleObject" Target="file:///D:/&#33410;&#36873;%20&#27169;&#26495;/2024&#24180;/QYR%20&#22270;&#34920;%2020231117.xlsx" TargetMode="External" /><Relationship Id="rId2" Type="http://schemas.openxmlformats.org/officeDocument/2006/relationships/chartUserShapes" Target="../drawings/drawing12.xml" /></Relationships>
</file>

<file path=word/charts/_rels/chart15.xml.rels><?xml version="1.0" encoding="utf-8" standalone="yes"?><Relationships xmlns="http://schemas.openxmlformats.org/package/2006/relationships"><Relationship Id="rId1" Type="http://schemas.openxmlformats.org/officeDocument/2006/relationships/oleObject" Target="file:///D:/&#33410;&#36873;%20&#27169;&#26495;/2024&#24180;/QYR%20&#22270;&#34920;%2020231117.xlsx" TargetMode="External" /><Relationship Id="rId2" Type="http://schemas.openxmlformats.org/officeDocument/2006/relationships/chartUserShapes" Target="../drawings/drawing13.xml" /></Relationships>
</file>

<file path=word/charts/_rels/chart16.xml.rels><?xml version="1.0" encoding="utf-8" standalone="yes"?><Relationships xmlns="http://schemas.openxmlformats.org/package/2006/relationships"><Relationship Id="rId1" Type="http://schemas.openxmlformats.org/officeDocument/2006/relationships/oleObject" Target="file:///D:/&#33410;&#36873;%20&#27169;&#26495;/2024&#24180;/QYR%20&#22270;&#34920;%2020231117.xlsx" TargetMode="External" /><Relationship Id="rId2" Type="http://schemas.openxmlformats.org/officeDocument/2006/relationships/chartUserShapes" Target="../drawings/drawing14.xml" /></Relationships>
</file>

<file path=word/charts/_rels/chart17.xml.rels><?xml version="1.0" encoding="utf-8" standalone="yes"?><Relationships xmlns="http://schemas.openxmlformats.org/package/2006/relationships"><Relationship Id="rId1" Type="http://schemas.openxmlformats.org/officeDocument/2006/relationships/oleObject" Target="file:///D:/&#33410;&#36873;%20&#27169;&#26495;/2024&#24180;/QYR%20&#22270;&#34920;%2020231117.xlsx" TargetMode="External" /><Relationship Id="rId2" Type="http://schemas.openxmlformats.org/officeDocument/2006/relationships/chartUserShapes" Target="../drawings/drawing15.xml" /></Relationships>
</file>

<file path=word/charts/_rels/chart18.xml.rels><?xml version="1.0" encoding="utf-8" standalone="yes"?><Relationships xmlns="http://schemas.openxmlformats.org/package/2006/relationships"><Relationship Id="rId1" Type="http://schemas.openxmlformats.org/officeDocument/2006/relationships/oleObject" Target="file:///D:/&#33410;&#36873;%20&#27169;&#26495;/2024&#24180;/QYR%20&#22270;&#34920;%2020231117.xlsx" TargetMode="External" /><Relationship Id="rId2" Type="http://schemas.openxmlformats.org/officeDocument/2006/relationships/chartUserShapes" Target="../drawings/drawing16.xml" /></Relationships>
</file>

<file path=word/charts/_rels/chart19.xml.rels><?xml version="1.0" encoding="utf-8" standalone="yes"?><Relationships xmlns="http://schemas.openxmlformats.org/package/2006/relationships"><Relationship Id="rId1" Type="http://schemas.openxmlformats.org/officeDocument/2006/relationships/oleObject" Target="file:///G:/&#33410;&#36873;%20&#27169;&#26495;/QYR%20&#22270;&#34920;%2020211027.xlsx" TargetMode="External" /><Relationship Id="rId2" Type="http://schemas.microsoft.com/office/2011/relationships/chartColorStyle" Target="chart/colors3.xml" /><Relationship Id="rId3" Type="http://schemas.microsoft.com/office/2011/relationships/chartStyle" Target="chart/style3.xml" /></Relationships>
</file>

<file path=word/charts/_rels/chart20.xml.rels><?xml version="1.0" encoding="utf-8" standalone="yes"?><Relationships xmlns="http://schemas.openxmlformats.org/package/2006/relationships"><Relationship Id="rId1" Type="http://schemas.openxmlformats.org/officeDocument/2006/relationships/oleObject" Target="file:///G:/&#33410;&#36873;%20&#27169;&#26495;/QYR%20&#22270;&#34920;%2020191208.xlsx" TargetMode="External" /><Relationship Id="rId2" Type="http://schemas.microsoft.com/office/2011/relationships/chartColorStyle" Target="chart/colors4.xml" /><Relationship Id="rId3" Type="http://schemas.microsoft.com/office/2011/relationships/chartStyle" Target="chart/style4.xml" /></Relationships>
</file>

<file path=word/charts/chart/colors1.xml><?xml version="1.0" encoding="utf-8"?>
<cs:colorStyle xmlns:cs="http://schemas.microsoft.com/office/drawing/2012/chartStyle" xmlns:a="http://schemas.openxmlformats.org/drawingml/2006/main" meth="cycle" id="10">
  <a:schemeClr val="accent1"/>
  <a:schemeClr val="accent2"/>
  <a:schemeClr val="accent3"/>
  <a:schemeClr val="accent4"/>
  <a:schemeClr val="accent5"/>
  <a:schemeClr val="accent6"/>
  <cs:variation/>
  <cs:variation>
    <a:lumMod val="60000"/>
  </cs:variation>
  <cs:variation>
    <a:lumMod val="80000"/>
    <a:lumOff val="20000"/>
  </cs:variation>
  <cs:variation>
    <a:lumMod val="80000"/>
  </cs:variation>
  <cs:variation>
    <a:lumMod val="60000"/>
    <a:lumOff val="40000"/>
  </cs:variation>
  <cs:variation>
    <a:lumMod val="50000"/>
  </cs:variation>
  <cs:variation>
    <a:lumMod val="70000"/>
    <a:lumOff val="30000"/>
  </cs:variation>
  <cs:variation>
    <a:lumMod val="70000"/>
  </cs:variation>
  <cs:variation>
    <a:lumMod val="50000"/>
    <a:lumOff val="50000"/>
  </cs:variation>
</cs:colorStyle>
</file>

<file path=word/charts/chart/colors2.xml><?xml version="1.0" encoding="utf-8"?>
<cs:colorStyle xmlns:cs="http://schemas.microsoft.com/office/drawing/2012/chartStyle" xmlns:a="http://schemas.openxmlformats.org/drawingml/2006/main" meth="cycle" id="10">
  <a:schemeClr val="accent1"/>
  <a:schemeClr val="accent2"/>
  <a:schemeClr val="accent3"/>
  <a:schemeClr val="accent4"/>
  <a:schemeClr val="accent5"/>
  <a:schemeClr val="accent6"/>
  <cs:variation/>
  <cs:variation>
    <a:lumMod val="60000"/>
  </cs:variation>
  <cs:variation>
    <a:lumMod val="80000"/>
    <a:lumOff val="20000"/>
  </cs:variation>
  <cs:variation>
    <a:lumMod val="80000"/>
  </cs:variation>
  <cs:variation>
    <a:lumMod val="60000"/>
    <a:lumOff val="40000"/>
  </cs:variation>
  <cs:variation>
    <a:lumMod val="50000"/>
  </cs:variation>
  <cs:variation>
    <a:lumMod val="70000"/>
    <a:lumOff val="30000"/>
  </cs:variation>
  <cs:variation>
    <a:lumMod val="70000"/>
  </cs:variation>
  <cs:variation>
    <a:lumMod val="50000"/>
    <a:lumOff val="50000"/>
  </cs:variation>
</cs:colorStyle>
</file>

<file path=word/charts/chart/colors3.xml><?xml version="1.0" encoding="utf-8"?>
<cs:colorStyle xmlns:cs="http://schemas.microsoft.com/office/drawing/2012/chartStyle" xmlns:a="http://schemas.openxmlformats.org/drawingml/2006/main" meth="cycle" id="10">
  <a:schemeClr val="accent1"/>
  <a:schemeClr val="accent2"/>
  <a:schemeClr val="accent3"/>
  <a:schemeClr val="accent4"/>
  <a:schemeClr val="accent5"/>
  <a:schemeClr val="accent6"/>
  <cs:variation/>
  <cs:variation>
    <a:lumMod val="60000"/>
  </cs:variation>
  <cs:variation>
    <a:lumMod val="80000"/>
    <a:lumOff val="20000"/>
  </cs:variation>
  <cs:variation>
    <a:lumMod val="80000"/>
  </cs:variation>
  <cs:variation>
    <a:lumMod val="60000"/>
    <a:lumOff val="40000"/>
  </cs:variation>
  <cs:variation>
    <a:lumMod val="50000"/>
  </cs:variation>
  <cs:variation>
    <a:lumMod val="70000"/>
    <a:lumOff val="30000"/>
  </cs:variation>
  <cs:variation>
    <a:lumMod val="70000"/>
  </cs:variation>
  <cs:variation>
    <a:lumMod val="50000"/>
    <a:lumOff val="50000"/>
  </cs:variation>
</cs:colorStyle>
</file>

<file path=word/charts/chart/colors4.xml><?xml version="1.0" encoding="utf-8"?>
<cs:colorStyle xmlns:cs="http://schemas.microsoft.com/office/drawing/2012/chartStyle" xmlns:a="http://schemas.openxmlformats.org/drawingml/2006/main" meth="cycle" id="10">
  <a:schemeClr val="accent1"/>
  <a:schemeClr val="accent2"/>
  <a:schemeClr val="accent3"/>
  <a:schemeClr val="accent4"/>
  <a:schemeClr val="accent5"/>
  <a:schemeClr val="accent6"/>
  <cs:variation/>
  <cs:variation>
    <a:lumMod val="60000"/>
  </cs:variation>
  <cs:variation>
    <a:lumMod val="80000"/>
    <a:lumOff val="20000"/>
  </cs:variation>
  <cs:variation>
    <a:lumMod val="80000"/>
  </cs:variation>
  <cs:variation>
    <a:lumMod val="60000"/>
    <a:lumOff val="40000"/>
  </cs:variation>
  <cs:variation>
    <a:lumMod val="50000"/>
  </cs:variation>
  <cs:variation>
    <a:lumMod val="70000"/>
    <a:lumOff val="30000"/>
  </cs:variation>
  <cs:variation>
    <a:lumMod val="70000"/>
  </cs:variation>
  <cs:variation>
    <a:lumMod val="50000"/>
    <a:lumOff val="50000"/>
  </cs:variation>
</cs:colorStyle>
</file>

<file path=word/charts/chart/style1.xml><?xml version="1.0" encoding="utf-8"?>
<cs:chartStyle xmlns:cs="http://schemas.microsoft.com/office/drawing/2012/chartStyle" xmlns:a="http://schemas.openxmlformats.org/drawingml/2006/main" id="297">
  <cs:axisTitle>
    <cs:lnRef idx="0"/>
    <cs:fillRef idx="0"/>
    <cs:effectRef idx="0"/>
    <cs:fontRef idx="minor">
      <a:schemeClr val="tx1">
        <a:lumMod val="65000"/>
        <a:lumOff val="35000"/>
      </a:schemeClr>
    </cs:fontRef>
    <cs:defRPr sz="1000" kern="1200"/>
  </cs:axisTitle>
  <cs:categoryAxis>
    <cs:lnRef idx="0"/>
    <cs:fillRef idx="0"/>
    <cs:effectRef idx="0"/>
    <cs:fontRef idx="minor">
      <a:schemeClr val="tx1">
        <a:lumMod val="65000"/>
        <a:lumOff val="35000"/>
      </a:schemeClr>
    </cs:fontRef>
    <cs:spPr>
      <a:ln w="9525">
        <a:solidFill>
          <a:schemeClr val="tx1">
            <a:lumMod val="15000"/>
            <a:lumOff val="85000"/>
          </a:schemeClr>
        </a:solidFill>
        <a:round/>
      </a:ln>
    </cs:spPr>
    <cs:defRPr sz="900" kern="1200"/>
  </cs:categoryAxis>
  <cs:chartArea mods="allowNoFillOverride allowNoLineOverride">
    <cs:lnRef idx="0"/>
    <cs:fillRef idx="0"/>
    <cs:effectRef idx="0"/>
    <cs:fontRef idx="minor">
      <a:schemeClr val="tx1"/>
    </cs:fontRef>
    <cs:spPr>
      <a:solidFill>
        <a:schemeClr val="bg1"/>
      </a:solidFill>
      <a:ln w="9525">
        <a:solidFill>
          <a:schemeClr val="tx1">
            <a:lumMod val="15000"/>
            <a:lumOff val="85000"/>
          </a:schemeClr>
        </a:solidFill>
        <a:round/>
      </a:ln>
    </cs:spPr>
    <cs:defRPr sz="1000" kern="1200"/>
  </cs:chartArea>
  <cs:dataLabel>
    <cs:lnRef idx="0"/>
    <cs:fillRef idx="0"/>
    <cs:effectRef idx="0"/>
    <cs:fontRef idx="minor">
      <a:schemeClr val="tx1">
        <a:lumMod val="75000"/>
        <a:lumOff val="25000"/>
      </a:schemeClr>
    </cs:fontRef>
    <cs:defRPr sz="900" kern="1200"/>
  </cs:dataLabel>
  <cs:dataLabelCallout>
    <cs:lnRef idx="0"/>
    <cs:fillRef idx="0"/>
    <cs:effectRef idx="0"/>
    <cs:fontRef idx="minor">
      <a:schemeClr val="dk1">
        <a:lumMod val="65000"/>
        <a:lumOff val="35000"/>
      </a:schemeClr>
    </cs:fontRef>
    <cs:spPr>
      <a:solidFill>
        <a:schemeClr val="lt1"/>
      </a:solidFill>
      <a:ln>
        <a:solidFill>
          <a:schemeClr val="dk1">
            <a:lumMod val="25000"/>
            <a:lumOff val="75000"/>
          </a:schemeClr>
        </a:solidFill>
      </a:ln>
    </cs:spPr>
    <cs:defRPr sz="900" kern="1200"/>
    <cs:bodyPr rot="0" spcFirstLastPara="1" vertOverflow="clip" horzOverflow="clip" vert="horz" wrap="square" lIns="36576" tIns="18288" rIns="36576" bIns="18288" anchor="ctr" anchorCtr="1">
      <a:spAutoFit/>
    </cs:bodyPr>
  </cs:dataLabelCallout>
  <cs:dataPoint>
    <cs:lnRef idx="0"/>
    <cs:fillRef idx="1">
      <cs:styleClr val="auto"/>
    </cs:fillRef>
    <cs:effectRef idx="0"/>
    <cs:fontRef idx="minor">
      <a:schemeClr val="tx1"/>
    </cs:fontRef>
  </cs:dataPoint>
  <cs:dataPoint3D>
    <cs:lnRef idx="0"/>
    <cs:fillRef idx="1">
      <cs:styleClr val="auto"/>
    </cs:fillRef>
    <cs:effectRef idx="0"/>
    <cs:fontRef idx="minor">
      <a:schemeClr val="tx1"/>
    </cs:fontRef>
  </cs:dataPoint3D>
  <cs:dataPointLine>
    <cs:lnRef idx="0">
      <cs:styleClr val="auto"/>
    </cs:lnRef>
    <cs:fillRef idx="1"/>
    <cs:effectRef idx="0"/>
    <cs:fontRef idx="minor">
      <a:schemeClr val="tx1"/>
    </cs:fontRef>
    <cs:spPr>
      <a:ln w="28575" cap="rnd">
        <a:solidFill>
          <a:schemeClr val="phClr"/>
        </a:solidFill>
        <a:round/>
      </a:ln>
    </cs:spPr>
  </cs:dataPointLine>
  <cs:dataPointMarker>
    <cs:lnRef idx="0">
      <cs:styleClr val="auto"/>
    </cs:lnRef>
    <cs:fillRef idx="1">
      <cs:styleClr val="auto"/>
    </cs:fillRef>
    <cs:effectRef idx="0"/>
    <cs:fontRef idx="minor">
      <a:schemeClr val="tx1"/>
    </cs:fontRef>
    <cs:spPr>
      <a:ln w="9525">
        <a:solidFill>
          <a:schemeClr val="phClr"/>
        </a:solidFill>
      </a:ln>
    </cs:spPr>
  </cs:dataPointMarker>
  <cs:dataPointMarkerLayout symbol="circle" size="5"/>
  <cs:dataPointWireframe>
    <cs:lnRef idx="0">
      <cs:styleClr val="auto"/>
    </cs:lnRef>
    <cs:fillRef idx="1"/>
    <cs:effectRef idx="0"/>
    <cs:fontRef idx="minor">
      <a:schemeClr val="tx1"/>
    </cs:fontRef>
    <cs:spPr>
      <a:ln w="9525" cap="rnd">
        <a:solidFill>
          <a:schemeClr val="phClr"/>
        </a:solidFill>
        <a:round/>
      </a:ln>
    </cs:spPr>
  </cs:dataPointWireframe>
  <cs:dataTable>
    <cs:lnRef idx="0"/>
    <cs:fillRef idx="0"/>
    <cs:effectRef idx="0"/>
    <cs:fontRef idx="minor">
      <a:schemeClr val="tx1">
        <a:lumMod val="65000"/>
        <a:lumOff val="35000"/>
      </a:schemeClr>
    </cs:fontRef>
    <cs:spPr>
      <a:noFill/>
      <a:ln w="9525">
        <a:solidFill>
          <a:schemeClr val="tx1">
            <a:lumMod val="15000"/>
            <a:lumOff val="85000"/>
          </a:schemeClr>
        </a:solidFill>
        <a:round/>
      </a:ln>
    </cs:spPr>
    <cs:defRPr sz="900" kern="1200"/>
  </cs:dataTable>
  <cs:downBar>
    <cs:lnRef idx="0"/>
    <cs:fillRef idx="0"/>
    <cs:effectRef idx="0"/>
    <cs:fontRef idx="minor">
      <a:schemeClr val="tx1"/>
    </cs:fontRef>
    <cs:spPr>
      <a:solidFill>
        <a:schemeClr val="dk1">
          <a:lumMod val="75000"/>
          <a:lumOff val="25000"/>
        </a:schemeClr>
      </a:solidFill>
      <a:ln w="9525">
        <a:solidFill>
          <a:schemeClr val="tx1">
            <a:lumMod val="65000"/>
            <a:lumOff val="35000"/>
          </a:schemeClr>
        </a:solidFill>
        <a:round/>
      </a:ln>
    </cs:spPr>
  </cs:downBar>
  <cs:dropLine>
    <cs:lnRef idx="0"/>
    <cs:fillRef idx="0"/>
    <cs:effectRef idx="0"/>
    <cs:fontRef idx="minor">
      <a:schemeClr val="tx1"/>
    </cs:fontRef>
    <cs:spPr>
      <a:ln w="9525">
        <a:solidFill>
          <a:schemeClr val="tx1">
            <a:lumMod val="35000"/>
            <a:lumOff val="65000"/>
          </a:schemeClr>
        </a:solidFill>
        <a:round/>
      </a:ln>
    </cs:spPr>
  </cs:dropLine>
  <cs:errorBar>
    <cs:lnRef idx="0"/>
    <cs:fillRef idx="0"/>
    <cs:effectRef idx="0"/>
    <cs:fontRef idx="minor">
      <a:schemeClr val="tx1"/>
    </cs:fontRef>
    <cs:spPr>
      <a:ln w="9525">
        <a:solidFill>
          <a:schemeClr val="tx1">
            <a:lumMod val="65000"/>
            <a:lumOff val="35000"/>
          </a:schemeClr>
        </a:solidFill>
        <a:round/>
      </a:ln>
    </cs:spPr>
  </cs:errorBar>
  <cs:floor>
    <cs:lnRef idx="0"/>
    <cs:fillRef idx="0"/>
    <cs:effectRef idx="0"/>
    <cs:fontRef idx="minor">
      <a:schemeClr val="tx1"/>
    </cs:fontRef>
    <cs:spPr>
      <a:noFill/>
      <a:ln>
        <a:noFill/>
      </a:ln>
    </cs:spPr>
  </cs:floor>
  <cs:gridlineMajor>
    <cs:lnRef idx="0"/>
    <cs:fillRef idx="0"/>
    <cs:effectRef idx="0"/>
    <cs:fontRef idx="minor">
      <a:schemeClr val="tx1"/>
    </cs:fontRef>
    <cs:spPr>
      <a:ln w="9525">
        <a:solidFill>
          <a:schemeClr val="tx1">
            <a:lumMod val="15000"/>
            <a:lumOff val="85000"/>
          </a:schemeClr>
        </a:solidFill>
        <a:round/>
      </a:ln>
    </cs:spPr>
  </cs:gridlineMajor>
  <cs:gridlineMinor>
    <cs:lnRef idx="0"/>
    <cs:fillRef idx="0"/>
    <cs:effectRef idx="0"/>
    <cs:fontRef idx="minor">
      <a:schemeClr val="tx1"/>
    </cs:fontRef>
    <cs:spPr>
      <a:ln w="9525">
        <a:solidFill>
          <a:schemeClr val="tx1">
            <a:lumMod val="5000"/>
            <a:lumOff val="95000"/>
          </a:schemeClr>
        </a:solidFill>
        <a:round/>
      </a:ln>
    </cs:spPr>
  </cs:gridlineMinor>
  <cs:hiLoLine>
    <cs:lnRef idx="0"/>
    <cs:fillRef idx="0"/>
    <cs:effectRef idx="0"/>
    <cs:fontRef idx="minor">
      <a:schemeClr val="tx1"/>
    </cs:fontRef>
    <cs:spPr>
      <a:ln w="9525">
        <a:solidFill>
          <a:schemeClr val="tx1">
            <a:lumMod val="50000"/>
            <a:lumOff val="50000"/>
          </a:schemeClr>
        </a:solidFill>
        <a:round/>
      </a:ln>
    </cs:spPr>
  </cs:hiLoLine>
  <cs:leaderLine>
    <cs:lnRef idx="0"/>
    <cs:fillRef idx="0"/>
    <cs:effectRef idx="0"/>
    <cs:fontRef idx="minor">
      <a:schemeClr val="tx1"/>
    </cs:fontRef>
    <cs:spPr>
      <a:ln w="9525">
        <a:solidFill>
          <a:schemeClr val="tx1">
            <a:lumMod val="35000"/>
            <a:lumOff val="65000"/>
          </a:schemeClr>
        </a:solidFill>
        <a:round/>
      </a:ln>
    </cs:spPr>
  </cs:leaderLine>
  <cs:legend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legend>
  <cs:plotArea mods="allowNoFillOverride allowNoLineOverride">
    <cs:lnRef idx="0"/>
    <cs:fillRef idx="0"/>
    <cs:effectRef idx="0"/>
    <cs:fontRef idx="minor">
      <a:schemeClr val="tx1"/>
    </cs:fontRef>
  </cs:plotArea>
  <cs:plotArea3D mods="allowNoFillOverride allowNoLineOverride">
    <cs:lnRef idx="0"/>
    <cs:fillRef idx="0"/>
    <cs:effectRef idx="0"/>
    <cs:fontRef idx="minor">
      <a:schemeClr val="tx1"/>
    </cs:fontRef>
  </cs:plotArea3D>
  <cs:seriesAxis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seriesAxis>
  <cs:seriesLine>
    <cs:lnRef idx="0"/>
    <cs:fillRef idx="0"/>
    <cs:effectRef idx="0"/>
    <cs:fontRef idx="minor">
      <a:schemeClr val="tx1"/>
    </cs:fontRef>
    <cs:spPr>
      <a:ln w="9525">
        <a:solidFill>
          <a:schemeClr val="tx1">
            <a:lumMod val="35000"/>
            <a:lumOff val="65000"/>
          </a:schemeClr>
        </a:solidFill>
        <a:round/>
      </a:ln>
    </cs:spPr>
  </cs:seriesLine>
  <cs:title>
    <cs:lnRef idx="0"/>
    <cs:fillRef idx="0"/>
    <cs:effectRef idx="0"/>
    <cs:fontRef idx="minor">
      <a:schemeClr val="tx1">
        <a:lumMod val="65000"/>
        <a:lumOff val="35000"/>
      </a:schemeClr>
    </cs:fontRef>
    <cs:defRPr sz="1400" b="0" kern="1200" spc="0" baseline="0"/>
  </cs:title>
  <cs:trendline>
    <cs:lnRef idx="0">
      <cs:styleClr val="auto"/>
    </cs:lnRef>
    <cs:fillRef idx="0"/>
    <cs:effectRef idx="0"/>
    <cs:fontRef idx="minor">
      <a:schemeClr val="tx1"/>
    </cs:fontRef>
    <cs:spPr>
      <a:ln w="19050" cap="rnd">
        <a:solidFill>
          <a:schemeClr val="phClr"/>
        </a:solidFill>
        <a:prstDash val="sysDot"/>
      </a:ln>
    </cs:spPr>
  </cs:trendline>
  <cs:trendlineLabel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trendlineLabel>
  <cs:upBar>
    <cs:lnRef idx="0"/>
    <cs:fillRef idx="0"/>
    <cs:effectRef idx="0"/>
    <cs:fontRef idx="minor">
      <a:schemeClr val="tx1"/>
    </cs:fontRef>
    <cs:spPr>
      <a:solidFill>
        <a:schemeClr val="lt1"/>
      </a:solidFill>
      <a:ln w="9525">
        <a:solidFill>
          <a:schemeClr val="tx1">
            <a:lumMod val="65000"/>
            <a:lumOff val="35000"/>
          </a:schemeClr>
        </a:solidFill>
        <a:round/>
      </a:ln>
    </cs:spPr>
  </cs:upBar>
  <cs:valueAxis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valueAxis>
  <cs:wall>
    <cs:lnRef idx="0"/>
    <cs:fillRef idx="0"/>
    <cs:effectRef idx="0"/>
    <cs:fontRef idx="minor">
      <a:schemeClr val="tx1"/>
    </cs:fontRef>
    <cs:spPr>
      <a:noFill/>
      <a:ln>
        <a:noFill/>
      </a:ln>
    </cs:spPr>
  </cs:wall>
</cs:chartStyle>
</file>

<file path=word/charts/chart/style2.xml><?xml version="1.0" encoding="utf-8"?>
<cs:chartStyle xmlns:cs="http://schemas.microsoft.com/office/drawing/2012/chartStyle" xmlns:a="http://schemas.openxmlformats.org/drawingml/2006/main" id="297">
  <cs:axisTitle>
    <cs:lnRef idx="0"/>
    <cs:fillRef idx="0"/>
    <cs:effectRef idx="0"/>
    <cs:fontRef idx="minor">
      <a:schemeClr val="tx1">
        <a:lumMod val="65000"/>
        <a:lumOff val="35000"/>
      </a:schemeClr>
    </cs:fontRef>
    <cs:defRPr sz="1000" kern="1200"/>
  </cs:axisTitle>
  <cs:categoryAxis>
    <cs:lnRef idx="0"/>
    <cs:fillRef idx="0"/>
    <cs:effectRef idx="0"/>
    <cs:fontRef idx="minor">
      <a:schemeClr val="tx1">
        <a:lumMod val="65000"/>
        <a:lumOff val="35000"/>
      </a:schemeClr>
    </cs:fontRef>
    <cs:spPr>
      <a:ln w="9525">
        <a:solidFill>
          <a:schemeClr val="tx1">
            <a:lumMod val="15000"/>
            <a:lumOff val="85000"/>
          </a:schemeClr>
        </a:solidFill>
        <a:round/>
      </a:ln>
    </cs:spPr>
    <cs:defRPr sz="900" kern="1200"/>
  </cs:categoryAxis>
  <cs:chartArea mods="allowNoFillOverride allowNoLineOverride">
    <cs:lnRef idx="0"/>
    <cs:fillRef idx="0"/>
    <cs:effectRef idx="0"/>
    <cs:fontRef idx="minor">
      <a:schemeClr val="tx1"/>
    </cs:fontRef>
    <cs:spPr>
      <a:solidFill>
        <a:schemeClr val="bg1"/>
      </a:solidFill>
      <a:ln w="9525">
        <a:solidFill>
          <a:schemeClr val="tx1">
            <a:lumMod val="15000"/>
            <a:lumOff val="85000"/>
          </a:schemeClr>
        </a:solidFill>
        <a:round/>
      </a:ln>
    </cs:spPr>
    <cs:defRPr sz="1000" kern="1200"/>
  </cs:chartArea>
  <cs:dataLabel>
    <cs:lnRef idx="0"/>
    <cs:fillRef idx="0"/>
    <cs:effectRef idx="0"/>
    <cs:fontRef idx="minor">
      <a:schemeClr val="tx1">
        <a:lumMod val="75000"/>
        <a:lumOff val="25000"/>
      </a:schemeClr>
    </cs:fontRef>
    <cs:defRPr sz="900" kern="1200"/>
  </cs:dataLabel>
  <cs:dataLabelCallout>
    <cs:lnRef idx="0"/>
    <cs:fillRef idx="0"/>
    <cs:effectRef idx="0"/>
    <cs:fontRef idx="minor">
      <a:schemeClr val="dk1">
        <a:lumMod val="65000"/>
        <a:lumOff val="35000"/>
      </a:schemeClr>
    </cs:fontRef>
    <cs:spPr>
      <a:solidFill>
        <a:schemeClr val="lt1"/>
      </a:solidFill>
      <a:ln>
        <a:solidFill>
          <a:schemeClr val="dk1">
            <a:lumMod val="25000"/>
            <a:lumOff val="75000"/>
          </a:schemeClr>
        </a:solidFill>
      </a:ln>
    </cs:spPr>
    <cs:defRPr sz="900" kern="1200"/>
    <cs:bodyPr rot="0" spcFirstLastPara="1" vertOverflow="clip" horzOverflow="clip" vert="horz" wrap="square" lIns="36576" tIns="18288" rIns="36576" bIns="18288" anchor="ctr" anchorCtr="1">
      <a:spAutoFit/>
    </cs:bodyPr>
  </cs:dataLabelCallout>
  <cs:dataPoint>
    <cs:lnRef idx="0"/>
    <cs:fillRef idx="1">
      <cs:styleClr val="auto"/>
    </cs:fillRef>
    <cs:effectRef idx="0"/>
    <cs:fontRef idx="minor">
      <a:schemeClr val="tx1"/>
    </cs:fontRef>
  </cs:dataPoint>
  <cs:dataPoint3D>
    <cs:lnRef idx="0"/>
    <cs:fillRef idx="1">
      <cs:styleClr val="auto"/>
    </cs:fillRef>
    <cs:effectRef idx="0"/>
    <cs:fontRef idx="minor">
      <a:schemeClr val="tx1"/>
    </cs:fontRef>
  </cs:dataPoint3D>
  <cs:dataPointLine>
    <cs:lnRef idx="0">
      <cs:styleClr val="auto"/>
    </cs:lnRef>
    <cs:fillRef idx="1"/>
    <cs:effectRef idx="0"/>
    <cs:fontRef idx="minor">
      <a:schemeClr val="tx1"/>
    </cs:fontRef>
    <cs:spPr>
      <a:ln w="28575" cap="rnd">
        <a:solidFill>
          <a:schemeClr val="phClr"/>
        </a:solidFill>
        <a:round/>
      </a:ln>
    </cs:spPr>
  </cs:dataPointLine>
  <cs:dataPointMarker>
    <cs:lnRef idx="0">
      <cs:styleClr val="auto"/>
    </cs:lnRef>
    <cs:fillRef idx="1">
      <cs:styleClr val="auto"/>
    </cs:fillRef>
    <cs:effectRef idx="0"/>
    <cs:fontRef idx="minor">
      <a:schemeClr val="tx1"/>
    </cs:fontRef>
    <cs:spPr>
      <a:ln w="9525">
        <a:solidFill>
          <a:schemeClr val="phClr"/>
        </a:solidFill>
      </a:ln>
    </cs:spPr>
  </cs:dataPointMarker>
  <cs:dataPointMarkerLayout symbol="circle" size="5"/>
  <cs:dataPointWireframe>
    <cs:lnRef idx="0">
      <cs:styleClr val="auto"/>
    </cs:lnRef>
    <cs:fillRef idx="1"/>
    <cs:effectRef idx="0"/>
    <cs:fontRef idx="minor">
      <a:schemeClr val="tx1"/>
    </cs:fontRef>
    <cs:spPr>
      <a:ln w="9525" cap="rnd">
        <a:solidFill>
          <a:schemeClr val="phClr"/>
        </a:solidFill>
        <a:round/>
      </a:ln>
    </cs:spPr>
  </cs:dataPointWireframe>
  <cs:dataTable>
    <cs:lnRef idx="0"/>
    <cs:fillRef idx="0"/>
    <cs:effectRef idx="0"/>
    <cs:fontRef idx="minor">
      <a:schemeClr val="tx1">
        <a:lumMod val="65000"/>
        <a:lumOff val="35000"/>
      </a:schemeClr>
    </cs:fontRef>
    <cs:spPr>
      <a:noFill/>
      <a:ln w="9525">
        <a:solidFill>
          <a:schemeClr val="tx1">
            <a:lumMod val="15000"/>
            <a:lumOff val="85000"/>
          </a:schemeClr>
        </a:solidFill>
        <a:round/>
      </a:ln>
    </cs:spPr>
    <cs:defRPr sz="900" kern="1200"/>
  </cs:dataTable>
  <cs:downBar>
    <cs:lnRef idx="0"/>
    <cs:fillRef idx="0"/>
    <cs:effectRef idx="0"/>
    <cs:fontRef idx="minor">
      <a:schemeClr val="tx1"/>
    </cs:fontRef>
    <cs:spPr>
      <a:solidFill>
        <a:schemeClr val="dk1">
          <a:lumMod val="75000"/>
          <a:lumOff val="25000"/>
        </a:schemeClr>
      </a:solidFill>
      <a:ln w="9525">
        <a:solidFill>
          <a:schemeClr val="tx1">
            <a:lumMod val="65000"/>
            <a:lumOff val="35000"/>
          </a:schemeClr>
        </a:solidFill>
        <a:round/>
      </a:ln>
    </cs:spPr>
  </cs:downBar>
  <cs:dropLine>
    <cs:lnRef idx="0"/>
    <cs:fillRef idx="0"/>
    <cs:effectRef idx="0"/>
    <cs:fontRef idx="minor">
      <a:schemeClr val="tx1"/>
    </cs:fontRef>
    <cs:spPr>
      <a:ln w="9525">
        <a:solidFill>
          <a:schemeClr val="tx1">
            <a:lumMod val="35000"/>
            <a:lumOff val="65000"/>
          </a:schemeClr>
        </a:solidFill>
        <a:round/>
      </a:ln>
    </cs:spPr>
  </cs:dropLine>
  <cs:errorBar>
    <cs:lnRef idx="0"/>
    <cs:fillRef idx="0"/>
    <cs:effectRef idx="0"/>
    <cs:fontRef idx="minor">
      <a:schemeClr val="tx1"/>
    </cs:fontRef>
    <cs:spPr>
      <a:ln w="9525">
        <a:solidFill>
          <a:schemeClr val="tx1">
            <a:lumMod val="65000"/>
            <a:lumOff val="35000"/>
          </a:schemeClr>
        </a:solidFill>
        <a:round/>
      </a:ln>
    </cs:spPr>
  </cs:errorBar>
  <cs:floor>
    <cs:lnRef idx="0"/>
    <cs:fillRef idx="0"/>
    <cs:effectRef idx="0"/>
    <cs:fontRef idx="minor">
      <a:schemeClr val="tx1"/>
    </cs:fontRef>
    <cs:spPr>
      <a:noFill/>
      <a:ln>
        <a:noFill/>
      </a:ln>
    </cs:spPr>
  </cs:floor>
  <cs:gridlineMajor>
    <cs:lnRef idx="0"/>
    <cs:fillRef idx="0"/>
    <cs:effectRef idx="0"/>
    <cs:fontRef idx="minor">
      <a:schemeClr val="tx1"/>
    </cs:fontRef>
    <cs:spPr>
      <a:ln w="9525">
        <a:solidFill>
          <a:schemeClr val="tx1">
            <a:lumMod val="15000"/>
            <a:lumOff val="85000"/>
          </a:schemeClr>
        </a:solidFill>
        <a:round/>
      </a:ln>
    </cs:spPr>
  </cs:gridlineMajor>
  <cs:gridlineMinor>
    <cs:lnRef idx="0"/>
    <cs:fillRef idx="0"/>
    <cs:effectRef idx="0"/>
    <cs:fontRef idx="minor">
      <a:schemeClr val="tx1"/>
    </cs:fontRef>
    <cs:spPr>
      <a:ln w="9525">
        <a:solidFill>
          <a:schemeClr val="tx1">
            <a:lumMod val="5000"/>
            <a:lumOff val="95000"/>
          </a:schemeClr>
        </a:solidFill>
        <a:round/>
      </a:ln>
    </cs:spPr>
  </cs:gridlineMinor>
  <cs:hiLoLine>
    <cs:lnRef idx="0"/>
    <cs:fillRef idx="0"/>
    <cs:effectRef idx="0"/>
    <cs:fontRef idx="minor">
      <a:schemeClr val="tx1"/>
    </cs:fontRef>
    <cs:spPr>
      <a:ln w="9525">
        <a:solidFill>
          <a:schemeClr val="tx1">
            <a:lumMod val="50000"/>
            <a:lumOff val="50000"/>
          </a:schemeClr>
        </a:solidFill>
        <a:round/>
      </a:ln>
    </cs:spPr>
  </cs:hiLoLine>
  <cs:leaderLine>
    <cs:lnRef idx="0"/>
    <cs:fillRef idx="0"/>
    <cs:effectRef idx="0"/>
    <cs:fontRef idx="minor">
      <a:schemeClr val="tx1"/>
    </cs:fontRef>
    <cs:spPr>
      <a:ln w="9525">
        <a:solidFill>
          <a:schemeClr val="tx1">
            <a:lumMod val="35000"/>
            <a:lumOff val="65000"/>
          </a:schemeClr>
        </a:solidFill>
        <a:round/>
      </a:ln>
    </cs:spPr>
  </cs:leaderLine>
  <cs:legend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legend>
  <cs:plotArea mods="allowNoFillOverride allowNoLineOverride">
    <cs:lnRef idx="0"/>
    <cs:fillRef idx="0"/>
    <cs:effectRef idx="0"/>
    <cs:fontRef idx="minor">
      <a:schemeClr val="tx1"/>
    </cs:fontRef>
  </cs:plotArea>
  <cs:plotArea3D mods="allowNoFillOverride allowNoLineOverride">
    <cs:lnRef idx="0"/>
    <cs:fillRef idx="0"/>
    <cs:effectRef idx="0"/>
    <cs:fontRef idx="minor">
      <a:schemeClr val="tx1"/>
    </cs:fontRef>
  </cs:plotArea3D>
  <cs:seriesAxis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seriesAxis>
  <cs:seriesLine>
    <cs:lnRef idx="0"/>
    <cs:fillRef idx="0"/>
    <cs:effectRef idx="0"/>
    <cs:fontRef idx="minor">
      <a:schemeClr val="tx1"/>
    </cs:fontRef>
    <cs:spPr>
      <a:ln w="9525">
        <a:solidFill>
          <a:schemeClr val="tx1">
            <a:lumMod val="35000"/>
            <a:lumOff val="65000"/>
          </a:schemeClr>
        </a:solidFill>
        <a:round/>
      </a:ln>
    </cs:spPr>
  </cs:seriesLine>
  <cs:title>
    <cs:lnRef idx="0"/>
    <cs:fillRef idx="0"/>
    <cs:effectRef idx="0"/>
    <cs:fontRef idx="minor">
      <a:schemeClr val="tx1">
        <a:lumMod val="65000"/>
        <a:lumOff val="35000"/>
      </a:schemeClr>
    </cs:fontRef>
    <cs:defRPr sz="1400" b="0" kern="1200" spc="0" baseline="0"/>
  </cs:title>
  <cs:trendline>
    <cs:lnRef idx="0">
      <cs:styleClr val="auto"/>
    </cs:lnRef>
    <cs:fillRef idx="0"/>
    <cs:effectRef idx="0"/>
    <cs:fontRef idx="minor">
      <a:schemeClr val="tx1"/>
    </cs:fontRef>
    <cs:spPr>
      <a:ln w="19050" cap="rnd">
        <a:solidFill>
          <a:schemeClr val="phClr"/>
        </a:solidFill>
        <a:prstDash val="sysDot"/>
      </a:ln>
    </cs:spPr>
  </cs:trendline>
  <cs:trendlineLabel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trendlineLabel>
  <cs:upBar>
    <cs:lnRef idx="0"/>
    <cs:fillRef idx="0"/>
    <cs:effectRef idx="0"/>
    <cs:fontRef idx="minor">
      <a:schemeClr val="tx1"/>
    </cs:fontRef>
    <cs:spPr>
      <a:solidFill>
        <a:schemeClr val="lt1"/>
      </a:solidFill>
      <a:ln w="9525">
        <a:solidFill>
          <a:schemeClr val="tx1">
            <a:lumMod val="65000"/>
            <a:lumOff val="35000"/>
          </a:schemeClr>
        </a:solidFill>
        <a:round/>
      </a:ln>
    </cs:spPr>
  </cs:upBar>
  <cs:valueAxis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valueAxis>
  <cs:wall>
    <cs:lnRef idx="0"/>
    <cs:fillRef idx="0"/>
    <cs:effectRef idx="0"/>
    <cs:fontRef idx="minor">
      <a:schemeClr val="tx1"/>
    </cs:fontRef>
    <cs:spPr>
      <a:noFill/>
      <a:ln>
        <a:noFill/>
      </a:ln>
    </cs:spPr>
  </cs:wall>
</cs:chartStyle>
</file>

<file path=word/charts/chart/style3.xml><?xml version="1.0" encoding="utf-8"?>
<cs:chartStyle xmlns:cs="http://schemas.microsoft.com/office/drawing/2012/chartStyle" xmlns:a="http://schemas.openxmlformats.org/drawingml/2006/main" id="251">
  <cs:axisTitle>
    <cs:lnRef idx="0"/>
    <cs:fillRef idx="0"/>
    <cs:effectRef idx="0"/>
    <cs:fontRef idx="minor">
      <a:schemeClr val="tx1">
        <a:lumMod val="65000"/>
        <a:lumOff val="35000"/>
      </a:schemeClr>
    </cs:fontRef>
    <cs:defRPr sz="1000" kern="1200"/>
  </cs:axisTitle>
  <cs:categoryAxis>
    <cs:lnRef idx="0"/>
    <cs:fillRef idx="0"/>
    <cs:effectRef idx="0"/>
    <cs:fontRef idx="minor">
      <a:schemeClr val="tx1">
        <a:lumMod val="65000"/>
        <a:lumOff val="35000"/>
      </a:schemeClr>
    </cs:fontRef>
    <cs:spPr>
      <a:ln w="9525">
        <a:solidFill>
          <a:schemeClr val="tx1">
            <a:lumMod val="15000"/>
            <a:lumOff val="85000"/>
          </a:schemeClr>
        </a:solidFill>
        <a:round/>
      </a:ln>
    </cs:spPr>
    <cs:defRPr sz="900" kern="1200"/>
  </cs:categoryAxis>
  <cs:chartArea mods="allowNoFillOverride allowNoLineOverride">
    <cs:lnRef idx="0"/>
    <cs:fillRef idx="0"/>
    <cs:effectRef idx="0"/>
    <cs:fontRef idx="minor">
      <a:schemeClr val="tx1"/>
    </cs:fontRef>
    <cs:spPr>
      <a:solidFill>
        <a:schemeClr val="bg1"/>
      </a:solidFill>
      <a:ln w="9525">
        <a:solidFill>
          <a:schemeClr val="tx1">
            <a:lumMod val="15000"/>
            <a:lumOff val="85000"/>
          </a:schemeClr>
        </a:solidFill>
        <a:round/>
      </a:ln>
    </cs:spPr>
    <cs:defRPr sz="900" kern="1200"/>
  </cs:chartArea>
  <cs:dataLabel>
    <cs:lnRef idx="0"/>
    <cs:fillRef idx="0"/>
    <cs:effectRef idx="0"/>
    <cs:fontRef idx="minor">
      <a:schemeClr val="tx1">
        <a:lumMod val="75000"/>
        <a:lumOff val="25000"/>
      </a:schemeClr>
    </cs:fontRef>
    <cs:defRPr sz="900" kern="1200"/>
  </cs:dataLabel>
  <cs:dataLabelCallout>
    <cs:lnRef idx="0"/>
    <cs:fillRef idx="0"/>
    <cs:effectRef idx="0"/>
    <cs:fontRef idx="minor">
      <a:schemeClr val="dk1">
        <a:lumMod val="65000"/>
        <a:lumOff val="35000"/>
      </a:schemeClr>
    </cs:fontRef>
    <cs:spPr>
      <a:solidFill>
        <a:schemeClr val="lt1"/>
      </a:solidFill>
      <a:ln>
        <a:solidFill>
          <a:schemeClr val="dk1">
            <a:lumMod val="25000"/>
            <a:lumOff val="75000"/>
          </a:schemeClr>
        </a:solidFill>
      </a:ln>
    </cs:spPr>
    <cs:defRPr sz="900" kern="1200"/>
    <cs:bodyPr rot="0" spcFirstLastPara="1" vertOverflow="clip" horzOverflow="clip" vert="horz" wrap="square" lIns="36576" tIns="18288" rIns="36576" bIns="18288" anchor="ctr" anchorCtr="1">
      <a:spAutoFit/>
    </cs:bodyPr>
  </cs:dataLabelCallout>
  <cs:dataPoint>
    <cs:lnRef idx="0"/>
    <cs:fillRef idx="1">
      <cs:styleClr val="auto"/>
    </cs:fillRef>
    <cs:effectRef idx="0"/>
    <cs:fontRef idx="minor">
      <a:schemeClr val="tx1"/>
    </cs:fontRef>
    <cs:spPr>
      <a:ln w="19050">
        <a:solidFill>
          <a:schemeClr val="lt1"/>
        </a:solidFill>
      </a:ln>
    </cs:spPr>
  </cs:dataPoint>
  <cs:dataPoint3D>
    <cs:lnRef idx="0"/>
    <cs:fillRef idx="1">
      <cs:styleClr val="auto"/>
    </cs:fillRef>
    <cs:effectRef idx="0"/>
    <cs:fontRef idx="minor">
      <a:schemeClr val="tx1"/>
    </cs:fontRef>
    <cs:spPr>
      <a:ln w="25400">
        <a:solidFill>
          <a:schemeClr val="lt1"/>
        </a:solidFill>
      </a:ln>
    </cs:spPr>
  </cs:dataPoint3D>
  <cs:dataPointLine>
    <cs:lnRef idx="0">
      <cs:styleClr val="auto"/>
    </cs:lnRef>
    <cs:fillRef idx="0"/>
    <cs:effectRef idx="0"/>
    <cs:fontRef idx="minor">
      <a:schemeClr val="tx1"/>
    </cs:fontRef>
    <cs:spPr>
      <a:ln w="28575" cap="rnd">
        <a:solidFill>
          <a:schemeClr val="phClr"/>
        </a:solidFill>
        <a:round/>
      </a:ln>
    </cs:spPr>
  </cs:dataPointLine>
  <cs:dataPointMarker>
    <cs:lnRef idx="0">
      <cs:styleClr val="auto"/>
    </cs:lnRef>
    <cs:fillRef idx="1">
      <cs:styleClr val="auto"/>
    </cs:fillRef>
    <cs:effectRef idx="0"/>
    <cs:fontRef idx="minor">
      <a:schemeClr val="tx1"/>
    </cs:fontRef>
    <cs:spPr>
      <a:ln w="9525">
        <a:solidFill>
          <a:schemeClr val="phClr"/>
        </a:solidFill>
      </a:ln>
    </cs:spPr>
  </cs:dataPointMarker>
  <cs:dataPointMarkerLayout symbol="circle" size="5"/>
  <cs:dataPointWireframe>
    <cs:lnRef idx="0">
      <cs:styleClr val="auto"/>
    </cs:lnRef>
    <cs:fillRef idx="0"/>
    <cs:effectRef idx="0"/>
    <cs:fontRef idx="minor">
      <a:schemeClr val="tx1"/>
    </cs:fontRef>
    <cs:spPr>
      <a:ln w="9525" cap="rnd">
        <a:solidFill>
          <a:schemeClr val="phClr"/>
        </a:solidFill>
        <a:round/>
      </a:ln>
    </cs:spPr>
  </cs:dataPointWireframe>
  <cs:dataTable>
    <cs:lnRef idx="0"/>
    <cs:fillRef idx="0"/>
    <cs:effectRef idx="0"/>
    <cs:fontRef idx="minor">
      <a:schemeClr val="tx1">
        <a:lumMod val="65000"/>
        <a:lumOff val="35000"/>
      </a:schemeClr>
    </cs:fontRef>
    <cs:spPr>
      <a:noFill/>
      <a:ln w="9525">
        <a:solidFill>
          <a:schemeClr val="tx1">
            <a:lumMod val="15000"/>
            <a:lumOff val="85000"/>
          </a:schemeClr>
        </a:solidFill>
        <a:round/>
      </a:ln>
    </cs:spPr>
    <cs:defRPr sz="900" kern="1200"/>
  </cs:dataTable>
  <cs:downBar>
    <cs:lnRef idx="0"/>
    <cs:fillRef idx="0"/>
    <cs:effectRef idx="0"/>
    <cs:fontRef idx="minor">
      <a:schemeClr val="tx1"/>
    </cs:fontRef>
    <cs:spPr>
      <a:solidFill>
        <a:schemeClr val="dk1">
          <a:lumMod val="75000"/>
          <a:lumOff val="25000"/>
        </a:schemeClr>
      </a:solidFill>
      <a:ln w="9525">
        <a:solidFill>
          <a:schemeClr val="tx1">
            <a:lumMod val="65000"/>
            <a:lumOff val="35000"/>
          </a:schemeClr>
        </a:solidFill>
        <a:round/>
      </a:ln>
    </cs:spPr>
  </cs:downBar>
  <cs:dropLine>
    <cs:lnRef idx="0"/>
    <cs:fillRef idx="0"/>
    <cs:effectRef idx="0"/>
    <cs:fontRef idx="minor">
      <a:schemeClr val="tx1"/>
    </cs:fontRef>
    <cs:spPr>
      <a:ln w="9525">
        <a:solidFill>
          <a:schemeClr val="tx1">
            <a:lumMod val="35000"/>
            <a:lumOff val="65000"/>
          </a:schemeClr>
        </a:solidFill>
        <a:round/>
      </a:ln>
    </cs:spPr>
  </cs:dropLine>
  <cs:errorBar>
    <cs:lnRef idx="0"/>
    <cs:fillRef idx="0"/>
    <cs:effectRef idx="0"/>
    <cs:fontRef idx="minor">
      <a:schemeClr val="tx1"/>
    </cs:fontRef>
    <cs:spPr>
      <a:ln w="9525">
        <a:solidFill>
          <a:schemeClr val="tx1">
            <a:lumMod val="65000"/>
            <a:lumOff val="35000"/>
          </a:schemeClr>
        </a:solidFill>
        <a:round/>
      </a:ln>
    </cs:spPr>
  </cs:errorBar>
  <cs:floor>
    <cs:lnRef idx="0"/>
    <cs:fillRef idx="0"/>
    <cs:effectRef idx="0"/>
    <cs:fontRef idx="minor">
      <a:schemeClr val="tx1"/>
    </cs:fontRef>
    <cs:spPr>
      <a:noFill/>
      <a:ln>
        <a:noFill/>
      </a:ln>
    </cs:spPr>
  </cs:floor>
  <cs:gridlineMajor>
    <cs:lnRef idx="0"/>
    <cs:fillRef idx="0"/>
    <cs:effectRef idx="0"/>
    <cs:fontRef idx="minor">
      <a:schemeClr val="tx1"/>
    </cs:fontRef>
    <cs:spPr>
      <a:ln w="9525">
        <a:solidFill>
          <a:schemeClr val="tx1">
            <a:lumMod val="15000"/>
            <a:lumOff val="85000"/>
          </a:schemeClr>
        </a:solidFill>
        <a:round/>
      </a:ln>
    </cs:spPr>
  </cs:gridlineMajor>
  <cs:gridlineMinor>
    <cs:lnRef idx="0"/>
    <cs:fillRef idx="0"/>
    <cs:effectRef idx="0"/>
    <cs:fontRef idx="minor">
      <a:schemeClr val="tx1"/>
    </cs:fontRef>
    <cs:spPr>
      <a:ln w="9525">
        <a:solidFill>
          <a:schemeClr val="tx1">
            <a:lumMod val="5000"/>
            <a:lumOff val="95000"/>
          </a:schemeClr>
        </a:solidFill>
        <a:round/>
      </a:ln>
    </cs:spPr>
  </cs:gridlineMinor>
  <cs:hiLoLine>
    <cs:lnRef idx="0"/>
    <cs:fillRef idx="0"/>
    <cs:effectRef idx="0"/>
    <cs:fontRef idx="minor">
      <a:schemeClr val="tx1"/>
    </cs:fontRef>
    <cs:spPr>
      <a:ln w="9525">
        <a:solidFill>
          <a:schemeClr val="tx1">
            <a:lumMod val="50000"/>
            <a:lumOff val="50000"/>
          </a:schemeClr>
        </a:solidFill>
        <a:round/>
      </a:ln>
    </cs:spPr>
  </cs:hiLoLine>
  <cs:leaderLine>
    <cs:lnRef idx="0"/>
    <cs:fillRef idx="0"/>
    <cs:effectRef idx="0"/>
    <cs:fontRef idx="minor">
      <a:schemeClr val="tx1"/>
    </cs:fontRef>
    <cs:spPr>
      <a:ln w="9525">
        <a:solidFill>
          <a:schemeClr val="tx1">
            <a:lumMod val="35000"/>
            <a:lumOff val="65000"/>
          </a:schemeClr>
        </a:solidFill>
        <a:round/>
      </a:ln>
    </cs:spPr>
  </cs:leaderLine>
  <cs:legend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legend>
  <cs:plotArea mods="allowNoFillOverride allowNoLineOverride">
    <cs:lnRef idx="0"/>
    <cs:fillRef idx="0"/>
    <cs:effectRef idx="0"/>
    <cs:fontRef idx="minor">
      <a:schemeClr val="tx1"/>
    </cs:fontRef>
  </cs:plotArea>
  <cs:plotArea3D mods="allowNoFillOverride allowNoLineOverride">
    <cs:lnRef idx="0"/>
    <cs:fillRef idx="0"/>
    <cs:effectRef idx="0"/>
    <cs:fontRef idx="minor">
      <a:schemeClr val="tx1"/>
    </cs:fontRef>
  </cs:plotArea3D>
  <cs:seriesAxis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seriesAxis>
  <cs:seriesLine>
    <cs:lnRef idx="0"/>
    <cs:fillRef idx="0"/>
    <cs:effectRef idx="0"/>
    <cs:fontRef idx="minor">
      <a:schemeClr val="tx1"/>
    </cs:fontRef>
    <cs:spPr>
      <a:ln w="9525">
        <a:solidFill>
          <a:schemeClr val="tx1">
            <a:lumMod val="35000"/>
            <a:lumOff val="65000"/>
          </a:schemeClr>
        </a:solidFill>
        <a:round/>
      </a:ln>
    </cs:spPr>
  </cs:seriesLine>
  <cs:title>
    <cs:lnRef idx="0"/>
    <cs:fillRef idx="0"/>
    <cs:effectRef idx="0"/>
    <cs:fontRef idx="minor">
      <a:schemeClr val="tx1">
        <a:lumMod val="65000"/>
        <a:lumOff val="35000"/>
      </a:schemeClr>
    </cs:fontRef>
    <cs:defRPr sz="1400" b="0" kern="1200" spc="0" baseline="0"/>
  </cs:title>
  <cs:trendline>
    <cs:lnRef idx="0">
      <cs:styleClr val="auto"/>
    </cs:lnRef>
    <cs:fillRef idx="0"/>
    <cs:effectRef idx="0"/>
    <cs:fontRef idx="minor">
      <a:schemeClr val="tx1"/>
    </cs:fontRef>
    <cs:spPr>
      <a:ln w="19050" cap="rnd">
        <a:solidFill>
          <a:schemeClr val="phClr"/>
        </a:solidFill>
        <a:prstDash val="sysDot"/>
      </a:ln>
    </cs:spPr>
  </cs:trendline>
  <cs:trendlineLabel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trendlineLabel>
  <cs:upBar>
    <cs:lnRef idx="0"/>
    <cs:fillRef idx="0"/>
    <cs:effectRef idx="0"/>
    <cs:fontRef idx="minor">
      <a:schemeClr val="tx1"/>
    </cs:fontRef>
    <cs:spPr>
      <a:solidFill>
        <a:schemeClr val="lt1"/>
      </a:solidFill>
      <a:ln w="9525">
        <a:solidFill>
          <a:schemeClr val="tx1">
            <a:lumMod val="65000"/>
            <a:lumOff val="35000"/>
          </a:schemeClr>
        </a:solidFill>
        <a:round/>
      </a:ln>
    </cs:spPr>
  </cs:upBar>
  <cs:valueAxis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valueAxis>
  <cs:wall>
    <cs:lnRef idx="0"/>
    <cs:fillRef idx="0"/>
    <cs:effectRef idx="0"/>
    <cs:fontRef idx="minor">
      <a:schemeClr val="tx1"/>
    </cs:fontRef>
    <cs:spPr>
      <a:noFill/>
      <a:ln>
        <a:noFill/>
      </a:ln>
    </cs:spPr>
  </cs:wall>
</cs:chartStyle>
</file>

<file path=word/charts/chart/style4.xml><?xml version="1.0" encoding="utf-8"?>
<cs:chartStyle xmlns:cs="http://schemas.microsoft.com/office/drawing/2012/chartStyle" xmlns:a="http://schemas.openxmlformats.org/drawingml/2006/main" id="251">
  <cs:axisTitle>
    <cs:lnRef idx="0"/>
    <cs:fillRef idx="0"/>
    <cs:effectRef idx="0"/>
    <cs:fontRef idx="minor">
      <a:schemeClr val="tx1">
        <a:lumMod val="65000"/>
        <a:lumOff val="35000"/>
      </a:schemeClr>
    </cs:fontRef>
    <cs:defRPr sz="1000" kern="1200"/>
  </cs:axisTitle>
  <cs:categoryAxis>
    <cs:lnRef idx="0"/>
    <cs:fillRef idx="0"/>
    <cs:effectRef idx="0"/>
    <cs:fontRef idx="minor">
      <a:schemeClr val="tx1">
        <a:lumMod val="65000"/>
        <a:lumOff val="35000"/>
      </a:schemeClr>
    </cs:fontRef>
    <cs:spPr>
      <a:ln w="9525">
        <a:solidFill>
          <a:schemeClr val="tx1">
            <a:lumMod val="15000"/>
            <a:lumOff val="85000"/>
          </a:schemeClr>
        </a:solidFill>
        <a:round/>
      </a:ln>
    </cs:spPr>
    <cs:defRPr sz="900" kern="1200"/>
  </cs:categoryAxis>
  <cs:chartArea mods="allowNoFillOverride allowNoLineOverride">
    <cs:lnRef idx="0"/>
    <cs:fillRef idx="0"/>
    <cs:effectRef idx="0"/>
    <cs:fontRef idx="minor">
      <a:schemeClr val="tx1"/>
    </cs:fontRef>
    <cs:spPr>
      <a:solidFill>
        <a:schemeClr val="bg1"/>
      </a:solidFill>
      <a:ln w="9525">
        <a:solidFill>
          <a:schemeClr val="tx1">
            <a:lumMod val="15000"/>
            <a:lumOff val="85000"/>
          </a:schemeClr>
        </a:solidFill>
        <a:round/>
      </a:ln>
    </cs:spPr>
    <cs:defRPr sz="900" kern="1200"/>
  </cs:chartArea>
  <cs:dataLabel>
    <cs:lnRef idx="0"/>
    <cs:fillRef idx="0"/>
    <cs:effectRef idx="0"/>
    <cs:fontRef idx="minor">
      <a:schemeClr val="tx1">
        <a:lumMod val="75000"/>
        <a:lumOff val="25000"/>
      </a:schemeClr>
    </cs:fontRef>
    <cs:defRPr sz="900" kern="1200"/>
  </cs:dataLabel>
  <cs:dataLabelCallout>
    <cs:lnRef idx="0"/>
    <cs:fillRef idx="0"/>
    <cs:effectRef idx="0"/>
    <cs:fontRef idx="minor">
      <a:schemeClr val="dk1">
        <a:lumMod val="65000"/>
        <a:lumOff val="35000"/>
      </a:schemeClr>
    </cs:fontRef>
    <cs:spPr>
      <a:solidFill>
        <a:schemeClr val="lt1"/>
      </a:solidFill>
      <a:ln>
        <a:solidFill>
          <a:schemeClr val="dk1">
            <a:lumMod val="25000"/>
            <a:lumOff val="75000"/>
          </a:schemeClr>
        </a:solidFill>
      </a:ln>
    </cs:spPr>
    <cs:defRPr sz="900" kern="1200"/>
    <cs:bodyPr rot="0" spcFirstLastPara="1" vertOverflow="clip" horzOverflow="clip" vert="horz" wrap="square" lIns="36576" tIns="18288" rIns="36576" bIns="18288" anchor="ctr" anchorCtr="1">
      <a:spAutoFit/>
    </cs:bodyPr>
  </cs:dataLabelCallout>
  <cs:dataPoint>
    <cs:lnRef idx="0"/>
    <cs:fillRef idx="1">
      <cs:styleClr val="auto"/>
    </cs:fillRef>
    <cs:effectRef idx="0"/>
    <cs:fontRef idx="minor">
      <a:schemeClr val="tx1"/>
    </cs:fontRef>
    <cs:spPr>
      <a:ln w="19050">
        <a:solidFill>
          <a:schemeClr val="lt1"/>
        </a:solidFill>
      </a:ln>
    </cs:spPr>
  </cs:dataPoint>
  <cs:dataPoint3D>
    <cs:lnRef idx="0"/>
    <cs:fillRef idx="1">
      <cs:styleClr val="auto"/>
    </cs:fillRef>
    <cs:effectRef idx="0"/>
    <cs:fontRef idx="minor">
      <a:schemeClr val="tx1"/>
    </cs:fontRef>
    <cs:spPr>
      <a:ln w="25400">
        <a:solidFill>
          <a:schemeClr val="lt1"/>
        </a:solidFill>
      </a:ln>
    </cs:spPr>
  </cs:dataPoint3D>
  <cs:dataPointLine>
    <cs:lnRef idx="0">
      <cs:styleClr val="auto"/>
    </cs:lnRef>
    <cs:fillRef idx="0"/>
    <cs:effectRef idx="0"/>
    <cs:fontRef idx="minor">
      <a:schemeClr val="tx1"/>
    </cs:fontRef>
    <cs:spPr>
      <a:ln w="28575" cap="rnd">
        <a:solidFill>
          <a:schemeClr val="phClr"/>
        </a:solidFill>
        <a:round/>
      </a:ln>
    </cs:spPr>
  </cs:dataPointLine>
  <cs:dataPointMarker>
    <cs:lnRef idx="0">
      <cs:styleClr val="auto"/>
    </cs:lnRef>
    <cs:fillRef idx="1">
      <cs:styleClr val="auto"/>
    </cs:fillRef>
    <cs:effectRef idx="0"/>
    <cs:fontRef idx="minor">
      <a:schemeClr val="tx1"/>
    </cs:fontRef>
    <cs:spPr>
      <a:ln w="9525">
        <a:solidFill>
          <a:schemeClr val="phClr"/>
        </a:solidFill>
      </a:ln>
    </cs:spPr>
  </cs:dataPointMarker>
  <cs:dataPointMarkerLayout symbol="circle" size="5"/>
  <cs:dataPointWireframe>
    <cs:lnRef idx="0">
      <cs:styleClr val="auto"/>
    </cs:lnRef>
    <cs:fillRef idx="0"/>
    <cs:effectRef idx="0"/>
    <cs:fontRef idx="minor">
      <a:schemeClr val="tx1"/>
    </cs:fontRef>
    <cs:spPr>
      <a:ln w="9525" cap="rnd">
        <a:solidFill>
          <a:schemeClr val="phClr"/>
        </a:solidFill>
        <a:round/>
      </a:ln>
    </cs:spPr>
  </cs:dataPointWireframe>
  <cs:dataTable>
    <cs:lnRef idx="0"/>
    <cs:fillRef idx="0"/>
    <cs:effectRef idx="0"/>
    <cs:fontRef idx="minor">
      <a:schemeClr val="tx1">
        <a:lumMod val="65000"/>
        <a:lumOff val="35000"/>
      </a:schemeClr>
    </cs:fontRef>
    <cs:spPr>
      <a:noFill/>
      <a:ln w="9525">
        <a:solidFill>
          <a:schemeClr val="tx1">
            <a:lumMod val="15000"/>
            <a:lumOff val="85000"/>
          </a:schemeClr>
        </a:solidFill>
        <a:round/>
      </a:ln>
    </cs:spPr>
    <cs:defRPr sz="900" kern="1200"/>
  </cs:dataTable>
  <cs:downBar>
    <cs:lnRef idx="0"/>
    <cs:fillRef idx="0"/>
    <cs:effectRef idx="0"/>
    <cs:fontRef idx="minor">
      <a:schemeClr val="tx1"/>
    </cs:fontRef>
    <cs:spPr>
      <a:solidFill>
        <a:schemeClr val="dk1">
          <a:lumMod val="75000"/>
          <a:lumOff val="25000"/>
        </a:schemeClr>
      </a:solidFill>
      <a:ln w="9525">
        <a:solidFill>
          <a:schemeClr val="tx1">
            <a:lumMod val="65000"/>
            <a:lumOff val="35000"/>
          </a:schemeClr>
        </a:solidFill>
        <a:round/>
      </a:ln>
    </cs:spPr>
  </cs:downBar>
  <cs:dropLine>
    <cs:lnRef idx="0"/>
    <cs:fillRef idx="0"/>
    <cs:effectRef idx="0"/>
    <cs:fontRef idx="minor">
      <a:schemeClr val="tx1"/>
    </cs:fontRef>
    <cs:spPr>
      <a:ln w="9525">
        <a:solidFill>
          <a:schemeClr val="tx1">
            <a:lumMod val="35000"/>
            <a:lumOff val="65000"/>
          </a:schemeClr>
        </a:solidFill>
        <a:round/>
      </a:ln>
    </cs:spPr>
  </cs:dropLine>
  <cs:errorBar>
    <cs:lnRef idx="0"/>
    <cs:fillRef idx="0"/>
    <cs:effectRef idx="0"/>
    <cs:fontRef idx="minor">
      <a:schemeClr val="tx1"/>
    </cs:fontRef>
    <cs:spPr>
      <a:ln w="9525">
        <a:solidFill>
          <a:schemeClr val="tx1">
            <a:lumMod val="65000"/>
            <a:lumOff val="35000"/>
          </a:schemeClr>
        </a:solidFill>
        <a:round/>
      </a:ln>
    </cs:spPr>
  </cs:errorBar>
  <cs:floor>
    <cs:lnRef idx="0"/>
    <cs:fillRef idx="0"/>
    <cs:effectRef idx="0"/>
    <cs:fontRef idx="minor">
      <a:schemeClr val="tx1"/>
    </cs:fontRef>
    <cs:spPr>
      <a:noFill/>
      <a:ln>
        <a:noFill/>
      </a:ln>
    </cs:spPr>
  </cs:floor>
  <cs:gridlineMajor>
    <cs:lnRef idx="0"/>
    <cs:fillRef idx="0"/>
    <cs:effectRef idx="0"/>
    <cs:fontRef idx="minor">
      <a:schemeClr val="tx1"/>
    </cs:fontRef>
    <cs:spPr>
      <a:ln w="9525">
        <a:solidFill>
          <a:schemeClr val="tx1">
            <a:lumMod val="15000"/>
            <a:lumOff val="85000"/>
          </a:schemeClr>
        </a:solidFill>
        <a:round/>
      </a:ln>
    </cs:spPr>
  </cs:gridlineMajor>
  <cs:gridlineMinor>
    <cs:lnRef idx="0"/>
    <cs:fillRef idx="0"/>
    <cs:effectRef idx="0"/>
    <cs:fontRef idx="minor">
      <a:schemeClr val="tx1"/>
    </cs:fontRef>
    <cs:spPr>
      <a:ln w="9525">
        <a:solidFill>
          <a:schemeClr val="tx1">
            <a:lumMod val="5000"/>
            <a:lumOff val="95000"/>
          </a:schemeClr>
        </a:solidFill>
        <a:round/>
      </a:ln>
    </cs:spPr>
  </cs:gridlineMinor>
  <cs:hiLoLine>
    <cs:lnRef idx="0"/>
    <cs:fillRef idx="0"/>
    <cs:effectRef idx="0"/>
    <cs:fontRef idx="minor">
      <a:schemeClr val="tx1"/>
    </cs:fontRef>
    <cs:spPr>
      <a:ln w="9525">
        <a:solidFill>
          <a:schemeClr val="tx1">
            <a:lumMod val="50000"/>
            <a:lumOff val="50000"/>
          </a:schemeClr>
        </a:solidFill>
        <a:round/>
      </a:ln>
    </cs:spPr>
  </cs:hiLoLine>
  <cs:leaderLine>
    <cs:lnRef idx="0"/>
    <cs:fillRef idx="0"/>
    <cs:effectRef idx="0"/>
    <cs:fontRef idx="minor">
      <a:schemeClr val="tx1"/>
    </cs:fontRef>
    <cs:spPr>
      <a:ln w="9525">
        <a:solidFill>
          <a:schemeClr val="tx1">
            <a:lumMod val="35000"/>
            <a:lumOff val="65000"/>
          </a:schemeClr>
        </a:solidFill>
        <a:round/>
      </a:ln>
    </cs:spPr>
  </cs:leaderLine>
  <cs:legend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legend>
  <cs:plotArea mods="allowNoFillOverride allowNoLineOverride">
    <cs:lnRef idx="0"/>
    <cs:fillRef idx="0"/>
    <cs:effectRef idx="0"/>
    <cs:fontRef idx="minor">
      <a:schemeClr val="tx1"/>
    </cs:fontRef>
  </cs:plotArea>
  <cs:plotArea3D mods="allowNoFillOverride allowNoLineOverride">
    <cs:lnRef idx="0"/>
    <cs:fillRef idx="0"/>
    <cs:effectRef idx="0"/>
    <cs:fontRef idx="minor">
      <a:schemeClr val="tx1"/>
    </cs:fontRef>
  </cs:plotArea3D>
  <cs:seriesAxis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seriesAxis>
  <cs:seriesLine>
    <cs:lnRef idx="0"/>
    <cs:fillRef idx="0"/>
    <cs:effectRef idx="0"/>
    <cs:fontRef idx="minor">
      <a:schemeClr val="tx1"/>
    </cs:fontRef>
    <cs:spPr>
      <a:ln w="9525">
        <a:solidFill>
          <a:schemeClr val="tx1">
            <a:lumMod val="35000"/>
            <a:lumOff val="65000"/>
          </a:schemeClr>
        </a:solidFill>
        <a:round/>
      </a:ln>
    </cs:spPr>
  </cs:seriesLine>
  <cs:title>
    <cs:lnRef idx="0"/>
    <cs:fillRef idx="0"/>
    <cs:effectRef idx="0"/>
    <cs:fontRef idx="minor">
      <a:schemeClr val="tx1">
        <a:lumMod val="65000"/>
        <a:lumOff val="35000"/>
      </a:schemeClr>
    </cs:fontRef>
    <cs:defRPr sz="1400" b="0" kern="1200" spc="0" baseline="0"/>
  </cs:title>
  <cs:trendline>
    <cs:lnRef idx="0">
      <cs:styleClr val="auto"/>
    </cs:lnRef>
    <cs:fillRef idx="0"/>
    <cs:effectRef idx="0"/>
    <cs:fontRef idx="minor">
      <a:schemeClr val="tx1"/>
    </cs:fontRef>
    <cs:spPr>
      <a:ln w="19050" cap="rnd">
        <a:solidFill>
          <a:schemeClr val="phClr"/>
        </a:solidFill>
        <a:prstDash val="sysDot"/>
      </a:ln>
    </cs:spPr>
  </cs:trendline>
  <cs:trendlineLabel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trendlineLabel>
  <cs:upBar>
    <cs:lnRef idx="0"/>
    <cs:fillRef idx="0"/>
    <cs:effectRef idx="0"/>
    <cs:fontRef idx="minor">
      <a:schemeClr val="tx1"/>
    </cs:fontRef>
    <cs:spPr>
      <a:solidFill>
        <a:schemeClr val="lt1"/>
      </a:solidFill>
      <a:ln w="9525">
        <a:solidFill>
          <a:schemeClr val="tx1">
            <a:lumMod val="65000"/>
            <a:lumOff val="35000"/>
          </a:schemeClr>
        </a:solidFill>
        <a:round/>
      </a:ln>
    </cs:spPr>
  </cs:upBar>
  <cs:valueAxis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valueAxis>
  <cs:wall>
    <cs:lnRef idx="0"/>
    <cs:fillRef idx="0"/>
    <cs:effectRef idx="0"/>
    <cs:fontRef idx="minor">
      <a:schemeClr val="tx1"/>
    </cs:fontRef>
    <cs:spPr>
      <a:noFill/>
      <a:ln>
        <a:noFill/>
      </a:ln>
    </cs:spPr>
  </cs:wall>
</cs:chartStyle>
</file>

<file path=word/charts/chart1.xml><?xml version="1.0" encoding="utf-8"?>
<c:chartSpace xmlns:c="http://schemas.openxmlformats.org/drawingml/2006/chart" xmlns:a="http://schemas.openxmlformats.org/drawingml/2006/main" xmlns:r="http://schemas.openxmlformats.org/officeDocument/2006/relationships">
  <c:date1904 val="0"/>
  <c:lang val="zh-CN"/>
  <c:roundedCorners val="0"/>
  <mc:AlternateContent xmlns:mc="http://schemas.openxmlformats.org/markup-compatibility/2006">
    <mc:Choice xmlns:c14="http://schemas.microsoft.com/office/drawing/2007/8/2/chart" Requires="c14">
      <c14:style val="112"/>
    </mc:Choice>
    <mc:Fallback>
      <c:style val="12"/>
    </mc:Fallback>
  </mc:AlternateContent>
  <c:chart>
    <c:autoTitleDeleted val="1"/>
    <c:plotArea>
      <c:layout>
        <c:manualLayout>
          <c:layoutTarget val="inner"/>
          <c:xMode val="edge"/>
          <c:yMode val="edge"/>
          <c:x val="0.012659003831417624"/>
          <c:y val="0.04352259075059204"/>
          <c:w val="0.98085859662884567"/>
          <c:h val="0.84752408783234812"/>
        </c:manualLayout>
      </c:layout>
      <c:barChart>
        <c:barDir val="col"/>
        <c:grouping val="clustered"/>
        <c:varyColors val="0"/>
        <c:ser>
          <c:idx val="0"/>
          <c:order val="0"/>
          <c:tx>
            <c:strRef>
              <c:f>'qyr-2022'!$B$2</c:f>
              <c:strCache>
                <c:ptCount val="1"/>
                <c:pt idx="0">
                  <c:v>Capacity</c:v>
                </c:pt>
              </c:strCache>
            </c:strRef>
          </c:tx>
          <c:spPr>
            <a:solidFill>
              <a:schemeClr val="accent1">
                <a:lumMod val="50000"/>
              </a:schemeClr>
            </a:solidFill>
            <a:ln>
              <a:noFill/>
            </a:ln>
            <a:effectLst>
              <a:outerShdw blurRad="40000" dist="20000" dir="5400000" sx="100000" sy="100000" kx="0" ky="0" algn="b" rotWithShape="0">
                <a:schemeClr val="tx2">
                  <a:lumMod val="60000"/>
                  <a:lumOff val="40000"/>
                  <a:alpha val="38000"/>
                </a:schemeClr>
              </a:outerShdw>
            </a:effectLst>
          </c:spPr>
          <c:invertIfNegative val="0"/>
          <c:dLbls>
            <c:numFmt formatCode="\x\x" sourceLinked="0"/>
            <c:spPr>
              <a:noFill/>
              <a:ln>
                <a:noFill/>
              </a:ln>
              <a:effectLst>
                <a:outerShdw blurRad="50800" dist="50800" dir="5400000" sx="7000" sy="7000" kx="0" ky="0" algn="ctr" rotWithShape="0">
                  <a:srgbClr val="000000">
                    <a:alpha val="43137"/>
                  </a:srgbClr>
                </a:outerShdw>
              </a:effectLst>
            </c:spPr>
            <c:txPr>
              <a:bodyPr wrap="square" lIns="38100" tIns="19050" rIns="38100" bIns="19050" anchor="ctr" anchorCtr="0">
                <a:spAutoFit/>
              </a:bodyPr>
              <a:lstStyle/>
              <a:p>
                <a:pPr>
                  <a:defRPr sz="1200" cap="all" baseline="0">
                    <a:solidFill>
                      <a:schemeClr val="tx1"/>
                    </a:solidFill>
                    <a:latin typeface="Helvetica" panose="020B0604020202020204" pitchFamily="34" charset="0"/>
                    <a:ea typeface="Cambria" panose="02040503050406030204" pitchFamily="18" charset="0"/>
                    <a:cs typeface="Helvetica" panose="020B0604020202020204" pitchFamily="34" charset="0"/>
                  </a:defRPr>
                </a:pPr>
                <a:endParaRPr lang="zh-CN"/>
              </a:p>
            </c:txPr>
            <c:dLblPos val="outEnd"/>
            <c:showLegendKey val="0"/>
            <c:showVal val="1"/>
            <c:showCatName val="0"/>
            <c:showSerName val="0"/>
            <c:showPercent val="0"/>
            <c:showBubbleSize val="0"/>
            <c:showLeaderLines val="0"/>
            <c:extLst>
              <c:ext xmlns:c15="http://schemas.microsoft.com/office/drawing/2012/chart" uri="{CE6537A1-D6FC-4f65-9D91-7224C49458BB}">
                <c15:showLeaderLines val="0"/>
              </c:ext>
            </c:extLst>
          </c:dLbls>
          <c:cat>
            <c:numRef>
              <c:f>'qyr-2022'!$E$1:$P$1</c:f>
              <c:numCache>
                <c:formatCode>General</c:formatCode>
                <c:ptCount val="12"/>
                <c:pt idx="0">
                  <c:v>2019</c:v>
                </c:pt>
                <c:pt idx="1">
                  <c:v>2020</c:v>
                </c:pt>
                <c:pt idx="2">
                  <c:v>2021</c:v>
                </c:pt>
                <c:pt idx="3">
                  <c:v>2022</c:v>
                </c:pt>
                <c:pt idx="4">
                  <c:v>2023</c:v>
                </c:pt>
                <c:pt idx="5">
                  <c:v>2024</c:v>
                </c:pt>
                <c:pt idx="6">
                  <c:v>2025</c:v>
                </c:pt>
                <c:pt idx="7">
                  <c:v>2026</c:v>
                </c:pt>
                <c:pt idx="8">
                  <c:v>2027</c:v>
                </c:pt>
                <c:pt idx="9">
                  <c:v>2028</c:v>
                </c:pt>
                <c:pt idx="10">
                  <c:v>2029</c:v>
                </c:pt>
                <c:pt idx="11">
                  <c:v>2030</c:v>
                </c:pt>
              </c:numCache>
            </c:numRef>
          </c:cat>
          <c:val>
            <c:numRef>
              <c:f>'qyr-2022'!$E$2:$P$2</c:f>
              <c:numCache>
                <c:formatCode>General</c:formatCode>
                <c:ptCount val="12"/>
                <c:pt idx="0">
                  <c:v>423</c:v>
                </c:pt>
                <c:pt idx="1">
                  <c:v>382.2</c:v>
                </c:pt>
                <c:pt idx="2">
                  <c:v>469.59999999999997</c:v>
                </c:pt>
                <c:pt idx="3">
                  <c:v>505</c:v>
                </c:pt>
                <c:pt idx="4">
                  <c:v>482</c:v>
                </c:pt>
                <c:pt idx="5">
                  <c:v>492</c:v>
                </c:pt>
                <c:pt idx="6">
                  <c:v>544</c:v>
                </c:pt>
                <c:pt idx="7">
                  <c:v>583.6</c:v>
                </c:pt>
                <c:pt idx="8">
                  <c:v>592.6</c:v>
                </c:pt>
                <c:pt idx="9" formatCode="0.0">
                  <c:v>628.80592</c:v>
                </c:pt>
                <c:pt idx="10" formatCode="0.0">
                  <c:v>721.00791023200009</c:v>
                </c:pt>
                <c:pt idx="11" formatCode="0.0">
                  <c:v>777.302376935688</c:v>
                </c:pt>
              </c:numCache>
            </c:numRef>
          </c:val>
          <c:extLst>
            <c:ext xmlns:c16="http://schemas.microsoft.com/office/drawing/2014/chart" uri="{C3380CC4-5D6E-409C-BE32-E72D297353CC}">
              <c16:uniqueId val="{00000000-D949-483A-B295-93A87A231DAC}"/>
            </c:ext>
          </c:extLst>
        </c:ser>
        <c:dLbls>
          <c:showLegendKey val="0"/>
          <c:showVal val="0"/>
          <c:showCatName val="0"/>
          <c:showSerName val="0"/>
          <c:showPercent val="0"/>
          <c:showBubbleSize val="0"/>
        </c:dLbls>
        <c:gapWidth val="30"/>
        <c:axId val="-1322419456"/>
        <c:axId val="-1322431424"/>
      </c:barChart>
      <c:lineChart>
        <c:grouping val="stacked"/>
        <c:varyColors val="0"/>
        <c:ser>
          <c:idx val="1"/>
          <c:order val="1"/>
          <c:tx>
            <c:strRef>
              <c:f>'qyr-2022'!$B$3</c:f>
              <c:strCache>
                <c:ptCount val="1"/>
                <c:pt idx="0">
                  <c:v>Growth Rate</c:v>
                </c:pt>
              </c:strCache>
            </c:strRef>
          </c:tx>
          <c:spPr>
            <a:ln w="25400">
              <a:solidFill>
                <a:srgbClr val="FFC000"/>
              </a:solidFill>
            </a:ln>
          </c:spPr>
          <c:marker>
            <c:symbol val="circle"/>
            <c:size val="26"/>
            <c:spPr>
              <a:solidFill>
                <a:schemeClr val="bg1">
                  <a:lumMod val="50000"/>
                </a:schemeClr>
              </a:solidFill>
              <a:ln>
                <a:solidFill>
                  <a:schemeClr val="bg1"/>
                </a:solidFill>
              </a:ln>
            </c:spPr>
          </c:marker>
          <c:dLbls>
            <c:numFmt formatCode="\x\x\%" sourceLinked="0"/>
            <c:spPr>
              <a:noFill/>
              <a:ln>
                <a:noFill/>
              </a:ln>
              <a:effectLst/>
            </c:spPr>
            <c:txPr>
              <a:bodyPr wrap="square" lIns="38100" tIns="19050" rIns="38100" bIns="19050" anchor="ctr">
                <a:spAutoFit/>
              </a:bodyPr>
              <a:lstStyle/>
              <a:p>
                <a:pPr>
                  <a:defRPr>
                    <a:solidFill>
                      <a:schemeClr val="bg1">
                        <a:lumMod val="95000"/>
                      </a:schemeClr>
                    </a:solidFill>
                    <a:latin typeface="Helvetica" panose="020B0604020202020204" pitchFamily="34" charset="0"/>
                    <a:cs typeface="Helvetica" panose="020B0604020202020204" pitchFamily="34" charset="0"/>
                  </a:defRPr>
                </a:pPr>
                <a:endParaRPr lang="zh-CN"/>
              </a:p>
            </c:txPr>
            <c:dLblPos val="ctr"/>
            <c:showLegendKey val="0"/>
            <c:showVal val="1"/>
            <c:showCatName val="0"/>
            <c:showSerName val="0"/>
            <c:showPercent val="0"/>
            <c:showBubbleSize val="0"/>
            <c:showLeaderLines val="0"/>
            <c:extLst>
              <c:ext xmlns:c15="http://schemas.microsoft.com/office/drawing/2012/chart" uri="{CE6537A1-D6FC-4f65-9D91-7224C49458BB}">
                <c15:showLeaderLines val="1"/>
              </c:ext>
            </c:extLst>
          </c:dLbls>
          <c:cat>
            <c:numRef>
              <c:f>'qyr-2022'!$E$1:$P$1</c:f>
              <c:numCache>
                <c:formatCode>General</c:formatCode>
                <c:ptCount val="12"/>
                <c:pt idx="0">
                  <c:v>2019</c:v>
                </c:pt>
                <c:pt idx="1">
                  <c:v>2020</c:v>
                </c:pt>
                <c:pt idx="2">
                  <c:v>2021</c:v>
                </c:pt>
                <c:pt idx="3">
                  <c:v>2022</c:v>
                </c:pt>
                <c:pt idx="4">
                  <c:v>2023</c:v>
                </c:pt>
                <c:pt idx="5">
                  <c:v>2024</c:v>
                </c:pt>
                <c:pt idx="6">
                  <c:v>2025</c:v>
                </c:pt>
                <c:pt idx="7">
                  <c:v>2026</c:v>
                </c:pt>
                <c:pt idx="8">
                  <c:v>2027</c:v>
                </c:pt>
                <c:pt idx="9">
                  <c:v>2028</c:v>
                </c:pt>
                <c:pt idx="10">
                  <c:v>2029</c:v>
                </c:pt>
                <c:pt idx="11">
                  <c:v>2030</c:v>
                </c:pt>
              </c:numCache>
            </c:numRef>
          </c:cat>
          <c:val>
            <c:numRef>
              <c:f>'qyr-2022'!$E$3:$P$3</c:f>
              <c:numCache>
                <c:formatCode>0.00%</c:formatCode>
                <c:ptCount val="12"/>
                <c:pt idx="0">
                  <c:v>-0.037761601455868932</c:v>
                </c:pt>
                <c:pt idx="1">
                  <c:v>-0.096453900709219886</c:v>
                </c:pt>
                <c:pt idx="2">
                  <c:v>0.22867608581894294</c:v>
                </c:pt>
                <c:pt idx="3">
                  <c:v>0.075383304940374929</c:v>
                </c:pt>
                <c:pt idx="4">
                  <c:v>-0.045544554455445585</c:v>
                </c:pt>
                <c:pt idx="5">
                  <c:v>0.020746887966804906</c:v>
                </c:pt>
                <c:pt idx="6">
                  <c:v>0.10569105691056913</c:v>
                </c:pt>
                <c:pt idx="7">
                  <c:v>0.072794117647058787</c:v>
                </c:pt>
                <c:pt idx="8">
                  <c:v>0.015421521590130327</c:v>
                </c:pt>
                <c:pt idx="9">
                  <c:v>0.061096726290921444</c:v>
                </c:pt>
                <c:pt idx="10">
                  <c:v>0.0533</c:v>
                </c:pt>
                <c:pt idx="11">
                  <c:v>0.051</c:v>
                </c:pt>
              </c:numCache>
            </c:numRef>
          </c:val>
          <c:smooth val="0"/>
          <c:extLst>
            <c:ext xmlns:c16="http://schemas.microsoft.com/office/drawing/2014/chart" uri="{C3380CC4-5D6E-409C-BE32-E72D297353CC}">
              <c16:uniqueId val="{00000002-D949-483A-B295-93A87A231DAC}"/>
            </c:ext>
          </c:extLst>
        </c:ser>
        <c:dLbls>
          <c:showLegendKey val="0"/>
          <c:showVal val="0"/>
          <c:showCatName val="0"/>
          <c:showSerName val="0"/>
          <c:showPercent val="0"/>
          <c:showBubbleSize val="0"/>
        </c:dLbls>
        <c:marker val="1"/>
        <c:smooth val="0"/>
        <c:axId val="-1322429792"/>
        <c:axId val="-1322406944"/>
      </c:lineChart>
      <c:catAx>
        <c:axId val="-1322419456"/>
        <c:scaling>
          <c:orientation val="minMax"/>
        </c:scaling>
        <c:delete val="0"/>
        <c:axPos val="b"/>
        <c:numFmt formatCode="General" sourceLinked="1"/>
        <c:majorTickMark val="none"/>
        <c:minorTickMark val="none"/>
        <c:tickLblPos val="nextTo"/>
        <c:txPr>
          <a:bodyPr/>
          <a:lstStyle/>
          <a:p>
            <a:pPr>
              <a:defRPr sz="1000">
                <a:latin typeface="Helvetica" panose="020B0604020202020204" pitchFamily="34" charset="0"/>
                <a:cs typeface="Helvetica" panose="020B0604020202020204" pitchFamily="34" charset="0"/>
              </a:defRPr>
            </a:pPr>
            <a:endParaRPr lang="zh-CN"/>
          </a:p>
        </c:txPr>
        <c:crossAx val="-1322431424"/>
        <c:crosses val="autoZero"/>
        <c:auto val="1"/>
        <c:lblAlgn val="ctr"/>
        <c:lblOffset val="100"/>
        <c:noMultiLvlLbl val="0"/>
      </c:catAx>
      <c:valAx>
        <c:axId val="-1322431424"/>
        <c:scaling>
          <c:orientation val="minMax"/>
        </c:scaling>
        <c:delete val="0"/>
        <c:axPos val="l"/>
        <c:majorGridlines>
          <c:spPr>
            <a:ln>
              <a:noFill/>
            </a:ln>
          </c:spPr>
        </c:majorGridlines>
        <c:numFmt formatCode="General" sourceLinked="1"/>
        <c:majorTickMark val="none"/>
        <c:minorTickMark val="none"/>
        <c:tickLblPos val="none"/>
        <c:spPr>
          <a:ln>
            <a:noFill/>
          </a:ln>
        </c:spPr>
        <c:crossAx val="-1322419456"/>
        <c:crosses val="autoZero"/>
        <c:crossBetween val="between"/>
      </c:valAx>
      <c:valAx>
        <c:axId val="-1322406944"/>
        <c:scaling>
          <c:orientation val="minMax"/>
          <c:max val="0.45"/>
        </c:scaling>
        <c:delete val="0"/>
        <c:axPos val="r"/>
        <c:numFmt formatCode="0%" sourceLinked="0"/>
        <c:majorTickMark val="out"/>
        <c:minorTickMark val="none"/>
        <c:tickLblPos val="none"/>
        <c:spPr>
          <a:ln>
            <a:noFill/>
          </a:ln>
        </c:spPr>
        <c:crossAx val="-1322429792"/>
        <c:crosses val="max"/>
        <c:crossBetween val="between"/>
      </c:valAx>
      <c:catAx>
        <c:axId val="-1322429792"/>
        <c:scaling>
          <c:orientation val="minMax"/>
        </c:scaling>
        <c:delete val="1"/>
        <c:axPos val="b"/>
        <c:numFmt formatCode="General" sourceLinked="1"/>
        <c:majorTickMark val="out"/>
        <c:minorTickMark val="none"/>
        <c:tickLblPos val="nextTo"/>
        <c:crossAx val="-1322406944"/>
        <c:crosses val="autoZero"/>
        <c:auto val="1"/>
        <c:lblAlgn val="ctr"/>
        <c:lblOffset val="100"/>
        <c:noMultiLvlLbl val="0"/>
      </c:catAx>
      <c:spPr>
        <a:ln>
          <a:noFill/>
        </a:ln>
      </c:spPr>
    </c:plotArea>
    <c:plotVisOnly val="1"/>
    <c:dispBlanksAs val="gap"/>
    <c:showDLblsOverMax val="0"/>
  </c:chart>
  <c:spPr>
    <a:ln>
      <a:noFill/>
    </a:ln>
  </c:spPr>
  <c:externalData r:id="rId1">
    <c:autoUpdate val="0"/>
  </c:externalData>
  <c:userShapes r:id="rId2"/>
</c:chartSpace>
</file>

<file path=word/charts/chart2.xml><?xml version="1.0" encoding="utf-8"?>
<c:chartSpace xmlns:c="http://schemas.openxmlformats.org/drawingml/2006/chart" xmlns:a="http://schemas.openxmlformats.org/drawingml/2006/main" xmlns:r="http://schemas.openxmlformats.org/officeDocument/2006/relationships">
  <c:date1904 val="0"/>
  <c:lang val="zh-CN"/>
  <c:roundedCorners val="0"/>
  <mc:AlternateContent xmlns:mc="http://schemas.openxmlformats.org/markup-compatibility/2006">
    <mc:Choice xmlns:c14="http://schemas.microsoft.com/office/drawing/2007/8/2/chart" Requires="c14">
      <c14:style val="112"/>
    </mc:Choice>
    <mc:Fallback>
      <c:style val="12"/>
    </mc:Fallback>
  </mc:AlternateContent>
  <c:chart>
    <c:autoTitleDeleted val="1"/>
    <c:plotArea>
      <c:layout>
        <c:manualLayout>
          <c:layoutTarget val="inner"/>
          <c:xMode val="edge"/>
          <c:yMode val="edge"/>
          <c:x val="0.012659003831417624"/>
          <c:y val="0.04352259075059204"/>
          <c:w val="0.98085859662884567"/>
          <c:h val="0.84752408783234812"/>
        </c:manualLayout>
      </c:layout>
      <c:barChart>
        <c:barDir val="col"/>
        <c:grouping val="clustered"/>
        <c:varyColors val="0"/>
        <c:ser>
          <c:idx val="0"/>
          <c:order val="0"/>
          <c:tx>
            <c:strRef>
              <c:f>'qyr-2022'!$B$2</c:f>
              <c:strCache>
                <c:ptCount val="1"/>
                <c:pt idx="0">
                  <c:v>Capacity</c:v>
                </c:pt>
              </c:strCache>
            </c:strRef>
          </c:tx>
          <c:spPr>
            <a:solidFill>
              <a:schemeClr val="accent1">
                <a:lumMod val="50000"/>
              </a:schemeClr>
            </a:solidFill>
            <a:ln>
              <a:noFill/>
            </a:ln>
            <a:effectLst>
              <a:outerShdw blurRad="40000" dist="20000" dir="5400000" sx="100000" sy="100000" kx="0" ky="0" algn="b" rotWithShape="0">
                <a:schemeClr val="tx2">
                  <a:lumMod val="60000"/>
                  <a:lumOff val="40000"/>
                  <a:alpha val="38000"/>
                </a:schemeClr>
              </a:outerShdw>
            </a:effectLst>
          </c:spPr>
          <c:invertIfNegative val="0"/>
          <c:dLbls>
            <c:numFmt formatCode="\x\x" sourceLinked="0"/>
            <c:spPr>
              <a:noFill/>
              <a:ln>
                <a:noFill/>
              </a:ln>
              <a:effectLst>
                <a:outerShdw blurRad="50800" dist="50800" dir="5400000" sx="7000" sy="7000" kx="0" ky="0" algn="ctr" rotWithShape="0">
                  <a:srgbClr val="000000">
                    <a:alpha val="43137"/>
                  </a:srgbClr>
                </a:outerShdw>
              </a:effectLst>
            </c:spPr>
            <c:txPr>
              <a:bodyPr wrap="square" lIns="38100" tIns="19050" rIns="38100" bIns="19050" anchor="ctr" anchorCtr="0">
                <a:spAutoFit/>
              </a:bodyPr>
              <a:lstStyle/>
              <a:p>
                <a:pPr>
                  <a:defRPr sz="1200" cap="all" baseline="0">
                    <a:solidFill>
                      <a:schemeClr val="tx1"/>
                    </a:solidFill>
                    <a:latin typeface="Helvetica" panose="020B0604020202020204" pitchFamily="34" charset="0"/>
                    <a:ea typeface="Cambria" panose="02040503050406030204" pitchFamily="18" charset="0"/>
                    <a:cs typeface="Helvetica" panose="020B0604020202020204" pitchFamily="34" charset="0"/>
                  </a:defRPr>
                </a:pPr>
                <a:endParaRPr lang="zh-CN"/>
              </a:p>
            </c:txPr>
            <c:dLblPos val="outEnd"/>
            <c:showLegendKey val="0"/>
            <c:showVal val="1"/>
            <c:showCatName val="0"/>
            <c:showSerName val="0"/>
            <c:showPercent val="0"/>
            <c:showBubbleSize val="0"/>
            <c:showLeaderLines val="0"/>
            <c:extLst>
              <c:ext xmlns:c15="http://schemas.microsoft.com/office/drawing/2012/chart" uri="{CE6537A1-D6FC-4f65-9D91-7224C49458BB}">
                <c15:showLeaderLines val="0"/>
              </c:ext>
            </c:extLst>
          </c:dLbls>
          <c:cat>
            <c:numRef>
              <c:f>'qyr-2022'!$E$1:$P$1</c:f>
              <c:numCache>
                <c:formatCode>General</c:formatCode>
                <c:ptCount val="12"/>
                <c:pt idx="0">
                  <c:v>2019</c:v>
                </c:pt>
                <c:pt idx="1">
                  <c:v>2020</c:v>
                </c:pt>
                <c:pt idx="2">
                  <c:v>2021</c:v>
                </c:pt>
                <c:pt idx="3">
                  <c:v>2022</c:v>
                </c:pt>
                <c:pt idx="4">
                  <c:v>2023</c:v>
                </c:pt>
                <c:pt idx="5">
                  <c:v>2024</c:v>
                </c:pt>
                <c:pt idx="6">
                  <c:v>2025</c:v>
                </c:pt>
                <c:pt idx="7">
                  <c:v>2026</c:v>
                </c:pt>
                <c:pt idx="8">
                  <c:v>2027</c:v>
                </c:pt>
                <c:pt idx="9">
                  <c:v>2028</c:v>
                </c:pt>
                <c:pt idx="10">
                  <c:v>2029</c:v>
                </c:pt>
                <c:pt idx="11">
                  <c:v>2030</c:v>
                </c:pt>
              </c:numCache>
            </c:numRef>
          </c:cat>
          <c:val>
            <c:numRef>
              <c:f>'qyr-2022'!$E$2:$P$2</c:f>
              <c:numCache>
                <c:formatCode>General</c:formatCode>
                <c:ptCount val="12"/>
                <c:pt idx="0">
                  <c:v>423</c:v>
                </c:pt>
                <c:pt idx="1">
                  <c:v>382.2</c:v>
                </c:pt>
                <c:pt idx="2">
                  <c:v>469.59999999999997</c:v>
                </c:pt>
                <c:pt idx="3">
                  <c:v>505</c:v>
                </c:pt>
                <c:pt idx="4">
                  <c:v>482</c:v>
                </c:pt>
                <c:pt idx="5">
                  <c:v>492</c:v>
                </c:pt>
                <c:pt idx="6">
                  <c:v>544</c:v>
                </c:pt>
                <c:pt idx="7">
                  <c:v>583.6</c:v>
                </c:pt>
                <c:pt idx="8">
                  <c:v>592.6</c:v>
                </c:pt>
                <c:pt idx="9" formatCode="0.0">
                  <c:v>628.80592</c:v>
                </c:pt>
                <c:pt idx="10" formatCode="0.0">
                  <c:v>721.00791023200009</c:v>
                </c:pt>
                <c:pt idx="11" formatCode="0.0">
                  <c:v>777.302376935688</c:v>
                </c:pt>
              </c:numCache>
            </c:numRef>
          </c:val>
          <c:extLst>
            <c:ext xmlns:c16="http://schemas.microsoft.com/office/drawing/2014/chart" uri="{C3380CC4-5D6E-409C-BE32-E72D297353CC}">
              <c16:uniqueId val="{00000000-5707-4DEF-894B-385A7FBE4ED3}"/>
            </c:ext>
          </c:extLst>
        </c:ser>
        <c:dLbls>
          <c:showLegendKey val="0"/>
          <c:showVal val="0"/>
          <c:showCatName val="0"/>
          <c:showSerName val="0"/>
          <c:showPercent val="0"/>
          <c:showBubbleSize val="0"/>
        </c:dLbls>
        <c:gapWidth val="30"/>
        <c:axId val="-1322419456"/>
        <c:axId val="-1322431424"/>
      </c:barChart>
      <c:lineChart>
        <c:grouping val="stacked"/>
        <c:varyColors val="0"/>
        <c:ser>
          <c:idx val="1"/>
          <c:order val="1"/>
          <c:tx>
            <c:strRef>
              <c:f>'qyr-2022'!$B$3</c:f>
              <c:strCache>
                <c:ptCount val="1"/>
                <c:pt idx="0">
                  <c:v>Growth Rate</c:v>
                </c:pt>
              </c:strCache>
            </c:strRef>
          </c:tx>
          <c:spPr>
            <a:ln w="25400">
              <a:solidFill>
                <a:srgbClr val="FFC000"/>
              </a:solidFill>
            </a:ln>
          </c:spPr>
          <c:marker>
            <c:symbol val="circle"/>
            <c:size val="26"/>
            <c:spPr>
              <a:solidFill>
                <a:schemeClr val="bg1">
                  <a:lumMod val="50000"/>
                </a:schemeClr>
              </a:solidFill>
              <a:ln>
                <a:solidFill>
                  <a:schemeClr val="bg1"/>
                </a:solidFill>
              </a:ln>
            </c:spPr>
          </c:marker>
          <c:dLbls>
            <c:numFmt formatCode="\x\x\%" sourceLinked="0"/>
            <c:spPr>
              <a:noFill/>
              <a:ln>
                <a:noFill/>
              </a:ln>
              <a:effectLst/>
            </c:spPr>
            <c:txPr>
              <a:bodyPr wrap="square" lIns="38100" tIns="19050" rIns="38100" bIns="19050" anchor="ctr">
                <a:spAutoFit/>
              </a:bodyPr>
              <a:lstStyle/>
              <a:p>
                <a:pPr>
                  <a:defRPr>
                    <a:solidFill>
                      <a:schemeClr val="bg1">
                        <a:lumMod val="95000"/>
                      </a:schemeClr>
                    </a:solidFill>
                    <a:latin typeface="Helvetica" panose="020B0604020202020204" pitchFamily="34" charset="0"/>
                    <a:cs typeface="Helvetica" panose="020B0604020202020204" pitchFamily="34" charset="0"/>
                  </a:defRPr>
                </a:pPr>
                <a:endParaRPr lang="zh-CN"/>
              </a:p>
            </c:txPr>
            <c:dLblPos val="ctr"/>
            <c:showLegendKey val="0"/>
            <c:showVal val="1"/>
            <c:showCatName val="0"/>
            <c:showSerName val="0"/>
            <c:showPercent val="0"/>
            <c:showBubbleSize val="0"/>
            <c:showLeaderLines val="0"/>
            <c:extLst>
              <c:ext xmlns:c15="http://schemas.microsoft.com/office/drawing/2012/chart" uri="{CE6537A1-D6FC-4f65-9D91-7224C49458BB}">
                <c15:showLeaderLines val="1"/>
              </c:ext>
            </c:extLst>
          </c:dLbls>
          <c:cat>
            <c:numRef>
              <c:f>'qyr-2022'!$E$1:$P$1</c:f>
              <c:numCache>
                <c:formatCode>General</c:formatCode>
                <c:ptCount val="12"/>
                <c:pt idx="0">
                  <c:v>2019</c:v>
                </c:pt>
                <c:pt idx="1">
                  <c:v>2020</c:v>
                </c:pt>
                <c:pt idx="2">
                  <c:v>2021</c:v>
                </c:pt>
                <c:pt idx="3">
                  <c:v>2022</c:v>
                </c:pt>
                <c:pt idx="4">
                  <c:v>2023</c:v>
                </c:pt>
                <c:pt idx="5">
                  <c:v>2024</c:v>
                </c:pt>
                <c:pt idx="6">
                  <c:v>2025</c:v>
                </c:pt>
                <c:pt idx="7">
                  <c:v>2026</c:v>
                </c:pt>
                <c:pt idx="8">
                  <c:v>2027</c:v>
                </c:pt>
                <c:pt idx="9">
                  <c:v>2028</c:v>
                </c:pt>
                <c:pt idx="10">
                  <c:v>2029</c:v>
                </c:pt>
                <c:pt idx="11">
                  <c:v>2030</c:v>
                </c:pt>
              </c:numCache>
            </c:numRef>
          </c:cat>
          <c:val>
            <c:numRef>
              <c:f>'qyr-2022'!$E$3:$P$3</c:f>
              <c:numCache>
                <c:formatCode>0.00%</c:formatCode>
                <c:ptCount val="12"/>
                <c:pt idx="0">
                  <c:v>-0.037761601455868932</c:v>
                </c:pt>
                <c:pt idx="1">
                  <c:v>-0.096453900709219886</c:v>
                </c:pt>
                <c:pt idx="2">
                  <c:v>0.22867608581894294</c:v>
                </c:pt>
                <c:pt idx="3">
                  <c:v>0.075383304940374929</c:v>
                </c:pt>
                <c:pt idx="4">
                  <c:v>-0.045544554455445585</c:v>
                </c:pt>
                <c:pt idx="5">
                  <c:v>0.020746887966804906</c:v>
                </c:pt>
                <c:pt idx="6">
                  <c:v>0.10569105691056913</c:v>
                </c:pt>
                <c:pt idx="7">
                  <c:v>0.072794117647058787</c:v>
                </c:pt>
                <c:pt idx="8">
                  <c:v>0.015421521590130327</c:v>
                </c:pt>
                <c:pt idx="9">
                  <c:v>0.061096726290921444</c:v>
                </c:pt>
                <c:pt idx="10">
                  <c:v>0.0533</c:v>
                </c:pt>
                <c:pt idx="11">
                  <c:v>0.051</c:v>
                </c:pt>
              </c:numCache>
            </c:numRef>
          </c:val>
          <c:smooth val="0"/>
          <c:extLst>
            <c:ext xmlns:c16="http://schemas.microsoft.com/office/drawing/2014/chart" uri="{C3380CC4-5D6E-409C-BE32-E72D297353CC}">
              <c16:uniqueId val="{00000002-5707-4DEF-894B-385A7FBE4ED3}"/>
            </c:ext>
          </c:extLst>
        </c:ser>
        <c:dLbls>
          <c:showLegendKey val="0"/>
          <c:showVal val="0"/>
          <c:showCatName val="0"/>
          <c:showSerName val="0"/>
          <c:showPercent val="0"/>
          <c:showBubbleSize val="0"/>
        </c:dLbls>
        <c:marker val="1"/>
        <c:smooth val="0"/>
        <c:axId val="-1322429792"/>
        <c:axId val="-1322406944"/>
      </c:lineChart>
      <c:catAx>
        <c:axId val="-1322419456"/>
        <c:scaling>
          <c:orientation val="minMax"/>
        </c:scaling>
        <c:delete val="0"/>
        <c:axPos val="b"/>
        <c:numFmt formatCode="General" sourceLinked="1"/>
        <c:majorTickMark val="none"/>
        <c:minorTickMark val="none"/>
        <c:tickLblPos val="nextTo"/>
        <c:txPr>
          <a:bodyPr/>
          <a:lstStyle/>
          <a:p>
            <a:pPr>
              <a:defRPr sz="1000">
                <a:latin typeface="Helvetica" panose="020B0604020202020204" pitchFamily="34" charset="0"/>
                <a:cs typeface="Helvetica" panose="020B0604020202020204" pitchFamily="34" charset="0"/>
              </a:defRPr>
            </a:pPr>
            <a:endParaRPr lang="zh-CN"/>
          </a:p>
        </c:txPr>
        <c:crossAx val="-1322431424"/>
        <c:crosses val="autoZero"/>
        <c:auto val="1"/>
        <c:lblAlgn val="ctr"/>
        <c:lblOffset val="100"/>
        <c:noMultiLvlLbl val="0"/>
      </c:catAx>
      <c:valAx>
        <c:axId val="-1322431424"/>
        <c:scaling>
          <c:orientation val="minMax"/>
        </c:scaling>
        <c:delete val="0"/>
        <c:axPos val="l"/>
        <c:majorGridlines>
          <c:spPr>
            <a:ln>
              <a:noFill/>
            </a:ln>
          </c:spPr>
        </c:majorGridlines>
        <c:numFmt formatCode="General" sourceLinked="1"/>
        <c:majorTickMark val="none"/>
        <c:minorTickMark val="none"/>
        <c:tickLblPos val="none"/>
        <c:spPr>
          <a:ln>
            <a:noFill/>
          </a:ln>
        </c:spPr>
        <c:crossAx val="-1322419456"/>
        <c:crosses val="autoZero"/>
        <c:crossBetween val="between"/>
      </c:valAx>
      <c:valAx>
        <c:axId val="-1322406944"/>
        <c:scaling>
          <c:orientation val="minMax"/>
          <c:max val="0.45"/>
        </c:scaling>
        <c:delete val="0"/>
        <c:axPos val="r"/>
        <c:numFmt formatCode="0%" sourceLinked="0"/>
        <c:majorTickMark val="out"/>
        <c:minorTickMark val="none"/>
        <c:tickLblPos val="none"/>
        <c:spPr>
          <a:ln>
            <a:noFill/>
          </a:ln>
        </c:spPr>
        <c:crossAx val="-1322429792"/>
        <c:crosses val="max"/>
        <c:crossBetween val="between"/>
      </c:valAx>
      <c:catAx>
        <c:axId val="-1322429792"/>
        <c:scaling>
          <c:orientation val="minMax"/>
        </c:scaling>
        <c:delete val="1"/>
        <c:axPos val="b"/>
        <c:numFmt formatCode="General" sourceLinked="1"/>
        <c:majorTickMark val="out"/>
        <c:minorTickMark val="none"/>
        <c:tickLblPos val="nextTo"/>
        <c:crossAx val="-1322406944"/>
        <c:crosses val="autoZero"/>
        <c:auto val="1"/>
        <c:lblAlgn val="ctr"/>
        <c:lblOffset val="100"/>
        <c:noMultiLvlLbl val="0"/>
      </c:catAx>
      <c:spPr>
        <a:ln>
          <a:noFill/>
        </a:ln>
      </c:spPr>
    </c:plotArea>
    <c:plotVisOnly val="1"/>
    <c:dispBlanksAs val="gap"/>
    <c:showDLblsOverMax val="0"/>
  </c:chart>
  <c:spPr>
    <a:ln>
      <a:noFill/>
    </a:ln>
  </c:spPr>
  <c:externalData r:id="rId1">
    <c:autoUpdate val="0"/>
  </c:externalData>
  <c:userShapes r:id="rId2"/>
</c:chartSpace>
</file>

<file path=word/charts/chart3.xml><?xml version="1.0" encoding="utf-8"?>
<c:chartSpace xmlns:c="http://schemas.openxmlformats.org/drawingml/2006/chart" xmlns:a="http://schemas.openxmlformats.org/drawingml/2006/main" xmlns:r="http://schemas.openxmlformats.org/officeDocument/2006/relationships">
  <c:date1904 val="0"/>
  <c:lang val="zh-CN"/>
  <c:roundedCorners val="0"/>
  <mc:AlternateContent xmlns:mc="http://schemas.openxmlformats.org/markup-compatibility/2006">
    <mc:Choice xmlns:c14="http://schemas.microsoft.com/office/drawing/2007/8/2/chart" Requires="c14">
      <c14:style val="112"/>
    </mc:Choice>
    <mc:Fallback>
      <c:style val="12"/>
    </mc:Fallback>
  </mc:AlternateContent>
  <c:chart>
    <c:autoTitleDeleted val="1"/>
    <c:plotArea>
      <c:layout>
        <c:manualLayout>
          <c:layoutTarget val="inner"/>
          <c:xMode val="edge"/>
          <c:yMode val="edge"/>
          <c:x val="0.012659003831417624"/>
          <c:y val="0.04352259075059204"/>
          <c:w val="0.98085859662884567"/>
          <c:h val="0.84752408783234812"/>
        </c:manualLayout>
      </c:layout>
      <c:barChart>
        <c:barDir val="col"/>
        <c:grouping val="clustered"/>
        <c:varyColors val="0"/>
        <c:ser>
          <c:idx val="0"/>
          <c:order val="0"/>
          <c:tx>
            <c:strRef>
              <c:f>'qyr-2022'!$B$2</c:f>
              <c:strCache>
                <c:ptCount val="1"/>
                <c:pt idx="0">
                  <c:v>Capacity</c:v>
                </c:pt>
              </c:strCache>
            </c:strRef>
          </c:tx>
          <c:spPr>
            <a:solidFill>
              <a:schemeClr val="accent1">
                <a:lumMod val="50000"/>
              </a:schemeClr>
            </a:solidFill>
            <a:ln>
              <a:noFill/>
            </a:ln>
            <a:effectLst>
              <a:outerShdw blurRad="40000" dist="20000" dir="5400000" sx="100000" sy="100000" kx="0" ky="0" algn="b" rotWithShape="0">
                <a:schemeClr val="tx2">
                  <a:lumMod val="60000"/>
                  <a:lumOff val="40000"/>
                  <a:alpha val="38000"/>
                </a:schemeClr>
              </a:outerShdw>
            </a:effectLst>
          </c:spPr>
          <c:invertIfNegative val="0"/>
          <c:dLbls>
            <c:numFmt formatCode="\x\x" sourceLinked="0"/>
            <c:spPr>
              <a:noFill/>
              <a:ln>
                <a:noFill/>
              </a:ln>
              <a:effectLst>
                <a:outerShdw blurRad="50800" dist="50800" dir="5400000" sx="7000" sy="7000" kx="0" ky="0" algn="ctr" rotWithShape="0">
                  <a:srgbClr val="000000">
                    <a:alpha val="43137"/>
                  </a:srgbClr>
                </a:outerShdw>
              </a:effectLst>
            </c:spPr>
            <c:txPr>
              <a:bodyPr wrap="square" lIns="38100" tIns="19050" rIns="38100" bIns="19050" anchor="ctr" anchorCtr="0">
                <a:spAutoFit/>
              </a:bodyPr>
              <a:lstStyle/>
              <a:p>
                <a:pPr>
                  <a:defRPr sz="1200" cap="all" baseline="0">
                    <a:solidFill>
                      <a:schemeClr val="tx1"/>
                    </a:solidFill>
                    <a:latin typeface="Helvetica" panose="020B0604020202020204" pitchFamily="34" charset="0"/>
                    <a:ea typeface="Cambria" panose="02040503050406030204" pitchFamily="18" charset="0"/>
                    <a:cs typeface="Helvetica" panose="020B0604020202020204" pitchFamily="34" charset="0"/>
                  </a:defRPr>
                </a:pPr>
                <a:endParaRPr lang="zh-CN"/>
              </a:p>
            </c:txPr>
            <c:dLblPos val="outEnd"/>
            <c:showLegendKey val="0"/>
            <c:showVal val="1"/>
            <c:showCatName val="0"/>
            <c:showSerName val="0"/>
            <c:showPercent val="0"/>
            <c:showBubbleSize val="0"/>
            <c:showLeaderLines val="0"/>
            <c:extLst>
              <c:ext xmlns:c15="http://schemas.microsoft.com/office/drawing/2012/chart" uri="{CE6537A1-D6FC-4f65-9D91-7224C49458BB}">
                <c15:showLeaderLines val="0"/>
              </c:ext>
            </c:extLst>
          </c:dLbls>
          <c:cat>
            <c:numRef>
              <c:f>'qyr-2022'!$E$1:$P$1</c:f>
              <c:numCache>
                <c:formatCode>General</c:formatCode>
                <c:ptCount val="12"/>
                <c:pt idx="0">
                  <c:v>2019</c:v>
                </c:pt>
                <c:pt idx="1">
                  <c:v>2020</c:v>
                </c:pt>
                <c:pt idx="2">
                  <c:v>2021</c:v>
                </c:pt>
                <c:pt idx="3">
                  <c:v>2022</c:v>
                </c:pt>
                <c:pt idx="4">
                  <c:v>2023</c:v>
                </c:pt>
                <c:pt idx="5">
                  <c:v>2024</c:v>
                </c:pt>
                <c:pt idx="6">
                  <c:v>2025</c:v>
                </c:pt>
                <c:pt idx="7">
                  <c:v>2026</c:v>
                </c:pt>
                <c:pt idx="8">
                  <c:v>2027</c:v>
                </c:pt>
                <c:pt idx="9">
                  <c:v>2028</c:v>
                </c:pt>
                <c:pt idx="10">
                  <c:v>2029</c:v>
                </c:pt>
                <c:pt idx="11">
                  <c:v>2030</c:v>
                </c:pt>
              </c:numCache>
            </c:numRef>
          </c:cat>
          <c:val>
            <c:numRef>
              <c:f>'qyr-2022'!$E$2:$P$2</c:f>
              <c:numCache>
                <c:formatCode>General</c:formatCode>
                <c:ptCount val="12"/>
                <c:pt idx="0">
                  <c:v>423</c:v>
                </c:pt>
                <c:pt idx="1">
                  <c:v>382.2</c:v>
                </c:pt>
                <c:pt idx="2">
                  <c:v>469.59999999999997</c:v>
                </c:pt>
                <c:pt idx="3">
                  <c:v>505</c:v>
                </c:pt>
                <c:pt idx="4">
                  <c:v>482</c:v>
                </c:pt>
                <c:pt idx="5">
                  <c:v>492</c:v>
                </c:pt>
                <c:pt idx="6">
                  <c:v>544</c:v>
                </c:pt>
                <c:pt idx="7">
                  <c:v>583.6</c:v>
                </c:pt>
                <c:pt idx="8">
                  <c:v>592.6</c:v>
                </c:pt>
                <c:pt idx="9" formatCode="0.0">
                  <c:v>628.80592</c:v>
                </c:pt>
                <c:pt idx="10" formatCode="0.0">
                  <c:v>721.00791023200009</c:v>
                </c:pt>
                <c:pt idx="11" formatCode="0.0">
                  <c:v>777.302376935688</c:v>
                </c:pt>
              </c:numCache>
            </c:numRef>
          </c:val>
          <c:extLst>
            <c:ext xmlns:c16="http://schemas.microsoft.com/office/drawing/2014/chart" uri="{C3380CC4-5D6E-409C-BE32-E72D297353CC}">
              <c16:uniqueId val="{00000000-E42D-4B04-908C-8C14C564851C}"/>
            </c:ext>
          </c:extLst>
        </c:ser>
        <c:dLbls>
          <c:showLegendKey val="0"/>
          <c:showVal val="0"/>
          <c:showCatName val="0"/>
          <c:showSerName val="0"/>
          <c:showPercent val="0"/>
          <c:showBubbleSize val="0"/>
        </c:dLbls>
        <c:gapWidth val="30"/>
        <c:axId val="-1322419456"/>
        <c:axId val="-1322431424"/>
      </c:barChart>
      <c:lineChart>
        <c:grouping val="stacked"/>
        <c:varyColors val="0"/>
        <c:ser>
          <c:idx val="1"/>
          <c:order val="1"/>
          <c:tx>
            <c:strRef>
              <c:f>'qyr-2022'!$B$3</c:f>
              <c:strCache>
                <c:ptCount val="1"/>
                <c:pt idx="0">
                  <c:v>Growth Rate</c:v>
                </c:pt>
              </c:strCache>
            </c:strRef>
          </c:tx>
          <c:spPr>
            <a:ln w="25400">
              <a:solidFill>
                <a:srgbClr val="FFC000"/>
              </a:solidFill>
            </a:ln>
          </c:spPr>
          <c:marker>
            <c:symbol val="circle"/>
            <c:size val="26"/>
            <c:spPr>
              <a:solidFill>
                <a:schemeClr val="bg1">
                  <a:lumMod val="50000"/>
                </a:schemeClr>
              </a:solidFill>
              <a:ln>
                <a:solidFill>
                  <a:schemeClr val="bg1"/>
                </a:solidFill>
              </a:ln>
            </c:spPr>
          </c:marker>
          <c:dLbls>
            <c:numFmt formatCode="\x\x\%" sourceLinked="0"/>
            <c:spPr>
              <a:noFill/>
              <a:ln>
                <a:noFill/>
              </a:ln>
              <a:effectLst/>
            </c:spPr>
            <c:txPr>
              <a:bodyPr wrap="square" lIns="38100" tIns="19050" rIns="38100" bIns="19050" anchor="ctr">
                <a:spAutoFit/>
              </a:bodyPr>
              <a:lstStyle/>
              <a:p>
                <a:pPr>
                  <a:defRPr>
                    <a:solidFill>
                      <a:schemeClr val="bg1">
                        <a:lumMod val="95000"/>
                      </a:schemeClr>
                    </a:solidFill>
                    <a:latin typeface="Helvetica" panose="020B0604020202020204" pitchFamily="34" charset="0"/>
                    <a:cs typeface="Helvetica" panose="020B0604020202020204" pitchFamily="34" charset="0"/>
                  </a:defRPr>
                </a:pPr>
                <a:endParaRPr lang="zh-CN"/>
              </a:p>
            </c:txPr>
            <c:dLblPos val="ctr"/>
            <c:showLegendKey val="0"/>
            <c:showVal val="1"/>
            <c:showCatName val="0"/>
            <c:showSerName val="0"/>
            <c:showPercent val="0"/>
            <c:showBubbleSize val="0"/>
            <c:showLeaderLines val="0"/>
            <c:extLst>
              <c:ext xmlns:c15="http://schemas.microsoft.com/office/drawing/2012/chart" uri="{CE6537A1-D6FC-4f65-9D91-7224C49458BB}">
                <c15:showLeaderLines val="1"/>
              </c:ext>
            </c:extLst>
          </c:dLbls>
          <c:cat>
            <c:numRef>
              <c:f>'qyr-2022'!$E$1:$P$1</c:f>
              <c:numCache>
                <c:formatCode>General</c:formatCode>
                <c:ptCount val="12"/>
                <c:pt idx="0">
                  <c:v>2019</c:v>
                </c:pt>
                <c:pt idx="1">
                  <c:v>2020</c:v>
                </c:pt>
                <c:pt idx="2">
                  <c:v>2021</c:v>
                </c:pt>
                <c:pt idx="3">
                  <c:v>2022</c:v>
                </c:pt>
                <c:pt idx="4">
                  <c:v>2023</c:v>
                </c:pt>
                <c:pt idx="5">
                  <c:v>2024</c:v>
                </c:pt>
                <c:pt idx="6">
                  <c:v>2025</c:v>
                </c:pt>
                <c:pt idx="7">
                  <c:v>2026</c:v>
                </c:pt>
                <c:pt idx="8">
                  <c:v>2027</c:v>
                </c:pt>
                <c:pt idx="9">
                  <c:v>2028</c:v>
                </c:pt>
                <c:pt idx="10">
                  <c:v>2029</c:v>
                </c:pt>
                <c:pt idx="11">
                  <c:v>2030</c:v>
                </c:pt>
              </c:numCache>
            </c:numRef>
          </c:cat>
          <c:val>
            <c:numRef>
              <c:f>'qyr-2022'!$E$3:$P$3</c:f>
              <c:numCache>
                <c:formatCode>0.00%</c:formatCode>
                <c:ptCount val="12"/>
                <c:pt idx="0">
                  <c:v>-0.037761601455868932</c:v>
                </c:pt>
                <c:pt idx="1">
                  <c:v>-0.096453900709219886</c:v>
                </c:pt>
                <c:pt idx="2">
                  <c:v>0.22867608581894294</c:v>
                </c:pt>
                <c:pt idx="3">
                  <c:v>0.075383304940374929</c:v>
                </c:pt>
                <c:pt idx="4">
                  <c:v>-0.045544554455445585</c:v>
                </c:pt>
                <c:pt idx="5">
                  <c:v>0.020746887966804906</c:v>
                </c:pt>
                <c:pt idx="6">
                  <c:v>0.10569105691056913</c:v>
                </c:pt>
                <c:pt idx="7">
                  <c:v>0.072794117647058787</c:v>
                </c:pt>
                <c:pt idx="8">
                  <c:v>0.015421521590130327</c:v>
                </c:pt>
                <c:pt idx="9">
                  <c:v>0.061096726290921444</c:v>
                </c:pt>
                <c:pt idx="10">
                  <c:v>0.0533</c:v>
                </c:pt>
                <c:pt idx="11">
                  <c:v>0.051</c:v>
                </c:pt>
              </c:numCache>
            </c:numRef>
          </c:val>
          <c:smooth val="0"/>
          <c:extLst>
            <c:ext xmlns:c16="http://schemas.microsoft.com/office/drawing/2014/chart" uri="{C3380CC4-5D6E-409C-BE32-E72D297353CC}">
              <c16:uniqueId val="{00000002-E42D-4B04-908C-8C14C564851C}"/>
            </c:ext>
          </c:extLst>
        </c:ser>
        <c:dLbls>
          <c:showLegendKey val="0"/>
          <c:showVal val="0"/>
          <c:showCatName val="0"/>
          <c:showSerName val="0"/>
          <c:showPercent val="0"/>
          <c:showBubbleSize val="0"/>
        </c:dLbls>
        <c:marker val="1"/>
        <c:smooth val="0"/>
        <c:axId val="-1322429792"/>
        <c:axId val="-1322406944"/>
      </c:lineChart>
      <c:catAx>
        <c:axId val="-1322419456"/>
        <c:scaling>
          <c:orientation val="minMax"/>
        </c:scaling>
        <c:delete val="0"/>
        <c:axPos val="b"/>
        <c:numFmt formatCode="General" sourceLinked="1"/>
        <c:majorTickMark val="none"/>
        <c:minorTickMark val="none"/>
        <c:tickLblPos val="nextTo"/>
        <c:txPr>
          <a:bodyPr/>
          <a:lstStyle/>
          <a:p>
            <a:pPr>
              <a:defRPr sz="1000">
                <a:latin typeface="Helvetica" panose="020B0604020202020204" pitchFamily="34" charset="0"/>
                <a:cs typeface="Helvetica" panose="020B0604020202020204" pitchFamily="34" charset="0"/>
              </a:defRPr>
            </a:pPr>
            <a:endParaRPr lang="zh-CN"/>
          </a:p>
        </c:txPr>
        <c:crossAx val="-1322431424"/>
        <c:crosses val="autoZero"/>
        <c:auto val="1"/>
        <c:lblAlgn val="ctr"/>
        <c:lblOffset val="100"/>
        <c:noMultiLvlLbl val="0"/>
      </c:catAx>
      <c:valAx>
        <c:axId val="-1322431424"/>
        <c:scaling>
          <c:orientation val="minMax"/>
        </c:scaling>
        <c:delete val="0"/>
        <c:axPos val="l"/>
        <c:majorGridlines>
          <c:spPr>
            <a:ln>
              <a:noFill/>
            </a:ln>
          </c:spPr>
        </c:majorGridlines>
        <c:numFmt formatCode="General" sourceLinked="1"/>
        <c:majorTickMark val="none"/>
        <c:minorTickMark val="none"/>
        <c:tickLblPos val="none"/>
        <c:spPr>
          <a:ln>
            <a:noFill/>
          </a:ln>
        </c:spPr>
        <c:crossAx val="-1322419456"/>
        <c:crosses val="autoZero"/>
        <c:crossBetween val="between"/>
      </c:valAx>
      <c:valAx>
        <c:axId val="-1322406944"/>
        <c:scaling>
          <c:orientation val="minMax"/>
          <c:max val="0.45"/>
        </c:scaling>
        <c:delete val="0"/>
        <c:axPos val="r"/>
        <c:numFmt formatCode="0%" sourceLinked="0"/>
        <c:majorTickMark val="out"/>
        <c:minorTickMark val="none"/>
        <c:tickLblPos val="none"/>
        <c:spPr>
          <a:ln>
            <a:noFill/>
          </a:ln>
        </c:spPr>
        <c:crossAx val="-1322429792"/>
        <c:crosses val="max"/>
        <c:crossBetween val="between"/>
      </c:valAx>
      <c:catAx>
        <c:axId val="-1322429792"/>
        <c:scaling>
          <c:orientation val="minMax"/>
        </c:scaling>
        <c:delete val="1"/>
        <c:axPos val="b"/>
        <c:numFmt formatCode="General" sourceLinked="1"/>
        <c:majorTickMark val="out"/>
        <c:minorTickMark val="none"/>
        <c:tickLblPos val="nextTo"/>
        <c:crossAx val="-1322406944"/>
        <c:crosses val="autoZero"/>
        <c:auto val="1"/>
        <c:lblAlgn val="ctr"/>
        <c:lblOffset val="100"/>
        <c:noMultiLvlLbl val="0"/>
      </c:catAx>
      <c:spPr>
        <a:ln>
          <a:noFill/>
        </a:ln>
      </c:spPr>
    </c:plotArea>
    <c:plotVisOnly val="1"/>
    <c:dispBlanksAs val="gap"/>
    <c:showDLblsOverMax val="0"/>
  </c:chart>
  <c:spPr>
    <a:ln>
      <a:noFill/>
    </a:ln>
  </c:spPr>
  <c:externalData r:id="rId1">
    <c:autoUpdate val="0"/>
  </c:externalData>
  <c:userShapes r:id="rId2"/>
</c:chartSpace>
</file>

<file path=word/charts/chart4.xml><?xml version="1.0" encoding="utf-8"?>
<c:chartSpace xmlns:c="http://schemas.openxmlformats.org/drawingml/2006/chart" xmlns:a="http://schemas.openxmlformats.org/drawingml/2006/main" xmlns:r="http://schemas.openxmlformats.org/officeDocument/2006/relationships">
  <c:date1904 val="0"/>
  <c:lang val="zh-CN"/>
  <c:roundedCorners val="0"/>
  <mc:AlternateContent xmlns:mc="http://schemas.openxmlformats.org/markup-compatibility/2006">
    <mc:Choice xmlns:c14="http://schemas.microsoft.com/office/drawing/2007/8/2/chart" Requires="c14">
      <c14:style val="112"/>
    </mc:Choice>
    <mc:Fallback>
      <c:style val="12"/>
    </mc:Fallback>
  </mc:AlternateContent>
  <c:chart>
    <c:autoTitleDeleted val="1"/>
    <c:plotArea>
      <c:layout>
        <c:manualLayout>
          <c:layoutTarget val="inner"/>
          <c:xMode val="edge"/>
          <c:yMode val="edge"/>
          <c:x val="0.012659003831417624"/>
          <c:y val="0.04352259075059204"/>
          <c:w val="0.98085859662884567"/>
          <c:h val="0.84752408783234812"/>
        </c:manualLayout>
      </c:layout>
      <c:barChart>
        <c:barDir val="col"/>
        <c:grouping val="clustered"/>
        <c:varyColors val="0"/>
        <c:ser>
          <c:idx val="0"/>
          <c:order val="0"/>
          <c:tx>
            <c:strRef>
              <c:f>'qyr-2022'!$B$2</c:f>
              <c:strCache>
                <c:ptCount val="1"/>
                <c:pt idx="0">
                  <c:v>Capacity</c:v>
                </c:pt>
              </c:strCache>
            </c:strRef>
          </c:tx>
          <c:spPr>
            <a:solidFill>
              <a:schemeClr val="accent1">
                <a:lumMod val="50000"/>
              </a:schemeClr>
            </a:solidFill>
            <a:ln>
              <a:noFill/>
            </a:ln>
            <a:effectLst>
              <a:outerShdw blurRad="40000" dist="20000" dir="5400000" sx="100000" sy="100000" kx="0" ky="0" algn="b" rotWithShape="0">
                <a:schemeClr val="tx2">
                  <a:lumMod val="60000"/>
                  <a:lumOff val="40000"/>
                  <a:alpha val="38000"/>
                </a:schemeClr>
              </a:outerShdw>
            </a:effectLst>
          </c:spPr>
          <c:invertIfNegative val="0"/>
          <c:dLbls>
            <c:numFmt formatCode="\x\x" sourceLinked="0"/>
            <c:spPr>
              <a:noFill/>
              <a:ln>
                <a:noFill/>
              </a:ln>
              <a:effectLst>
                <a:outerShdw blurRad="50800" dist="50800" dir="5400000" sx="7000" sy="7000" kx="0" ky="0" algn="ctr" rotWithShape="0">
                  <a:srgbClr val="000000">
                    <a:alpha val="43137"/>
                  </a:srgbClr>
                </a:outerShdw>
              </a:effectLst>
            </c:spPr>
            <c:txPr>
              <a:bodyPr wrap="square" lIns="38100" tIns="19050" rIns="38100" bIns="19050" anchor="ctr" anchorCtr="0">
                <a:spAutoFit/>
              </a:bodyPr>
              <a:lstStyle/>
              <a:p>
                <a:pPr>
                  <a:defRPr sz="1200" cap="all" baseline="0">
                    <a:solidFill>
                      <a:schemeClr val="tx1"/>
                    </a:solidFill>
                    <a:latin typeface="Helvetica" panose="020B0604020202020204" pitchFamily="34" charset="0"/>
                    <a:ea typeface="Cambria" panose="02040503050406030204" pitchFamily="18" charset="0"/>
                    <a:cs typeface="Helvetica" panose="020B0604020202020204" pitchFamily="34" charset="0"/>
                  </a:defRPr>
                </a:pPr>
                <a:endParaRPr lang="zh-CN"/>
              </a:p>
            </c:txPr>
            <c:dLblPos val="outEnd"/>
            <c:showLegendKey val="0"/>
            <c:showVal val="1"/>
            <c:showCatName val="0"/>
            <c:showSerName val="0"/>
            <c:showPercent val="0"/>
            <c:showBubbleSize val="0"/>
            <c:showLeaderLines val="0"/>
            <c:extLst>
              <c:ext xmlns:c15="http://schemas.microsoft.com/office/drawing/2012/chart" uri="{CE6537A1-D6FC-4f65-9D91-7224C49458BB}">
                <c15:showLeaderLines val="0"/>
              </c:ext>
            </c:extLst>
          </c:dLbls>
          <c:cat>
            <c:numRef>
              <c:f>'qyr-2022'!$E$1:$P$1</c:f>
              <c:numCache>
                <c:formatCode>General</c:formatCode>
                <c:ptCount val="12"/>
                <c:pt idx="0">
                  <c:v>2019</c:v>
                </c:pt>
                <c:pt idx="1">
                  <c:v>2020</c:v>
                </c:pt>
                <c:pt idx="2">
                  <c:v>2021</c:v>
                </c:pt>
                <c:pt idx="3">
                  <c:v>2022</c:v>
                </c:pt>
                <c:pt idx="4">
                  <c:v>2023</c:v>
                </c:pt>
                <c:pt idx="5">
                  <c:v>2024</c:v>
                </c:pt>
                <c:pt idx="6">
                  <c:v>2025</c:v>
                </c:pt>
                <c:pt idx="7">
                  <c:v>2026</c:v>
                </c:pt>
                <c:pt idx="8">
                  <c:v>2027</c:v>
                </c:pt>
                <c:pt idx="9">
                  <c:v>2028</c:v>
                </c:pt>
                <c:pt idx="10">
                  <c:v>2029</c:v>
                </c:pt>
                <c:pt idx="11">
                  <c:v>2030</c:v>
                </c:pt>
              </c:numCache>
            </c:numRef>
          </c:cat>
          <c:val>
            <c:numRef>
              <c:f>'qyr-2022'!$E$2:$P$2</c:f>
              <c:numCache>
                <c:formatCode>General</c:formatCode>
                <c:ptCount val="12"/>
                <c:pt idx="0">
                  <c:v>423</c:v>
                </c:pt>
                <c:pt idx="1">
                  <c:v>382.2</c:v>
                </c:pt>
                <c:pt idx="2">
                  <c:v>469.59999999999997</c:v>
                </c:pt>
                <c:pt idx="3">
                  <c:v>505</c:v>
                </c:pt>
                <c:pt idx="4">
                  <c:v>482</c:v>
                </c:pt>
                <c:pt idx="5">
                  <c:v>492</c:v>
                </c:pt>
                <c:pt idx="6">
                  <c:v>544</c:v>
                </c:pt>
                <c:pt idx="7">
                  <c:v>583.6</c:v>
                </c:pt>
                <c:pt idx="8">
                  <c:v>592.6</c:v>
                </c:pt>
                <c:pt idx="9" formatCode="0.0">
                  <c:v>628.80592</c:v>
                </c:pt>
                <c:pt idx="10" formatCode="0.0">
                  <c:v>721.00791023200009</c:v>
                </c:pt>
                <c:pt idx="11" formatCode="0.0">
                  <c:v>777.302376935688</c:v>
                </c:pt>
              </c:numCache>
            </c:numRef>
          </c:val>
          <c:extLst>
            <c:ext xmlns:c16="http://schemas.microsoft.com/office/drawing/2014/chart" uri="{C3380CC4-5D6E-409C-BE32-E72D297353CC}">
              <c16:uniqueId val="{00000000-0E83-431F-A721-4A25B989E811}"/>
            </c:ext>
          </c:extLst>
        </c:ser>
        <c:dLbls>
          <c:showLegendKey val="0"/>
          <c:showVal val="0"/>
          <c:showCatName val="0"/>
          <c:showSerName val="0"/>
          <c:showPercent val="0"/>
          <c:showBubbleSize val="0"/>
        </c:dLbls>
        <c:gapWidth val="30"/>
        <c:axId val="-1322419456"/>
        <c:axId val="-1322431424"/>
      </c:barChart>
      <c:lineChart>
        <c:grouping val="stacked"/>
        <c:varyColors val="0"/>
        <c:ser>
          <c:idx val="1"/>
          <c:order val="1"/>
          <c:tx>
            <c:strRef>
              <c:f>'qyr-2022'!$B$3</c:f>
              <c:strCache>
                <c:ptCount val="1"/>
                <c:pt idx="0">
                  <c:v>Growth Rate</c:v>
                </c:pt>
              </c:strCache>
            </c:strRef>
          </c:tx>
          <c:spPr>
            <a:ln w="25400">
              <a:solidFill>
                <a:srgbClr val="FFC000"/>
              </a:solidFill>
            </a:ln>
          </c:spPr>
          <c:marker>
            <c:symbol val="circle"/>
            <c:size val="26"/>
            <c:spPr>
              <a:solidFill>
                <a:schemeClr val="bg1">
                  <a:lumMod val="50000"/>
                </a:schemeClr>
              </a:solidFill>
              <a:ln>
                <a:solidFill>
                  <a:schemeClr val="bg1"/>
                </a:solidFill>
              </a:ln>
            </c:spPr>
          </c:marker>
          <c:dLbls>
            <c:numFmt formatCode="\x\x\%" sourceLinked="0"/>
            <c:spPr>
              <a:noFill/>
              <a:ln>
                <a:noFill/>
              </a:ln>
              <a:effectLst/>
            </c:spPr>
            <c:txPr>
              <a:bodyPr wrap="square" lIns="38100" tIns="19050" rIns="38100" bIns="19050" anchor="ctr">
                <a:spAutoFit/>
              </a:bodyPr>
              <a:lstStyle/>
              <a:p>
                <a:pPr>
                  <a:defRPr>
                    <a:solidFill>
                      <a:schemeClr val="bg1">
                        <a:lumMod val="95000"/>
                      </a:schemeClr>
                    </a:solidFill>
                    <a:latin typeface="Helvetica" panose="020B0604020202020204" pitchFamily="34" charset="0"/>
                    <a:cs typeface="Helvetica" panose="020B0604020202020204" pitchFamily="34" charset="0"/>
                  </a:defRPr>
                </a:pPr>
                <a:endParaRPr lang="zh-CN"/>
              </a:p>
            </c:txPr>
            <c:dLblPos val="ctr"/>
            <c:showLegendKey val="0"/>
            <c:showVal val="1"/>
            <c:showCatName val="0"/>
            <c:showSerName val="0"/>
            <c:showPercent val="0"/>
            <c:showBubbleSize val="0"/>
            <c:showLeaderLines val="0"/>
            <c:extLst>
              <c:ext xmlns:c15="http://schemas.microsoft.com/office/drawing/2012/chart" uri="{CE6537A1-D6FC-4f65-9D91-7224C49458BB}">
                <c15:showLeaderLines val="1"/>
              </c:ext>
            </c:extLst>
          </c:dLbls>
          <c:cat>
            <c:numRef>
              <c:f>'qyr-2022'!$E$1:$P$1</c:f>
              <c:numCache>
                <c:formatCode>General</c:formatCode>
                <c:ptCount val="12"/>
                <c:pt idx="0">
                  <c:v>2019</c:v>
                </c:pt>
                <c:pt idx="1">
                  <c:v>2020</c:v>
                </c:pt>
                <c:pt idx="2">
                  <c:v>2021</c:v>
                </c:pt>
                <c:pt idx="3">
                  <c:v>2022</c:v>
                </c:pt>
                <c:pt idx="4">
                  <c:v>2023</c:v>
                </c:pt>
                <c:pt idx="5">
                  <c:v>2024</c:v>
                </c:pt>
                <c:pt idx="6">
                  <c:v>2025</c:v>
                </c:pt>
                <c:pt idx="7">
                  <c:v>2026</c:v>
                </c:pt>
                <c:pt idx="8">
                  <c:v>2027</c:v>
                </c:pt>
                <c:pt idx="9">
                  <c:v>2028</c:v>
                </c:pt>
                <c:pt idx="10">
                  <c:v>2029</c:v>
                </c:pt>
                <c:pt idx="11">
                  <c:v>2030</c:v>
                </c:pt>
              </c:numCache>
            </c:numRef>
          </c:cat>
          <c:val>
            <c:numRef>
              <c:f>'qyr-2022'!$E$3:$P$3</c:f>
              <c:numCache>
                <c:formatCode>0.00%</c:formatCode>
                <c:ptCount val="12"/>
                <c:pt idx="0">
                  <c:v>-0.037761601455868932</c:v>
                </c:pt>
                <c:pt idx="1">
                  <c:v>-0.096453900709219886</c:v>
                </c:pt>
                <c:pt idx="2">
                  <c:v>0.22867608581894294</c:v>
                </c:pt>
                <c:pt idx="3">
                  <c:v>0.075383304940374929</c:v>
                </c:pt>
                <c:pt idx="4">
                  <c:v>-0.045544554455445585</c:v>
                </c:pt>
                <c:pt idx="5">
                  <c:v>0.020746887966804906</c:v>
                </c:pt>
                <c:pt idx="6">
                  <c:v>0.10569105691056913</c:v>
                </c:pt>
                <c:pt idx="7">
                  <c:v>0.072794117647058787</c:v>
                </c:pt>
                <c:pt idx="8">
                  <c:v>0.015421521590130327</c:v>
                </c:pt>
                <c:pt idx="9">
                  <c:v>0.061096726290921444</c:v>
                </c:pt>
                <c:pt idx="10">
                  <c:v>0.0533</c:v>
                </c:pt>
                <c:pt idx="11">
                  <c:v>0.051</c:v>
                </c:pt>
              </c:numCache>
            </c:numRef>
          </c:val>
          <c:smooth val="0"/>
          <c:extLst>
            <c:ext xmlns:c16="http://schemas.microsoft.com/office/drawing/2014/chart" uri="{C3380CC4-5D6E-409C-BE32-E72D297353CC}">
              <c16:uniqueId val="{00000002-0E83-431F-A721-4A25B989E811}"/>
            </c:ext>
          </c:extLst>
        </c:ser>
        <c:dLbls>
          <c:showLegendKey val="0"/>
          <c:showVal val="0"/>
          <c:showCatName val="0"/>
          <c:showSerName val="0"/>
          <c:showPercent val="0"/>
          <c:showBubbleSize val="0"/>
        </c:dLbls>
        <c:marker val="1"/>
        <c:smooth val="0"/>
        <c:axId val="-1322429792"/>
        <c:axId val="-1322406944"/>
      </c:lineChart>
      <c:catAx>
        <c:axId val="-1322419456"/>
        <c:scaling>
          <c:orientation val="minMax"/>
        </c:scaling>
        <c:delete val="0"/>
        <c:axPos val="b"/>
        <c:numFmt formatCode="General" sourceLinked="1"/>
        <c:majorTickMark val="none"/>
        <c:minorTickMark val="none"/>
        <c:tickLblPos val="nextTo"/>
        <c:txPr>
          <a:bodyPr/>
          <a:lstStyle/>
          <a:p>
            <a:pPr>
              <a:defRPr sz="1000">
                <a:latin typeface="Helvetica" panose="020B0604020202020204" pitchFamily="34" charset="0"/>
                <a:cs typeface="Helvetica" panose="020B0604020202020204" pitchFamily="34" charset="0"/>
              </a:defRPr>
            </a:pPr>
            <a:endParaRPr lang="zh-CN"/>
          </a:p>
        </c:txPr>
        <c:crossAx val="-1322431424"/>
        <c:crosses val="autoZero"/>
        <c:auto val="1"/>
        <c:lblAlgn val="ctr"/>
        <c:lblOffset val="100"/>
        <c:noMultiLvlLbl val="0"/>
      </c:catAx>
      <c:valAx>
        <c:axId val="-1322431424"/>
        <c:scaling>
          <c:orientation val="minMax"/>
        </c:scaling>
        <c:delete val="0"/>
        <c:axPos val="l"/>
        <c:majorGridlines>
          <c:spPr>
            <a:ln>
              <a:noFill/>
            </a:ln>
          </c:spPr>
        </c:majorGridlines>
        <c:numFmt formatCode="General" sourceLinked="1"/>
        <c:majorTickMark val="none"/>
        <c:minorTickMark val="none"/>
        <c:tickLblPos val="none"/>
        <c:spPr>
          <a:ln>
            <a:noFill/>
          </a:ln>
        </c:spPr>
        <c:crossAx val="-1322419456"/>
        <c:crosses val="autoZero"/>
        <c:crossBetween val="between"/>
      </c:valAx>
      <c:valAx>
        <c:axId val="-1322406944"/>
        <c:scaling>
          <c:orientation val="minMax"/>
          <c:max val="0.45"/>
        </c:scaling>
        <c:delete val="0"/>
        <c:axPos val="r"/>
        <c:numFmt formatCode="0%" sourceLinked="0"/>
        <c:majorTickMark val="out"/>
        <c:minorTickMark val="none"/>
        <c:tickLblPos val="none"/>
        <c:spPr>
          <a:ln>
            <a:noFill/>
          </a:ln>
        </c:spPr>
        <c:crossAx val="-1322429792"/>
        <c:crosses val="max"/>
        <c:crossBetween val="between"/>
      </c:valAx>
      <c:catAx>
        <c:axId val="-1322429792"/>
        <c:scaling>
          <c:orientation val="minMax"/>
        </c:scaling>
        <c:delete val="1"/>
        <c:axPos val="b"/>
        <c:numFmt formatCode="General" sourceLinked="1"/>
        <c:majorTickMark val="out"/>
        <c:minorTickMark val="none"/>
        <c:tickLblPos val="nextTo"/>
        <c:crossAx val="-1322406944"/>
        <c:crosses val="autoZero"/>
        <c:auto val="1"/>
        <c:lblAlgn val="ctr"/>
        <c:lblOffset val="100"/>
        <c:noMultiLvlLbl val="0"/>
      </c:catAx>
      <c:spPr>
        <a:ln>
          <a:noFill/>
        </a:ln>
      </c:spPr>
    </c:plotArea>
    <c:plotVisOnly val="1"/>
    <c:dispBlanksAs val="gap"/>
    <c:showDLblsOverMax val="0"/>
  </c:chart>
  <c:spPr>
    <a:ln>
      <a:noFill/>
    </a:ln>
  </c:spPr>
  <c:externalData r:id="rId1">
    <c:autoUpdate val="0"/>
  </c:externalData>
  <c:userShapes r:id="rId2"/>
</c:chartSpace>
</file>

<file path=word/charts/chart5.xml><?xml version="1.0" encoding="utf-8"?>
<c:chartSpace xmlns:c="http://schemas.openxmlformats.org/drawingml/2006/chart" xmlns:a="http://schemas.openxmlformats.org/drawingml/2006/main" xmlns:r="http://schemas.openxmlformats.org/officeDocument/2006/relationships">
  <c:date1904 val="0"/>
  <c:lang val="zh-CN"/>
  <c:roundedCorners val="0"/>
  <mc:AlternateContent xmlns:mc="http://schemas.openxmlformats.org/markup-compatibility/2006">
    <mc:Choice xmlns:c14="http://schemas.microsoft.com/office/drawing/2007/8/2/chart" Requires="c14">
      <c14:style val="102"/>
    </mc:Choice>
    <mc:Fallback>
      <c:style val="2"/>
    </mc:Fallback>
  </mc:AlternateContent>
  <c:chart>
    <c:autoTitleDeleted val="1"/>
    <c:plotArea>
      <c:layout/>
      <c:barChart>
        <c:barDir val="col"/>
        <c:grouping val="percentStacked"/>
        <c:varyColors val="0"/>
        <c:ser>
          <c:idx val="0"/>
          <c:order val="0"/>
          <c:tx>
            <c:strRef>
              <c:f>'qyr-2022'!$B$206</c:f>
              <c:strCache>
                <c:ptCount val="1"/>
                <c:pt idx="0">
                  <c:v>North America</c:v>
                </c:pt>
              </c:strCache>
            </c:strRef>
          </c:tx>
          <c:spPr>
            <a:solidFill>
              <a:srgbClr val="FF8200"/>
            </a:solidFill>
            <a:ln>
              <a:noFill/>
            </a:ln>
            <a:effectLst/>
          </c:spPr>
          <c:invertIfNegative val="0"/>
          <c:cat>
            <c:numRef>
              <c:f>'qyr-2022'!$C$205:$N$205</c:f>
              <c:numCache>
                <c:formatCode>General</c:formatCode>
                <c:ptCount val="12"/>
                <c:pt idx="0">
                  <c:v>2019</c:v>
                </c:pt>
                <c:pt idx="1">
                  <c:v>2020</c:v>
                </c:pt>
                <c:pt idx="2">
                  <c:v>2021</c:v>
                </c:pt>
                <c:pt idx="3">
                  <c:v>2022</c:v>
                </c:pt>
                <c:pt idx="4">
                  <c:v>2023</c:v>
                </c:pt>
                <c:pt idx="5">
                  <c:v>2024</c:v>
                </c:pt>
                <c:pt idx="6">
                  <c:v>2025</c:v>
                </c:pt>
                <c:pt idx="7">
                  <c:v>2026</c:v>
                </c:pt>
                <c:pt idx="8">
                  <c:v>2027</c:v>
                </c:pt>
                <c:pt idx="9">
                  <c:v>2028</c:v>
                </c:pt>
                <c:pt idx="10">
                  <c:v>2029</c:v>
                </c:pt>
                <c:pt idx="11">
                  <c:v>2030</c:v>
                </c:pt>
              </c:numCache>
            </c:numRef>
          </c:cat>
          <c:val>
            <c:numRef>
              <c:f>'qyr-2022'!$C$206:$N$206</c:f>
              <c:numCache>
                <c:formatCode>_ * #,##0_ ;_ * \-#,##0_ ;_ * "-"??_ ;_ @_ </c:formatCode>
                <c:ptCount val="12"/>
                <c:pt idx="0">
                  <c:v>72</c:v>
                </c:pt>
                <c:pt idx="1">
                  <c:v>63</c:v>
                </c:pt>
                <c:pt idx="2">
                  <c:v>64.679999999999993</c:v>
                </c:pt>
                <c:pt idx="3">
                  <c:v>49.992960000000004</c:v>
                </c:pt>
                <c:pt idx="4">
                  <c:v>50.96</c:v>
                </c:pt>
                <c:pt idx="5">
                  <c:v>47.502</c:v>
                </c:pt>
                <c:pt idx="6">
                  <c:v>42.4053</c:v>
                </c:pt>
                <c:pt idx="7">
                  <c:v>36.082499999999996</c:v>
                </c:pt>
                <c:pt idx="8">
                  <c:v>37.843849999999996</c:v>
                </c:pt>
                <c:pt idx="9">
                  <c:v>36.736</c:v>
                </c:pt>
                <c:pt idx="10">
                  <c:v>39.76</c:v>
                </c:pt>
                <c:pt idx="11">
                  <c:v>36.480000000000004</c:v>
                </c:pt>
              </c:numCache>
            </c:numRef>
          </c:val>
          <c:extLst>
            <c:ext xmlns:c16="http://schemas.microsoft.com/office/drawing/2014/chart" uri="{C3380CC4-5D6E-409C-BE32-E72D297353CC}">
              <c16:uniqueId val="{00000000-8DCC-489E-997A-DD29A9B61269}"/>
            </c:ext>
          </c:extLst>
        </c:ser>
        <c:ser>
          <c:idx val="1"/>
          <c:order val="1"/>
          <c:tx>
            <c:strRef>
              <c:f>'qyr-2022'!$B$207</c:f>
              <c:strCache>
                <c:ptCount val="1"/>
                <c:pt idx="0">
                  <c:v>Europe</c:v>
                </c:pt>
              </c:strCache>
            </c:strRef>
          </c:tx>
          <c:spPr>
            <a:solidFill>
              <a:srgbClr val="0D81B6"/>
            </a:solidFill>
            <a:ln>
              <a:noFill/>
            </a:ln>
            <a:effectLst/>
          </c:spPr>
          <c:invertIfNegative val="0"/>
          <c:cat>
            <c:numRef>
              <c:f>'qyr-2022'!$C$205:$N$205</c:f>
              <c:numCache>
                <c:formatCode>General</c:formatCode>
                <c:ptCount val="12"/>
                <c:pt idx="0">
                  <c:v>2019</c:v>
                </c:pt>
                <c:pt idx="1">
                  <c:v>2020</c:v>
                </c:pt>
                <c:pt idx="2">
                  <c:v>2021</c:v>
                </c:pt>
                <c:pt idx="3">
                  <c:v>2022</c:v>
                </c:pt>
                <c:pt idx="4">
                  <c:v>2023</c:v>
                </c:pt>
                <c:pt idx="5">
                  <c:v>2024</c:v>
                </c:pt>
                <c:pt idx="6">
                  <c:v>2025</c:v>
                </c:pt>
                <c:pt idx="7">
                  <c:v>2026</c:v>
                </c:pt>
                <c:pt idx="8">
                  <c:v>2027</c:v>
                </c:pt>
                <c:pt idx="9">
                  <c:v>2028</c:v>
                </c:pt>
                <c:pt idx="10">
                  <c:v>2029</c:v>
                </c:pt>
                <c:pt idx="11">
                  <c:v>2030</c:v>
                </c:pt>
              </c:numCache>
            </c:numRef>
          </c:cat>
          <c:val>
            <c:numRef>
              <c:f>'qyr-2022'!$C$207:$N$207</c:f>
              <c:numCache>
                <c:formatCode>_ * #,##0_ ;_ * \-#,##0_ ;_ * "-"??_ ;_ @_ </c:formatCode>
                <c:ptCount val="12"/>
                <c:pt idx="0">
                  <c:v>56</c:v>
                </c:pt>
                <c:pt idx="1">
                  <c:v>48</c:v>
                </c:pt>
                <c:pt idx="2">
                  <c:v>55</c:v>
                </c:pt>
                <c:pt idx="3">
                  <c:v>50</c:v>
                </c:pt>
                <c:pt idx="4">
                  <c:v>55</c:v>
                </c:pt>
                <c:pt idx="5">
                  <c:v>61</c:v>
                </c:pt>
                <c:pt idx="6">
                  <c:v>56.0064</c:v>
                </c:pt>
                <c:pt idx="7">
                  <c:v>59.601600000000005</c:v>
                </c:pt>
                <c:pt idx="8">
                  <c:v>66.232000000000014</c:v>
                </c:pt>
                <c:pt idx="9">
                  <c:v>71.5572</c:v>
                </c:pt>
                <c:pt idx="10">
                  <c:v>75.1248</c:v>
                </c:pt>
                <c:pt idx="11">
                  <c:v>79</c:v>
                </c:pt>
              </c:numCache>
            </c:numRef>
          </c:val>
          <c:extLst>
            <c:ext xmlns:c16="http://schemas.microsoft.com/office/drawing/2014/chart" uri="{C3380CC4-5D6E-409C-BE32-E72D297353CC}">
              <c16:uniqueId val="{00000001-8DCC-489E-997A-DD29A9B61269}"/>
            </c:ext>
          </c:extLst>
        </c:ser>
        <c:ser>
          <c:idx val="2"/>
          <c:order val="2"/>
          <c:tx>
            <c:strRef>
              <c:f>'qyr-2022'!$B$208</c:f>
              <c:strCache>
                <c:ptCount val="1"/>
                <c:pt idx="0">
                  <c:v>Asia-Pacific</c:v>
                </c:pt>
              </c:strCache>
            </c:strRef>
          </c:tx>
          <c:spPr>
            <a:solidFill>
              <a:srgbClr val="00B040"/>
            </a:solidFill>
            <a:ln>
              <a:noFill/>
            </a:ln>
            <a:effectLst/>
          </c:spPr>
          <c:invertIfNegative val="0"/>
          <c:cat>
            <c:numRef>
              <c:f>'qyr-2022'!$C$205:$N$205</c:f>
              <c:numCache>
                <c:formatCode>General</c:formatCode>
                <c:ptCount val="12"/>
                <c:pt idx="0">
                  <c:v>2019</c:v>
                </c:pt>
                <c:pt idx="1">
                  <c:v>2020</c:v>
                </c:pt>
                <c:pt idx="2">
                  <c:v>2021</c:v>
                </c:pt>
                <c:pt idx="3">
                  <c:v>2022</c:v>
                </c:pt>
                <c:pt idx="4">
                  <c:v>2023</c:v>
                </c:pt>
                <c:pt idx="5">
                  <c:v>2024</c:v>
                </c:pt>
                <c:pt idx="6">
                  <c:v>2025</c:v>
                </c:pt>
                <c:pt idx="7">
                  <c:v>2026</c:v>
                </c:pt>
                <c:pt idx="8">
                  <c:v>2027</c:v>
                </c:pt>
                <c:pt idx="9">
                  <c:v>2028</c:v>
                </c:pt>
                <c:pt idx="10">
                  <c:v>2029</c:v>
                </c:pt>
                <c:pt idx="11">
                  <c:v>2030</c:v>
                </c:pt>
              </c:numCache>
            </c:numRef>
          </c:cat>
          <c:val>
            <c:numRef>
              <c:f>'qyr-2022'!$C$208:$N$208</c:f>
              <c:numCache>
                <c:formatCode>_ * #,##0_ ;_ * \-#,##0_ ;_ * "-"??_ ;_ @_ </c:formatCode>
                <c:ptCount val="12"/>
                <c:pt idx="0">
                  <c:v>72.8928</c:v>
                </c:pt>
                <c:pt idx="1">
                  <c:v>58.418800000000005</c:v>
                </c:pt>
                <c:pt idx="2">
                  <c:v>78.4368</c:v>
                </c:pt>
                <c:pt idx="3">
                  <c:v>56.378000000000029</c:v>
                </c:pt>
                <c:pt idx="4">
                  <c:v>71.768</c:v>
                </c:pt>
                <c:pt idx="5">
                  <c:v>87.8408</c:v>
                </c:pt>
                <c:pt idx="6">
                  <c:v>99.7344</c:v>
                </c:pt>
                <c:pt idx="7">
                  <c:v>105.5216</c:v>
                </c:pt>
                <c:pt idx="8">
                  <c:v>128.168</c:v>
                </c:pt>
                <c:pt idx="9">
                  <c:v>146.58759999999998</c:v>
                </c:pt>
                <c:pt idx="10">
                  <c:v>159.816</c:v>
                </c:pt>
                <c:pt idx="11">
                  <c:v>164.416</c:v>
                </c:pt>
              </c:numCache>
            </c:numRef>
          </c:val>
          <c:extLst>
            <c:ext xmlns:c16="http://schemas.microsoft.com/office/drawing/2014/chart" uri="{C3380CC4-5D6E-409C-BE32-E72D297353CC}">
              <c16:uniqueId val="{00000002-8DCC-489E-997A-DD29A9B61269}"/>
            </c:ext>
          </c:extLst>
        </c:ser>
        <c:ser>
          <c:idx val="3"/>
          <c:order val="3"/>
          <c:tx>
            <c:strRef>
              <c:f>'qyr-2022'!$B$209</c:f>
              <c:strCache>
                <c:ptCount val="1"/>
                <c:pt idx="0">
                  <c:v>Latin America</c:v>
                </c:pt>
              </c:strCache>
            </c:strRef>
          </c:tx>
          <c:spPr>
            <a:solidFill>
              <a:srgbClr val="000080"/>
            </a:solidFill>
            <a:ln>
              <a:noFill/>
            </a:ln>
            <a:effectLst/>
          </c:spPr>
          <c:invertIfNegative val="0"/>
          <c:cat>
            <c:numRef>
              <c:f>'qyr-2022'!$C$205:$N$205</c:f>
              <c:numCache>
                <c:formatCode>General</c:formatCode>
                <c:ptCount val="12"/>
                <c:pt idx="0">
                  <c:v>2019</c:v>
                </c:pt>
                <c:pt idx="1">
                  <c:v>2020</c:v>
                </c:pt>
                <c:pt idx="2">
                  <c:v>2021</c:v>
                </c:pt>
                <c:pt idx="3">
                  <c:v>2022</c:v>
                </c:pt>
                <c:pt idx="4">
                  <c:v>2023</c:v>
                </c:pt>
                <c:pt idx="5">
                  <c:v>2024</c:v>
                </c:pt>
                <c:pt idx="6">
                  <c:v>2025</c:v>
                </c:pt>
                <c:pt idx="7">
                  <c:v>2026</c:v>
                </c:pt>
                <c:pt idx="8">
                  <c:v>2027</c:v>
                </c:pt>
                <c:pt idx="9">
                  <c:v>2028</c:v>
                </c:pt>
                <c:pt idx="10">
                  <c:v>2029</c:v>
                </c:pt>
                <c:pt idx="11">
                  <c:v>2030</c:v>
                </c:pt>
              </c:numCache>
            </c:numRef>
          </c:cat>
          <c:val>
            <c:numRef>
              <c:f>'qyr-2022'!$C$209:$N$209</c:f>
              <c:numCache>
                <c:formatCode>_ * #,##0_ ;_ * \-#,##0_ ;_ * "-"??_ ;_ @_ </c:formatCode>
                <c:ptCount val="12"/>
                <c:pt idx="0">
                  <c:v>22.6</c:v>
                </c:pt>
                <c:pt idx="1">
                  <c:v>18.37464</c:v>
                </c:pt>
                <c:pt idx="2">
                  <c:v>19.94336</c:v>
                </c:pt>
                <c:pt idx="3">
                  <c:v>17.650992000000002</c:v>
                </c:pt>
                <c:pt idx="4">
                  <c:v>18.5248</c:v>
                </c:pt>
                <c:pt idx="5">
                  <c:v>21.054166666666667</c:v>
                </c:pt>
                <c:pt idx="6">
                  <c:v>22.418130434782611</c:v>
                </c:pt>
                <c:pt idx="7">
                  <c:v>23.193545454545454</c:v>
                </c:pt>
                <c:pt idx="8">
                  <c:v>26.625476190476192</c:v>
                </c:pt>
                <c:pt idx="9">
                  <c:v>28.37980487804878</c:v>
                </c:pt>
                <c:pt idx="10">
                  <c:v>32.848631578947362</c:v>
                </c:pt>
                <c:pt idx="11">
                  <c:v>34.611111111111107</c:v>
                </c:pt>
              </c:numCache>
            </c:numRef>
          </c:val>
          <c:extLst>
            <c:ext xmlns:c16="http://schemas.microsoft.com/office/drawing/2014/chart" uri="{C3380CC4-5D6E-409C-BE32-E72D297353CC}">
              <c16:uniqueId val="{00000003-8DCC-489E-997A-DD29A9B61269}"/>
            </c:ext>
          </c:extLst>
        </c:ser>
        <c:ser>
          <c:idx val="4"/>
          <c:order val="4"/>
          <c:tx>
            <c:strRef>
              <c:f>'qyr-2022'!$B$210</c:f>
              <c:strCache>
                <c:ptCount val="1"/>
                <c:pt idx="0">
                  <c:v>Middle East &amp; Africa</c:v>
                </c:pt>
              </c:strCache>
            </c:strRef>
          </c:tx>
          <c:spPr>
            <a:solidFill>
              <a:srgbClr val="009697"/>
            </a:solidFill>
            <a:ln>
              <a:noFill/>
            </a:ln>
            <a:effectLst/>
          </c:spPr>
          <c:invertIfNegative val="0"/>
          <c:cat>
            <c:numRef>
              <c:f>'qyr-2022'!$C$205:$N$205</c:f>
              <c:numCache>
                <c:formatCode>General</c:formatCode>
                <c:ptCount val="12"/>
                <c:pt idx="0">
                  <c:v>2019</c:v>
                </c:pt>
                <c:pt idx="1">
                  <c:v>2020</c:v>
                </c:pt>
                <c:pt idx="2">
                  <c:v>2021</c:v>
                </c:pt>
                <c:pt idx="3">
                  <c:v>2022</c:v>
                </c:pt>
                <c:pt idx="4">
                  <c:v>2023</c:v>
                </c:pt>
                <c:pt idx="5">
                  <c:v>2024</c:v>
                </c:pt>
                <c:pt idx="6">
                  <c:v>2025</c:v>
                </c:pt>
                <c:pt idx="7">
                  <c:v>2026</c:v>
                </c:pt>
                <c:pt idx="8">
                  <c:v>2027</c:v>
                </c:pt>
                <c:pt idx="9">
                  <c:v>2028</c:v>
                </c:pt>
                <c:pt idx="10">
                  <c:v>2029</c:v>
                </c:pt>
                <c:pt idx="11">
                  <c:v>2030</c:v>
                </c:pt>
              </c:numCache>
            </c:numRef>
          </c:cat>
          <c:val>
            <c:numRef>
              <c:f>'qyr-2022'!$C$210:$N$210</c:f>
              <c:numCache>
                <c:formatCode>_ * #,##0_ ;_ * \-#,##0_ ;_ * "-"??_ ;_ @_ </c:formatCode>
                <c:ptCount val="12"/>
                <c:pt idx="0">
                  <c:v>49.973333333333329</c:v>
                </c:pt>
                <c:pt idx="1">
                  <c:v>43.629279999999994</c:v>
                </c:pt>
                <c:pt idx="2">
                  <c:v>50.660053333333337</c:v>
                </c:pt>
                <c:pt idx="3">
                  <c:v>42.662997333333344</c:v>
                </c:pt>
                <c:pt idx="4">
                  <c:v>47.929599999999994</c:v>
                </c:pt>
                <c:pt idx="5">
                  <c:v>53.978055555555557</c:v>
                </c:pt>
                <c:pt idx="6">
                  <c:v>60.215355322338837</c:v>
                </c:pt>
                <c:pt idx="7">
                  <c:v>69.5365944055944</c:v>
                </c:pt>
                <c:pt idx="8">
                  <c:v>89.677163561076625</c:v>
                </c:pt>
                <c:pt idx="9">
                  <c:v>107.71285946573751</c:v>
                </c:pt>
                <c:pt idx="10">
                  <c:v>122.12671578947368</c:v>
                </c:pt>
                <c:pt idx="11">
                  <c:v>132.1136374269006</c:v>
                </c:pt>
              </c:numCache>
            </c:numRef>
          </c:val>
          <c:extLst>
            <c:ext xmlns:c16="http://schemas.microsoft.com/office/drawing/2014/chart" uri="{C3380CC4-5D6E-409C-BE32-E72D297353CC}">
              <c16:uniqueId val="{00000004-8DCC-489E-997A-DD29A9B61269}"/>
            </c:ext>
          </c:extLst>
        </c:ser>
        <c:dLbls>
          <c:showLegendKey val="0"/>
          <c:showVal val="0"/>
          <c:showCatName val="0"/>
          <c:showSerName val="0"/>
          <c:showPercent val="0"/>
          <c:showBubbleSize val="0"/>
        </c:dLbls>
        <c:gapWidth val="45"/>
        <c:overlap val="100"/>
        <c:axId val="1653523423"/>
        <c:axId val="1743154351"/>
      </c:barChart>
      <c:catAx>
        <c:axId val="1653523423"/>
        <c:scaling>
          <c:orientation val="minMax"/>
        </c:scaling>
        <c:delete val="0"/>
        <c:axPos val="b"/>
        <c:numFmt formatCode="General" sourceLinked="1"/>
        <c:majorTickMark val="none"/>
        <c:minorTickMark val="none"/>
        <c:tickLblPos val="nextTo"/>
        <c:spPr>
          <a:noFill/>
          <a:ln w="9525">
            <a:solidFill>
              <a:schemeClr val="tx1">
                <a:lumMod val="15000"/>
                <a:lumOff val="85000"/>
              </a:schemeClr>
            </a:solidFill>
            <a:round/>
          </a:ln>
          <a:effectLst/>
        </c:spPr>
        <c:txPr>
          <a:bodyPr rot="-60000000" spcFirstLastPara="1" vertOverflow="ellipsis" vert="horz" wrap="square" anchor="ctr" anchorCtr="1"/>
          <a:lstStyle/>
          <a:p>
            <a:pPr>
              <a:defRPr sz="900" b="0" i="0" u="none" strike="noStrike" kern="1200" baseline="0">
                <a:solidFill>
                  <a:schemeClr val="tx1">
                    <a:lumMod val="65000"/>
                    <a:lumOff val="35000"/>
                  </a:schemeClr>
                </a:solidFill>
                <a:latin typeface="Helvetica" panose="020B0604020202020204" pitchFamily="34" charset="0"/>
                <a:ea typeface="+mn-ea"/>
                <a:cs typeface="Helvetica" panose="020B0604020202020204" pitchFamily="34" charset="0"/>
              </a:defRPr>
            </a:pPr>
            <a:endParaRPr lang="zh-CN"/>
          </a:p>
        </c:txPr>
        <c:crossAx val="1743154351"/>
        <c:crosses val="autoZero"/>
        <c:auto val="1"/>
        <c:lblAlgn val="ctr"/>
        <c:lblOffset val="100"/>
        <c:noMultiLvlLbl val="0"/>
      </c:catAx>
      <c:valAx>
        <c:axId val="1743154351"/>
        <c:scaling>
          <c:orientation val="minMax"/>
        </c:scaling>
        <c:delete val="0"/>
        <c:axPos val="l"/>
        <c:majorGridlines>
          <c:spPr>
            <a:ln w="9525">
              <a:noFill/>
              <a:round/>
            </a:ln>
            <a:effectLst/>
          </c:spPr>
        </c:majorGridlines>
        <c:numFmt formatCode="0%" sourceLinked="1"/>
        <c:majorTickMark val="none"/>
        <c:minorTickMark val="none"/>
        <c:tickLblPos val="none"/>
        <c:spPr>
          <a:noFill/>
          <a:ln>
            <a:noFill/>
          </a:ln>
          <a:effectLst/>
        </c:spPr>
        <c:txPr>
          <a:bodyPr rot="-60000000" spcFirstLastPara="1" vertOverflow="ellipsis" vert="horz" wrap="square" anchor="ctr" anchorCtr="1"/>
          <a:lstStyle/>
          <a:p>
            <a:pPr>
              <a:defRPr sz="900" b="0" i="0" u="none" strike="noStrike" kern="1200" baseline="0">
                <a:solidFill>
                  <a:schemeClr val="tx1">
                    <a:lumMod val="65000"/>
                    <a:lumOff val="35000"/>
                  </a:schemeClr>
                </a:solidFill>
                <a:latin typeface="Helvetica" panose="020B0604020202020204" pitchFamily="34" charset="0"/>
                <a:ea typeface="+mn-ea"/>
                <a:cs typeface="Helvetica" panose="020B0604020202020204" pitchFamily="34" charset="0"/>
              </a:defRPr>
            </a:pPr>
            <a:endParaRPr lang="zh-CN"/>
          </a:p>
        </c:txPr>
        <c:crossAx val="1653523423"/>
        <c:crosses val="autoZero"/>
        <c:crossBetween val="between"/>
      </c:valAx>
      <c:spPr>
        <a:noFill/>
        <a:ln>
          <a:noFill/>
        </a:ln>
        <a:effectLst/>
      </c:spPr>
    </c:plotArea>
    <c:plotVisOnly val="1"/>
    <c:dispBlanksAs val="gap"/>
    <c:showDLblsOverMax val="0"/>
    <c:extLst>
      <c:ext xmlns:c="http://schemas.openxmlformats.org/drawingml/2006/chart" xmlns:c16r3="http://schemas.microsoft.com/office/drawing/2017/03/chart" uri="{56B9EC1D-385E-4148-901F-78D8002777C0}">
        <c16r3:dataDisplayOptions16>
          <c16r3:dispNaAsBlank val="1"/>
        </c16r3:dataDisplayOptions16>
      </c:ext>
    </c:extLst>
  </c:chart>
  <c:spPr>
    <a:solidFill>
      <a:schemeClr val="bg1"/>
    </a:solidFill>
    <a:ln w="9525">
      <a:noFill/>
      <a:round/>
    </a:ln>
    <a:effectLst/>
  </c:spPr>
  <c:txPr>
    <a:bodyPr/>
    <a:lstStyle/>
    <a:p>
      <a:pPr>
        <a:defRPr/>
      </a:pPr>
      <a:endParaRPr lang="zh-CN"/>
    </a:p>
  </c:txPr>
  <c:externalData r:id="rId1">
    <c:autoUpdate val="0"/>
  </c:externalData>
</c:chartSpace>
</file>

<file path=word/charts/chart6.xml><?xml version="1.0" encoding="utf-8"?>
<c:chartSpace xmlns:c="http://schemas.openxmlformats.org/drawingml/2006/chart" xmlns:a="http://schemas.openxmlformats.org/drawingml/2006/main" xmlns:r="http://schemas.openxmlformats.org/officeDocument/2006/relationships">
  <c:date1904 val="0"/>
  <c:lang val="zh-CN"/>
  <c:roundedCorners val="0"/>
  <mc:AlternateContent xmlns:mc="http://schemas.openxmlformats.org/markup-compatibility/2006">
    <mc:Choice xmlns:c14="http://schemas.microsoft.com/office/drawing/2007/8/2/chart" Requires="c14">
      <c14:style val="102"/>
    </mc:Choice>
    <mc:Fallback>
      <c:style val="2"/>
    </mc:Fallback>
  </mc:AlternateContent>
  <c:chart>
    <c:autoTitleDeleted val="1"/>
    <c:plotArea>
      <c:layout/>
      <c:barChart>
        <c:barDir val="col"/>
        <c:grouping val="percentStacked"/>
        <c:varyColors val="0"/>
        <c:ser>
          <c:idx val="0"/>
          <c:order val="0"/>
          <c:tx>
            <c:strRef>
              <c:f>'qyr-2022'!$B$206</c:f>
              <c:strCache>
                <c:ptCount val="1"/>
                <c:pt idx="0">
                  <c:v>North America</c:v>
                </c:pt>
              </c:strCache>
            </c:strRef>
          </c:tx>
          <c:spPr>
            <a:solidFill>
              <a:srgbClr val="FF8200"/>
            </a:solidFill>
            <a:ln>
              <a:noFill/>
            </a:ln>
            <a:effectLst/>
          </c:spPr>
          <c:invertIfNegative val="0"/>
          <c:cat>
            <c:numRef>
              <c:f>'qyr-2022'!$C$205:$N$205</c:f>
              <c:numCache>
                <c:formatCode>General</c:formatCode>
                <c:ptCount val="12"/>
                <c:pt idx="0">
                  <c:v>2019</c:v>
                </c:pt>
                <c:pt idx="1">
                  <c:v>2020</c:v>
                </c:pt>
                <c:pt idx="2">
                  <c:v>2021</c:v>
                </c:pt>
                <c:pt idx="3">
                  <c:v>2022</c:v>
                </c:pt>
                <c:pt idx="4">
                  <c:v>2023</c:v>
                </c:pt>
                <c:pt idx="5">
                  <c:v>2024</c:v>
                </c:pt>
                <c:pt idx="6">
                  <c:v>2025</c:v>
                </c:pt>
                <c:pt idx="7">
                  <c:v>2026</c:v>
                </c:pt>
                <c:pt idx="8">
                  <c:v>2027</c:v>
                </c:pt>
                <c:pt idx="9">
                  <c:v>2028</c:v>
                </c:pt>
                <c:pt idx="10">
                  <c:v>2029</c:v>
                </c:pt>
                <c:pt idx="11">
                  <c:v>2030</c:v>
                </c:pt>
              </c:numCache>
            </c:numRef>
          </c:cat>
          <c:val>
            <c:numRef>
              <c:f>'qyr-2022'!$C$206:$N$206</c:f>
              <c:numCache>
                <c:formatCode>_ * #,##0_ ;_ * \-#,##0_ ;_ * "-"??_ ;_ @_ </c:formatCode>
                <c:ptCount val="12"/>
                <c:pt idx="0">
                  <c:v>72</c:v>
                </c:pt>
                <c:pt idx="1">
                  <c:v>63</c:v>
                </c:pt>
                <c:pt idx="2">
                  <c:v>64.679999999999993</c:v>
                </c:pt>
                <c:pt idx="3">
                  <c:v>49.992960000000004</c:v>
                </c:pt>
                <c:pt idx="4">
                  <c:v>50.96</c:v>
                </c:pt>
                <c:pt idx="5">
                  <c:v>47.502</c:v>
                </c:pt>
                <c:pt idx="6">
                  <c:v>42.4053</c:v>
                </c:pt>
                <c:pt idx="7">
                  <c:v>36.082499999999996</c:v>
                </c:pt>
                <c:pt idx="8">
                  <c:v>37.843849999999996</c:v>
                </c:pt>
                <c:pt idx="9">
                  <c:v>36.736</c:v>
                </c:pt>
                <c:pt idx="10">
                  <c:v>39.76</c:v>
                </c:pt>
                <c:pt idx="11">
                  <c:v>36.480000000000004</c:v>
                </c:pt>
              </c:numCache>
            </c:numRef>
          </c:val>
          <c:extLst>
            <c:ext xmlns:c16="http://schemas.microsoft.com/office/drawing/2014/chart" uri="{C3380CC4-5D6E-409C-BE32-E72D297353CC}">
              <c16:uniqueId val="{00000000-B62A-4A99-A769-E98024D766B8}"/>
            </c:ext>
          </c:extLst>
        </c:ser>
        <c:ser>
          <c:idx val="1"/>
          <c:order val="1"/>
          <c:tx>
            <c:strRef>
              <c:f>'qyr-2022'!$B$207</c:f>
              <c:strCache>
                <c:ptCount val="1"/>
                <c:pt idx="0">
                  <c:v>Europe</c:v>
                </c:pt>
              </c:strCache>
            </c:strRef>
          </c:tx>
          <c:spPr>
            <a:solidFill>
              <a:srgbClr val="0D81B6"/>
            </a:solidFill>
            <a:ln>
              <a:noFill/>
            </a:ln>
            <a:effectLst/>
          </c:spPr>
          <c:invertIfNegative val="0"/>
          <c:cat>
            <c:numRef>
              <c:f>'qyr-2022'!$C$205:$N$205</c:f>
              <c:numCache>
                <c:formatCode>General</c:formatCode>
                <c:ptCount val="12"/>
                <c:pt idx="0">
                  <c:v>2019</c:v>
                </c:pt>
                <c:pt idx="1">
                  <c:v>2020</c:v>
                </c:pt>
                <c:pt idx="2">
                  <c:v>2021</c:v>
                </c:pt>
                <c:pt idx="3">
                  <c:v>2022</c:v>
                </c:pt>
                <c:pt idx="4">
                  <c:v>2023</c:v>
                </c:pt>
                <c:pt idx="5">
                  <c:v>2024</c:v>
                </c:pt>
                <c:pt idx="6">
                  <c:v>2025</c:v>
                </c:pt>
                <c:pt idx="7">
                  <c:v>2026</c:v>
                </c:pt>
                <c:pt idx="8">
                  <c:v>2027</c:v>
                </c:pt>
                <c:pt idx="9">
                  <c:v>2028</c:v>
                </c:pt>
                <c:pt idx="10">
                  <c:v>2029</c:v>
                </c:pt>
                <c:pt idx="11">
                  <c:v>2030</c:v>
                </c:pt>
              </c:numCache>
            </c:numRef>
          </c:cat>
          <c:val>
            <c:numRef>
              <c:f>'qyr-2022'!$C$207:$N$207</c:f>
              <c:numCache>
                <c:formatCode>_ * #,##0_ ;_ * \-#,##0_ ;_ * "-"??_ ;_ @_ </c:formatCode>
                <c:ptCount val="12"/>
                <c:pt idx="0">
                  <c:v>56</c:v>
                </c:pt>
                <c:pt idx="1">
                  <c:v>48</c:v>
                </c:pt>
                <c:pt idx="2">
                  <c:v>55</c:v>
                </c:pt>
                <c:pt idx="3">
                  <c:v>50</c:v>
                </c:pt>
                <c:pt idx="4">
                  <c:v>55</c:v>
                </c:pt>
                <c:pt idx="5">
                  <c:v>61</c:v>
                </c:pt>
                <c:pt idx="6">
                  <c:v>56.0064</c:v>
                </c:pt>
                <c:pt idx="7">
                  <c:v>59.601600000000005</c:v>
                </c:pt>
                <c:pt idx="8">
                  <c:v>66.232000000000014</c:v>
                </c:pt>
                <c:pt idx="9">
                  <c:v>71.5572</c:v>
                </c:pt>
                <c:pt idx="10">
                  <c:v>75.1248</c:v>
                </c:pt>
                <c:pt idx="11">
                  <c:v>79</c:v>
                </c:pt>
              </c:numCache>
            </c:numRef>
          </c:val>
          <c:extLst>
            <c:ext xmlns:c16="http://schemas.microsoft.com/office/drawing/2014/chart" uri="{C3380CC4-5D6E-409C-BE32-E72D297353CC}">
              <c16:uniqueId val="{00000001-B62A-4A99-A769-E98024D766B8}"/>
            </c:ext>
          </c:extLst>
        </c:ser>
        <c:ser>
          <c:idx val="2"/>
          <c:order val="2"/>
          <c:tx>
            <c:strRef>
              <c:f>'qyr-2022'!$B$208</c:f>
              <c:strCache>
                <c:ptCount val="1"/>
                <c:pt idx="0">
                  <c:v>Asia-Pacific</c:v>
                </c:pt>
              </c:strCache>
            </c:strRef>
          </c:tx>
          <c:spPr>
            <a:solidFill>
              <a:srgbClr val="00B040"/>
            </a:solidFill>
            <a:ln>
              <a:noFill/>
            </a:ln>
            <a:effectLst/>
          </c:spPr>
          <c:invertIfNegative val="0"/>
          <c:cat>
            <c:numRef>
              <c:f>'qyr-2022'!$C$205:$N$205</c:f>
              <c:numCache>
                <c:formatCode>General</c:formatCode>
                <c:ptCount val="12"/>
                <c:pt idx="0">
                  <c:v>2019</c:v>
                </c:pt>
                <c:pt idx="1">
                  <c:v>2020</c:v>
                </c:pt>
                <c:pt idx="2">
                  <c:v>2021</c:v>
                </c:pt>
                <c:pt idx="3">
                  <c:v>2022</c:v>
                </c:pt>
                <c:pt idx="4">
                  <c:v>2023</c:v>
                </c:pt>
                <c:pt idx="5">
                  <c:v>2024</c:v>
                </c:pt>
                <c:pt idx="6">
                  <c:v>2025</c:v>
                </c:pt>
                <c:pt idx="7">
                  <c:v>2026</c:v>
                </c:pt>
                <c:pt idx="8">
                  <c:v>2027</c:v>
                </c:pt>
                <c:pt idx="9">
                  <c:v>2028</c:v>
                </c:pt>
                <c:pt idx="10">
                  <c:v>2029</c:v>
                </c:pt>
                <c:pt idx="11">
                  <c:v>2030</c:v>
                </c:pt>
              </c:numCache>
            </c:numRef>
          </c:cat>
          <c:val>
            <c:numRef>
              <c:f>'qyr-2022'!$C$208:$N$208</c:f>
              <c:numCache>
                <c:formatCode>_ * #,##0_ ;_ * \-#,##0_ ;_ * "-"??_ ;_ @_ </c:formatCode>
                <c:ptCount val="12"/>
                <c:pt idx="0">
                  <c:v>72.8928</c:v>
                </c:pt>
                <c:pt idx="1">
                  <c:v>58.418800000000005</c:v>
                </c:pt>
                <c:pt idx="2">
                  <c:v>78.4368</c:v>
                </c:pt>
                <c:pt idx="3">
                  <c:v>56.378000000000029</c:v>
                </c:pt>
                <c:pt idx="4">
                  <c:v>71.768</c:v>
                </c:pt>
                <c:pt idx="5">
                  <c:v>87.8408</c:v>
                </c:pt>
                <c:pt idx="6">
                  <c:v>99.7344</c:v>
                </c:pt>
                <c:pt idx="7">
                  <c:v>105.5216</c:v>
                </c:pt>
                <c:pt idx="8">
                  <c:v>128.168</c:v>
                </c:pt>
                <c:pt idx="9">
                  <c:v>146.58759999999998</c:v>
                </c:pt>
                <c:pt idx="10">
                  <c:v>159.816</c:v>
                </c:pt>
                <c:pt idx="11">
                  <c:v>164.416</c:v>
                </c:pt>
              </c:numCache>
            </c:numRef>
          </c:val>
          <c:extLst>
            <c:ext xmlns:c16="http://schemas.microsoft.com/office/drawing/2014/chart" uri="{C3380CC4-5D6E-409C-BE32-E72D297353CC}">
              <c16:uniqueId val="{00000002-B62A-4A99-A769-E98024D766B8}"/>
            </c:ext>
          </c:extLst>
        </c:ser>
        <c:ser>
          <c:idx val="3"/>
          <c:order val="3"/>
          <c:tx>
            <c:strRef>
              <c:f>'qyr-2022'!$B$209</c:f>
              <c:strCache>
                <c:ptCount val="1"/>
                <c:pt idx="0">
                  <c:v>Latin America</c:v>
                </c:pt>
              </c:strCache>
            </c:strRef>
          </c:tx>
          <c:spPr>
            <a:solidFill>
              <a:srgbClr val="000080"/>
            </a:solidFill>
            <a:ln>
              <a:noFill/>
            </a:ln>
            <a:effectLst/>
          </c:spPr>
          <c:invertIfNegative val="0"/>
          <c:cat>
            <c:numRef>
              <c:f>'qyr-2022'!$C$205:$N$205</c:f>
              <c:numCache>
                <c:formatCode>General</c:formatCode>
                <c:ptCount val="12"/>
                <c:pt idx="0">
                  <c:v>2019</c:v>
                </c:pt>
                <c:pt idx="1">
                  <c:v>2020</c:v>
                </c:pt>
                <c:pt idx="2">
                  <c:v>2021</c:v>
                </c:pt>
                <c:pt idx="3">
                  <c:v>2022</c:v>
                </c:pt>
                <c:pt idx="4">
                  <c:v>2023</c:v>
                </c:pt>
                <c:pt idx="5">
                  <c:v>2024</c:v>
                </c:pt>
                <c:pt idx="6">
                  <c:v>2025</c:v>
                </c:pt>
                <c:pt idx="7">
                  <c:v>2026</c:v>
                </c:pt>
                <c:pt idx="8">
                  <c:v>2027</c:v>
                </c:pt>
                <c:pt idx="9">
                  <c:v>2028</c:v>
                </c:pt>
                <c:pt idx="10">
                  <c:v>2029</c:v>
                </c:pt>
                <c:pt idx="11">
                  <c:v>2030</c:v>
                </c:pt>
              </c:numCache>
            </c:numRef>
          </c:cat>
          <c:val>
            <c:numRef>
              <c:f>'qyr-2022'!$C$209:$N$209</c:f>
              <c:numCache>
                <c:formatCode>_ * #,##0_ ;_ * \-#,##0_ ;_ * "-"??_ ;_ @_ </c:formatCode>
                <c:ptCount val="12"/>
                <c:pt idx="0">
                  <c:v>22.6</c:v>
                </c:pt>
                <c:pt idx="1">
                  <c:v>18.37464</c:v>
                </c:pt>
                <c:pt idx="2">
                  <c:v>19.94336</c:v>
                </c:pt>
                <c:pt idx="3">
                  <c:v>17.650992000000002</c:v>
                </c:pt>
                <c:pt idx="4">
                  <c:v>18.5248</c:v>
                </c:pt>
                <c:pt idx="5">
                  <c:v>21.054166666666667</c:v>
                </c:pt>
                <c:pt idx="6">
                  <c:v>22.418130434782611</c:v>
                </c:pt>
                <c:pt idx="7">
                  <c:v>23.193545454545454</c:v>
                </c:pt>
                <c:pt idx="8">
                  <c:v>26.625476190476192</c:v>
                </c:pt>
                <c:pt idx="9">
                  <c:v>28.37980487804878</c:v>
                </c:pt>
                <c:pt idx="10">
                  <c:v>32.848631578947362</c:v>
                </c:pt>
                <c:pt idx="11">
                  <c:v>34.611111111111107</c:v>
                </c:pt>
              </c:numCache>
            </c:numRef>
          </c:val>
          <c:extLst>
            <c:ext xmlns:c16="http://schemas.microsoft.com/office/drawing/2014/chart" uri="{C3380CC4-5D6E-409C-BE32-E72D297353CC}">
              <c16:uniqueId val="{00000003-B62A-4A99-A769-E98024D766B8}"/>
            </c:ext>
          </c:extLst>
        </c:ser>
        <c:ser>
          <c:idx val="4"/>
          <c:order val="4"/>
          <c:tx>
            <c:strRef>
              <c:f>'qyr-2022'!$B$210</c:f>
              <c:strCache>
                <c:ptCount val="1"/>
                <c:pt idx="0">
                  <c:v>Middle East &amp; Africa</c:v>
                </c:pt>
              </c:strCache>
            </c:strRef>
          </c:tx>
          <c:spPr>
            <a:solidFill>
              <a:srgbClr val="009697"/>
            </a:solidFill>
            <a:ln>
              <a:noFill/>
            </a:ln>
            <a:effectLst/>
          </c:spPr>
          <c:invertIfNegative val="0"/>
          <c:cat>
            <c:numRef>
              <c:f>'qyr-2022'!$C$205:$N$205</c:f>
              <c:numCache>
                <c:formatCode>General</c:formatCode>
                <c:ptCount val="12"/>
                <c:pt idx="0">
                  <c:v>2019</c:v>
                </c:pt>
                <c:pt idx="1">
                  <c:v>2020</c:v>
                </c:pt>
                <c:pt idx="2">
                  <c:v>2021</c:v>
                </c:pt>
                <c:pt idx="3">
                  <c:v>2022</c:v>
                </c:pt>
                <c:pt idx="4">
                  <c:v>2023</c:v>
                </c:pt>
                <c:pt idx="5">
                  <c:v>2024</c:v>
                </c:pt>
                <c:pt idx="6">
                  <c:v>2025</c:v>
                </c:pt>
                <c:pt idx="7">
                  <c:v>2026</c:v>
                </c:pt>
                <c:pt idx="8">
                  <c:v>2027</c:v>
                </c:pt>
                <c:pt idx="9">
                  <c:v>2028</c:v>
                </c:pt>
                <c:pt idx="10">
                  <c:v>2029</c:v>
                </c:pt>
                <c:pt idx="11">
                  <c:v>2030</c:v>
                </c:pt>
              </c:numCache>
            </c:numRef>
          </c:cat>
          <c:val>
            <c:numRef>
              <c:f>'qyr-2022'!$C$210:$N$210</c:f>
              <c:numCache>
                <c:formatCode>_ * #,##0_ ;_ * \-#,##0_ ;_ * "-"??_ ;_ @_ </c:formatCode>
                <c:ptCount val="12"/>
                <c:pt idx="0">
                  <c:v>49.973333333333329</c:v>
                </c:pt>
                <c:pt idx="1">
                  <c:v>43.629279999999994</c:v>
                </c:pt>
                <c:pt idx="2">
                  <c:v>50.660053333333337</c:v>
                </c:pt>
                <c:pt idx="3">
                  <c:v>42.662997333333344</c:v>
                </c:pt>
                <c:pt idx="4">
                  <c:v>47.929599999999994</c:v>
                </c:pt>
                <c:pt idx="5">
                  <c:v>53.978055555555557</c:v>
                </c:pt>
                <c:pt idx="6">
                  <c:v>60.215355322338837</c:v>
                </c:pt>
                <c:pt idx="7">
                  <c:v>69.5365944055944</c:v>
                </c:pt>
                <c:pt idx="8">
                  <c:v>89.677163561076625</c:v>
                </c:pt>
                <c:pt idx="9">
                  <c:v>107.71285946573751</c:v>
                </c:pt>
                <c:pt idx="10">
                  <c:v>122.12671578947368</c:v>
                </c:pt>
                <c:pt idx="11">
                  <c:v>132.1136374269006</c:v>
                </c:pt>
              </c:numCache>
            </c:numRef>
          </c:val>
          <c:extLst>
            <c:ext xmlns:c16="http://schemas.microsoft.com/office/drawing/2014/chart" uri="{C3380CC4-5D6E-409C-BE32-E72D297353CC}">
              <c16:uniqueId val="{00000004-B62A-4A99-A769-E98024D766B8}"/>
            </c:ext>
          </c:extLst>
        </c:ser>
        <c:dLbls>
          <c:showLegendKey val="0"/>
          <c:showVal val="0"/>
          <c:showCatName val="0"/>
          <c:showSerName val="0"/>
          <c:showPercent val="0"/>
          <c:showBubbleSize val="0"/>
        </c:dLbls>
        <c:gapWidth val="45"/>
        <c:overlap val="100"/>
        <c:axId val="1653523423"/>
        <c:axId val="1743154351"/>
      </c:barChart>
      <c:catAx>
        <c:axId val="1653523423"/>
        <c:scaling>
          <c:orientation val="minMax"/>
        </c:scaling>
        <c:delete val="0"/>
        <c:axPos val="b"/>
        <c:numFmt formatCode="General" sourceLinked="1"/>
        <c:majorTickMark val="none"/>
        <c:minorTickMark val="none"/>
        <c:tickLblPos val="nextTo"/>
        <c:spPr>
          <a:noFill/>
          <a:ln w="9525">
            <a:solidFill>
              <a:schemeClr val="tx1">
                <a:lumMod val="15000"/>
                <a:lumOff val="85000"/>
              </a:schemeClr>
            </a:solidFill>
            <a:round/>
          </a:ln>
          <a:effectLst/>
        </c:spPr>
        <c:txPr>
          <a:bodyPr rot="-60000000" spcFirstLastPara="1" vertOverflow="ellipsis" vert="horz" wrap="square" anchor="ctr" anchorCtr="1"/>
          <a:lstStyle/>
          <a:p>
            <a:pPr>
              <a:defRPr sz="900" b="0" i="0" u="none" strike="noStrike" kern="1200" baseline="0">
                <a:solidFill>
                  <a:schemeClr val="tx1">
                    <a:lumMod val="65000"/>
                    <a:lumOff val="35000"/>
                  </a:schemeClr>
                </a:solidFill>
                <a:latin typeface="Helvetica" panose="020B0604020202020204" pitchFamily="34" charset="0"/>
                <a:ea typeface="+mn-ea"/>
                <a:cs typeface="Helvetica" panose="020B0604020202020204" pitchFamily="34" charset="0"/>
              </a:defRPr>
            </a:pPr>
            <a:endParaRPr lang="zh-CN"/>
          </a:p>
        </c:txPr>
        <c:crossAx val="1743154351"/>
        <c:crosses val="autoZero"/>
        <c:auto val="1"/>
        <c:lblAlgn val="ctr"/>
        <c:lblOffset val="100"/>
        <c:noMultiLvlLbl val="0"/>
      </c:catAx>
      <c:valAx>
        <c:axId val="1743154351"/>
        <c:scaling>
          <c:orientation val="minMax"/>
        </c:scaling>
        <c:delete val="0"/>
        <c:axPos val="l"/>
        <c:majorGridlines>
          <c:spPr>
            <a:ln w="9525">
              <a:noFill/>
              <a:round/>
            </a:ln>
            <a:effectLst/>
          </c:spPr>
        </c:majorGridlines>
        <c:numFmt formatCode="0%" sourceLinked="1"/>
        <c:majorTickMark val="none"/>
        <c:minorTickMark val="none"/>
        <c:tickLblPos val="none"/>
        <c:spPr>
          <a:noFill/>
          <a:ln>
            <a:noFill/>
          </a:ln>
          <a:effectLst/>
        </c:spPr>
        <c:txPr>
          <a:bodyPr rot="-60000000" spcFirstLastPara="1" vertOverflow="ellipsis" vert="horz" wrap="square" anchor="ctr" anchorCtr="1"/>
          <a:lstStyle/>
          <a:p>
            <a:pPr>
              <a:defRPr sz="900" b="0" i="0" u="none" strike="noStrike" kern="1200" baseline="0">
                <a:solidFill>
                  <a:schemeClr val="tx1">
                    <a:lumMod val="65000"/>
                    <a:lumOff val="35000"/>
                  </a:schemeClr>
                </a:solidFill>
                <a:latin typeface="Helvetica" panose="020B0604020202020204" pitchFamily="34" charset="0"/>
                <a:ea typeface="+mn-ea"/>
                <a:cs typeface="Helvetica" panose="020B0604020202020204" pitchFamily="34" charset="0"/>
              </a:defRPr>
            </a:pPr>
            <a:endParaRPr lang="zh-CN"/>
          </a:p>
        </c:txPr>
        <c:crossAx val="1653523423"/>
        <c:crosses val="autoZero"/>
        <c:crossBetween val="between"/>
      </c:valAx>
      <c:spPr>
        <a:noFill/>
        <a:ln>
          <a:noFill/>
        </a:ln>
        <a:effectLst/>
      </c:spPr>
    </c:plotArea>
    <c:plotVisOnly val="1"/>
    <c:dispBlanksAs val="gap"/>
    <c:showDLblsOverMax val="0"/>
    <c:extLst>
      <c:ext xmlns:c="http://schemas.openxmlformats.org/drawingml/2006/chart" xmlns:c16r3="http://schemas.microsoft.com/office/drawing/2017/03/chart" uri="{56B9EC1D-385E-4148-901F-78D8002777C0}">
        <c16r3:dataDisplayOptions16>
          <c16r3:dispNaAsBlank val="1"/>
        </c16r3:dataDisplayOptions16>
      </c:ext>
    </c:extLst>
  </c:chart>
  <c:spPr>
    <a:solidFill>
      <a:schemeClr val="bg1"/>
    </a:solidFill>
    <a:ln w="9525">
      <a:noFill/>
      <a:round/>
    </a:ln>
    <a:effectLst/>
  </c:spPr>
  <c:txPr>
    <a:bodyPr/>
    <a:lstStyle/>
    <a:p>
      <a:pPr>
        <a:defRPr/>
      </a:pPr>
      <a:endParaRPr lang="zh-CN"/>
    </a:p>
  </c:txPr>
  <c:externalData r:id="rId1">
    <c:autoUpdate val="0"/>
  </c:externalData>
</c:chartSpace>
</file>

<file path=word/charts/chart7.xml><?xml version="1.0" encoding="utf-8"?>
<c:chartSpace xmlns:c="http://schemas.openxmlformats.org/drawingml/2006/chart" xmlns:a="http://schemas.openxmlformats.org/drawingml/2006/main" xmlns:r="http://schemas.openxmlformats.org/officeDocument/2006/relationships">
  <c:date1904 val="0"/>
  <c:lang val="zh-CN"/>
  <c:roundedCorners val="0"/>
  <mc:AlternateContent xmlns:mc="http://schemas.openxmlformats.org/markup-compatibility/2006">
    <mc:Choice xmlns:c14="http://schemas.microsoft.com/office/drawing/2007/8/2/chart" Requires="c14">
      <c14:style val="112"/>
    </mc:Choice>
    <mc:Fallback>
      <c:style val="12"/>
    </mc:Fallback>
  </mc:AlternateContent>
  <c:chart>
    <c:autoTitleDeleted val="1"/>
    <c:plotArea>
      <c:layout>
        <c:manualLayout>
          <c:layoutTarget val="inner"/>
          <c:xMode val="edge"/>
          <c:yMode val="edge"/>
          <c:x val="0.012659003831417624"/>
          <c:y val="0.04352259075059204"/>
          <c:w val="0.98085859662884567"/>
          <c:h val="0.84752408783234812"/>
        </c:manualLayout>
      </c:layout>
      <c:barChart>
        <c:barDir val="col"/>
        <c:grouping val="clustered"/>
        <c:varyColors val="0"/>
        <c:ser>
          <c:idx val="0"/>
          <c:order val="0"/>
          <c:tx>
            <c:strRef>
              <c:f>'qyr-2022'!$B$2</c:f>
              <c:strCache>
                <c:ptCount val="1"/>
                <c:pt idx="0">
                  <c:v>Capacity</c:v>
                </c:pt>
              </c:strCache>
            </c:strRef>
          </c:tx>
          <c:spPr>
            <a:solidFill>
              <a:schemeClr val="accent1">
                <a:lumMod val="50000"/>
              </a:schemeClr>
            </a:solidFill>
            <a:ln>
              <a:noFill/>
            </a:ln>
            <a:effectLst>
              <a:outerShdw blurRad="40000" dist="20000" dir="5400000" sx="100000" sy="100000" kx="0" ky="0" algn="b" rotWithShape="0">
                <a:schemeClr val="tx2">
                  <a:lumMod val="60000"/>
                  <a:lumOff val="40000"/>
                  <a:alpha val="38000"/>
                </a:schemeClr>
              </a:outerShdw>
            </a:effectLst>
          </c:spPr>
          <c:invertIfNegative val="0"/>
          <c:dLbls>
            <c:numFmt formatCode="\x\x" sourceLinked="0"/>
            <c:spPr>
              <a:noFill/>
              <a:ln>
                <a:noFill/>
              </a:ln>
              <a:effectLst>
                <a:outerShdw blurRad="50800" dist="50800" dir="5400000" sx="7000" sy="7000" kx="0" ky="0" algn="ctr" rotWithShape="0">
                  <a:srgbClr val="000000">
                    <a:alpha val="43137"/>
                  </a:srgbClr>
                </a:outerShdw>
              </a:effectLst>
            </c:spPr>
            <c:txPr>
              <a:bodyPr wrap="square" lIns="38100" tIns="19050" rIns="38100" bIns="19050" anchor="ctr" anchorCtr="0">
                <a:spAutoFit/>
              </a:bodyPr>
              <a:lstStyle/>
              <a:p>
                <a:pPr>
                  <a:defRPr sz="1200" cap="all" baseline="0">
                    <a:solidFill>
                      <a:schemeClr val="tx1"/>
                    </a:solidFill>
                    <a:latin typeface="Helvetica" panose="020B0604020202020204" pitchFamily="34" charset="0"/>
                    <a:ea typeface="Cambria" panose="02040503050406030204" pitchFamily="18" charset="0"/>
                    <a:cs typeface="Helvetica" panose="020B0604020202020204" pitchFamily="34" charset="0"/>
                  </a:defRPr>
                </a:pPr>
                <a:endParaRPr lang="zh-CN"/>
              </a:p>
            </c:txPr>
            <c:dLblPos val="outEnd"/>
            <c:showLegendKey val="0"/>
            <c:showVal val="1"/>
            <c:showCatName val="0"/>
            <c:showSerName val="0"/>
            <c:showPercent val="0"/>
            <c:showBubbleSize val="0"/>
            <c:showLeaderLines val="0"/>
            <c:extLst>
              <c:ext xmlns:c15="http://schemas.microsoft.com/office/drawing/2012/chart" uri="{CE6537A1-D6FC-4f65-9D91-7224C49458BB}">
                <c15:showLeaderLines val="0"/>
              </c:ext>
            </c:extLst>
          </c:dLbls>
          <c:cat>
            <c:numRef>
              <c:f>'qyr-2022'!$E$1:$P$1</c:f>
              <c:numCache>
                <c:formatCode>General</c:formatCode>
                <c:ptCount val="12"/>
                <c:pt idx="0">
                  <c:v>2019</c:v>
                </c:pt>
                <c:pt idx="1">
                  <c:v>2020</c:v>
                </c:pt>
                <c:pt idx="2">
                  <c:v>2021</c:v>
                </c:pt>
                <c:pt idx="3">
                  <c:v>2022</c:v>
                </c:pt>
                <c:pt idx="4">
                  <c:v>2023</c:v>
                </c:pt>
                <c:pt idx="5">
                  <c:v>2024</c:v>
                </c:pt>
                <c:pt idx="6">
                  <c:v>2025</c:v>
                </c:pt>
                <c:pt idx="7">
                  <c:v>2026</c:v>
                </c:pt>
                <c:pt idx="8">
                  <c:v>2027</c:v>
                </c:pt>
                <c:pt idx="9">
                  <c:v>2028</c:v>
                </c:pt>
                <c:pt idx="10">
                  <c:v>2029</c:v>
                </c:pt>
                <c:pt idx="11">
                  <c:v>2030</c:v>
                </c:pt>
              </c:numCache>
            </c:numRef>
          </c:cat>
          <c:val>
            <c:numRef>
              <c:f>'qyr-2022'!$E$2:$P$2</c:f>
              <c:numCache>
                <c:formatCode>General</c:formatCode>
                <c:ptCount val="12"/>
                <c:pt idx="0">
                  <c:v>423</c:v>
                </c:pt>
                <c:pt idx="1">
                  <c:v>382.2</c:v>
                </c:pt>
                <c:pt idx="2">
                  <c:v>469.59999999999997</c:v>
                </c:pt>
                <c:pt idx="3">
                  <c:v>505</c:v>
                </c:pt>
                <c:pt idx="4">
                  <c:v>482</c:v>
                </c:pt>
                <c:pt idx="5">
                  <c:v>492</c:v>
                </c:pt>
                <c:pt idx="6">
                  <c:v>544</c:v>
                </c:pt>
                <c:pt idx="7">
                  <c:v>583.6</c:v>
                </c:pt>
                <c:pt idx="8">
                  <c:v>592.6</c:v>
                </c:pt>
                <c:pt idx="9" formatCode="0.0">
                  <c:v>628.80592</c:v>
                </c:pt>
                <c:pt idx="10" formatCode="0.0">
                  <c:v>721.00791023200009</c:v>
                </c:pt>
                <c:pt idx="11" formatCode="0.0">
                  <c:v>777.302376935688</c:v>
                </c:pt>
              </c:numCache>
            </c:numRef>
          </c:val>
          <c:extLst>
            <c:ext xmlns:c16="http://schemas.microsoft.com/office/drawing/2014/chart" uri="{C3380CC4-5D6E-409C-BE32-E72D297353CC}">
              <c16:uniqueId val="{00000000-DE41-43AE-BF9C-B34A4C1587C3}"/>
            </c:ext>
          </c:extLst>
        </c:ser>
        <c:dLbls>
          <c:showLegendKey val="0"/>
          <c:showVal val="0"/>
          <c:showCatName val="0"/>
          <c:showSerName val="0"/>
          <c:showPercent val="0"/>
          <c:showBubbleSize val="0"/>
        </c:dLbls>
        <c:gapWidth val="30"/>
        <c:axId val="-1322419456"/>
        <c:axId val="-1322431424"/>
      </c:barChart>
      <c:lineChart>
        <c:grouping val="stacked"/>
        <c:varyColors val="0"/>
        <c:ser>
          <c:idx val="1"/>
          <c:order val="1"/>
          <c:tx>
            <c:strRef>
              <c:f>'qyr-2022'!$B$3</c:f>
              <c:strCache>
                <c:ptCount val="1"/>
                <c:pt idx="0">
                  <c:v>Growth Rate</c:v>
                </c:pt>
              </c:strCache>
            </c:strRef>
          </c:tx>
          <c:spPr>
            <a:ln w="25400">
              <a:solidFill>
                <a:srgbClr val="FFC000"/>
              </a:solidFill>
            </a:ln>
          </c:spPr>
          <c:marker>
            <c:symbol val="circle"/>
            <c:size val="26"/>
            <c:spPr>
              <a:solidFill>
                <a:schemeClr val="bg1">
                  <a:lumMod val="50000"/>
                </a:schemeClr>
              </a:solidFill>
              <a:ln>
                <a:solidFill>
                  <a:schemeClr val="bg1"/>
                </a:solidFill>
              </a:ln>
            </c:spPr>
          </c:marker>
          <c:dLbls>
            <c:numFmt formatCode="\x\x\%" sourceLinked="0"/>
            <c:spPr>
              <a:noFill/>
              <a:ln>
                <a:noFill/>
              </a:ln>
              <a:effectLst/>
            </c:spPr>
            <c:txPr>
              <a:bodyPr wrap="square" lIns="38100" tIns="19050" rIns="38100" bIns="19050" anchor="ctr">
                <a:spAutoFit/>
              </a:bodyPr>
              <a:lstStyle/>
              <a:p>
                <a:pPr>
                  <a:defRPr>
                    <a:solidFill>
                      <a:schemeClr val="bg1">
                        <a:lumMod val="95000"/>
                      </a:schemeClr>
                    </a:solidFill>
                    <a:latin typeface="Helvetica" panose="020B0604020202020204" pitchFamily="34" charset="0"/>
                    <a:cs typeface="Helvetica" panose="020B0604020202020204" pitchFamily="34" charset="0"/>
                  </a:defRPr>
                </a:pPr>
                <a:endParaRPr lang="zh-CN"/>
              </a:p>
            </c:txPr>
            <c:dLblPos val="ctr"/>
            <c:showLegendKey val="0"/>
            <c:showVal val="1"/>
            <c:showCatName val="0"/>
            <c:showSerName val="0"/>
            <c:showPercent val="0"/>
            <c:showBubbleSize val="0"/>
            <c:showLeaderLines val="0"/>
            <c:extLst>
              <c:ext xmlns:c15="http://schemas.microsoft.com/office/drawing/2012/chart" uri="{CE6537A1-D6FC-4f65-9D91-7224C49458BB}">
                <c15:showLeaderLines val="1"/>
              </c:ext>
            </c:extLst>
          </c:dLbls>
          <c:cat>
            <c:numRef>
              <c:f>'qyr-2022'!$E$1:$P$1</c:f>
              <c:numCache>
                <c:formatCode>General</c:formatCode>
                <c:ptCount val="12"/>
                <c:pt idx="0">
                  <c:v>2019</c:v>
                </c:pt>
                <c:pt idx="1">
                  <c:v>2020</c:v>
                </c:pt>
                <c:pt idx="2">
                  <c:v>2021</c:v>
                </c:pt>
                <c:pt idx="3">
                  <c:v>2022</c:v>
                </c:pt>
                <c:pt idx="4">
                  <c:v>2023</c:v>
                </c:pt>
                <c:pt idx="5">
                  <c:v>2024</c:v>
                </c:pt>
                <c:pt idx="6">
                  <c:v>2025</c:v>
                </c:pt>
                <c:pt idx="7">
                  <c:v>2026</c:v>
                </c:pt>
                <c:pt idx="8">
                  <c:v>2027</c:v>
                </c:pt>
                <c:pt idx="9">
                  <c:v>2028</c:v>
                </c:pt>
                <c:pt idx="10">
                  <c:v>2029</c:v>
                </c:pt>
                <c:pt idx="11">
                  <c:v>2030</c:v>
                </c:pt>
              </c:numCache>
            </c:numRef>
          </c:cat>
          <c:val>
            <c:numRef>
              <c:f>'qyr-2022'!$E$3:$P$3</c:f>
              <c:numCache>
                <c:formatCode>0.00%</c:formatCode>
                <c:ptCount val="12"/>
                <c:pt idx="0">
                  <c:v>-0.037761601455868932</c:v>
                </c:pt>
                <c:pt idx="1">
                  <c:v>-0.096453900709219886</c:v>
                </c:pt>
                <c:pt idx="2">
                  <c:v>0.22867608581894294</c:v>
                </c:pt>
                <c:pt idx="3">
                  <c:v>0.075383304940374929</c:v>
                </c:pt>
                <c:pt idx="4">
                  <c:v>-0.045544554455445585</c:v>
                </c:pt>
                <c:pt idx="5">
                  <c:v>0.020746887966804906</c:v>
                </c:pt>
                <c:pt idx="6">
                  <c:v>0.10569105691056913</c:v>
                </c:pt>
                <c:pt idx="7">
                  <c:v>0.072794117647058787</c:v>
                </c:pt>
                <c:pt idx="8">
                  <c:v>0.015421521590130327</c:v>
                </c:pt>
                <c:pt idx="9">
                  <c:v>0.061096726290921444</c:v>
                </c:pt>
                <c:pt idx="10">
                  <c:v>0.0533</c:v>
                </c:pt>
                <c:pt idx="11">
                  <c:v>0.051</c:v>
                </c:pt>
              </c:numCache>
            </c:numRef>
          </c:val>
          <c:smooth val="0"/>
          <c:extLst>
            <c:ext xmlns:c16="http://schemas.microsoft.com/office/drawing/2014/chart" uri="{C3380CC4-5D6E-409C-BE32-E72D297353CC}">
              <c16:uniqueId val="{00000002-DE41-43AE-BF9C-B34A4C1587C3}"/>
            </c:ext>
          </c:extLst>
        </c:ser>
        <c:dLbls>
          <c:showLegendKey val="0"/>
          <c:showVal val="0"/>
          <c:showCatName val="0"/>
          <c:showSerName val="0"/>
          <c:showPercent val="0"/>
          <c:showBubbleSize val="0"/>
        </c:dLbls>
        <c:marker val="1"/>
        <c:smooth val="0"/>
        <c:axId val="-1322429792"/>
        <c:axId val="-1322406944"/>
      </c:lineChart>
      <c:catAx>
        <c:axId val="-1322419456"/>
        <c:scaling>
          <c:orientation val="minMax"/>
        </c:scaling>
        <c:delete val="0"/>
        <c:axPos val="b"/>
        <c:numFmt formatCode="General" sourceLinked="1"/>
        <c:majorTickMark val="none"/>
        <c:minorTickMark val="none"/>
        <c:tickLblPos val="nextTo"/>
        <c:txPr>
          <a:bodyPr/>
          <a:lstStyle/>
          <a:p>
            <a:pPr>
              <a:defRPr sz="1000">
                <a:latin typeface="Helvetica" panose="020B0604020202020204" pitchFamily="34" charset="0"/>
                <a:cs typeface="Helvetica" panose="020B0604020202020204" pitchFamily="34" charset="0"/>
              </a:defRPr>
            </a:pPr>
            <a:endParaRPr lang="zh-CN"/>
          </a:p>
        </c:txPr>
        <c:crossAx val="-1322431424"/>
        <c:crosses val="autoZero"/>
        <c:auto val="1"/>
        <c:lblAlgn val="ctr"/>
        <c:lblOffset val="100"/>
        <c:noMultiLvlLbl val="0"/>
      </c:catAx>
      <c:valAx>
        <c:axId val="-1322431424"/>
        <c:scaling>
          <c:orientation val="minMax"/>
        </c:scaling>
        <c:delete val="0"/>
        <c:axPos val="l"/>
        <c:majorGridlines>
          <c:spPr>
            <a:ln>
              <a:noFill/>
            </a:ln>
          </c:spPr>
        </c:majorGridlines>
        <c:numFmt formatCode="General" sourceLinked="1"/>
        <c:majorTickMark val="none"/>
        <c:minorTickMark val="none"/>
        <c:tickLblPos val="none"/>
        <c:spPr>
          <a:ln>
            <a:noFill/>
          </a:ln>
        </c:spPr>
        <c:crossAx val="-1322419456"/>
        <c:crosses val="autoZero"/>
        <c:crossBetween val="between"/>
      </c:valAx>
      <c:valAx>
        <c:axId val="-1322406944"/>
        <c:scaling>
          <c:orientation val="minMax"/>
          <c:max val="0.45"/>
        </c:scaling>
        <c:delete val="0"/>
        <c:axPos val="r"/>
        <c:numFmt formatCode="0%" sourceLinked="0"/>
        <c:majorTickMark val="out"/>
        <c:minorTickMark val="none"/>
        <c:tickLblPos val="none"/>
        <c:spPr>
          <a:ln>
            <a:noFill/>
          </a:ln>
        </c:spPr>
        <c:crossAx val="-1322429792"/>
        <c:crosses val="max"/>
        <c:crossBetween val="between"/>
      </c:valAx>
      <c:catAx>
        <c:axId val="-1322429792"/>
        <c:scaling>
          <c:orientation val="minMax"/>
        </c:scaling>
        <c:delete val="1"/>
        <c:axPos val="b"/>
        <c:numFmt formatCode="General" sourceLinked="1"/>
        <c:majorTickMark val="out"/>
        <c:minorTickMark val="none"/>
        <c:tickLblPos val="nextTo"/>
        <c:crossAx val="-1322406944"/>
        <c:crosses val="autoZero"/>
        <c:auto val="1"/>
        <c:lblAlgn val="ctr"/>
        <c:lblOffset val="100"/>
        <c:noMultiLvlLbl val="0"/>
      </c:catAx>
      <c:spPr>
        <a:ln>
          <a:noFill/>
        </a:ln>
      </c:spPr>
    </c:plotArea>
    <c:plotVisOnly val="1"/>
    <c:dispBlanksAs val="gap"/>
    <c:showDLblsOverMax val="0"/>
  </c:chart>
  <c:spPr>
    <a:ln>
      <a:noFill/>
    </a:ln>
  </c:spPr>
  <c:externalData r:id="rId1">
    <c:autoUpdate val="0"/>
  </c:externalData>
  <c:userShapes r:id="rId2"/>
</c:chartSpace>
</file>

<file path=word/charts/chart8.xml><?xml version="1.0" encoding="utf-8"?>
<c:chartSpace xmlns:c="http://schemas.openxmlformats.org/drawingml/2006/chart" xmlns:a="http://schemas.openxmlformats.org/drawingml/2006/main" xmlns:r="http://schemas.openxmlformats.org/officeDocument/2006/relationships">
  <c:date1904 val="0"/>
  <c:lang val="zh-CN"/>
  <c:roundedCorners val="0"/>
  <mc:AlternateContent xmlns:mc="http://schemas.openxmlformats.org/markup-compatibility/2006">
    <mc:Choice xmlns:c14="http://schemas.microsoft.com/office/drawing/2007/8/2/chart" Requires="c14">
      <c14:style val="112"/>
    </mc:Choice>
    <mc:Fallback>
      <c:style val="12"/>
    </mc:Fallback>
  </mc:AlternateContent>
  <c:chart>
    <c:autoTitleDeleted val="1"/>
    <c:plotArea>
      <c:layout>
        <c:manualLayout>
          <c:layoutTarget val="inner"/>
          <c:xMode val="edge"/>
          <c:yMode val="edge"/>
          <c:x val="0.012659003831417624"/>
          <c:y val="0.04352259075059204"/>
          <c:w val="0.98085859662884567"/>
          <c:h val="0.84752408783234812"/>
        </c:manualLayout>
      </c:layout>
      <c:barChart>
        <c:barDir val="col"/>
        <c:grouping val="clustered"/>
        <c:varyColors val="0"/>
        <c:ser>
          <c:idx val="0"/>
          <c:order val="0"/>
          <c:tx>
            <c:strRef>
              <c:f>'qyr-2022'!$B$2</c:f>
              <c:strCache>
                <c:ptCount val="1"/>
                <c:pt idx="0">
                  <c:v>Capacity</c:v>
                </c:pt>
              </c:strCache>
            </c:strRef>
          </c:tx>
          <c:spPr>
            <a:solidFill>
              <a:schemeClr val="accent1">
                <a:lumMod val="50000"/>
              </a:schemeClr>
            </a:solidFill>
            <a:ln>
              <a:noFill/>
            </a:ln>
            <a:effectLst>
              <a:outerShdw blurRad="40000" dist="20000" dir="5400000" sx="100000" sy="100000" kx="0" ky="0" algn="b" rotWithShape="0">
                <a:schemeClr val="tx2">
                  <a:lumMod val="60000"/>
                  <a:lumOff val="40000"/>
                  <a:alpha val="38000"/>
                </a:schemeClr>
              </a:outerShdw>
            </a:effectLst>
          </c:spPr>
          <c:invertIfNegative val="0"/>
          <c:dLbls>
            <c:numFmt formatCode="\x\x" sourceLinked="0"/>
            <c:spPr>
              <a:noFill/>
              <a:ln>
                <a:noFill/>
              </a:ln>
              <a:effectLst>
                <a:outerShdw blurRad="50800" dist="50800" dir="5400000" sx="7000" sy="7000" kx="0" ky="0" algn="ctr" rotWithShape="0">
                  <a:srgbClr val="000000">
                    <a:alpha val="43137"/>
                  </a:srgbClr>
                </a:outerShdw>
              </a:effectLst>
            </c:spPr>
            <c:txPr>
              <a:bodyPr wrap="square" lIns="38100" tIns="19050" rIns="38100" bIns="19050" anchor="ctr" anchorCtr="0">
                <a:spAutoFit/>
              </a:bodyPr>
              <a:lstStyle/>
              <a:p>
                <a:pPr>
                  <a:defRPr sz="1200" cap="all" baseline="0">
                    <a:solidFill>
                      <a:schemeClr val="tx1"/>
                    </a:solidFill>
                    <a:latin typeface="Helvetica" panose="020B0604020202020204" pitchFamily="34" charset="0"/>
                    <a:ea typeface="Cambria" panose="02040503050406030204" pitchFamily="18" charset="0"/>
                    <a:cs typeface="Helvetica" panose="020B0604020202020204" pitchFamily="34" charset="0"/>
                  </a:defRPr>
                </a:pPr>
                <a:endParaRPr lang="zh-CN"/>
              </a:p>
            </c:txPr>
            <c:dLblPos val="outEnd"/>
            <c:showLegendKey val="0"/>
            <c:showVal val="1"/>
            <c:showCatName val="0"/>
            <c:showSerName val="0"/>
            <c:showPercent val="0"/>
            <c:showBubbleSize val="0"/>
            <c:showLeaderLines val="0"/>
            <c:extLst>
              <c:ext xmlns:c15="http://schemas.microsoft.com/office/drawing/2012/chart" uri="{CE6537A1-D6FC-4f65-9D91-7224C49458BB}">
                <c15:showLeaderLines val="0"/>
              </c:ext>
            </c:extLst>
          </c:dLbls>
          <c:cat>
            <c:numRef>
              <c:f>'qyr-2022'!$E$1:$P$1</c:f>
              <c:numCache>
                <c:formatCode>General</c:formatCode>
                <c:ptCount val="12"/>
                <c:pt idx="0">
                  <c:v>2019</c:v>
                </c:pt>
                <c:pt idx="1">
                  <c:v>2020</c:v>
                </c:pt>
                <c:pt idx="2">
                  <c:v>2021</c:v>
                </c:pt>
                <c:pt idx="3">
                  <c:v>2022</c:v>
                </c:pt>
                <c:pt idx="4">
                  <c:v>2023</c:v>
                </c:pt>
                <c:pt idx="5">
                  <c:v>2024</c:v>
                </c:pt>
                <c:pt idx="6">
                  <c:v>2025</c:v>
                </c:pt>
                <c:pt idx="7">
                  <c:v>2026</c:v>
                </c:pt>
                <c:pt idx="8">
                  <c:v>2027</c:v>
                </c:pt>
                <c:pt idx="9">
                  <c:v>2028</c:v>
                </c:pt>
                <c:pt idx="10">
                  <c:v>2029</c:v>
                </c:pt>
                <c:pt idx="11">
                  <c:v>2030</c:v>
                </c:pt>
              </c:numCache>
            </c:numRef>
          </c:cat>
          <c:val>
            <c:numRef>
              <c:f>'qyr-2022'!$E$2:$P$2</c:f>
              <c:numCache>
                <c:formatCode>General</c:formatCode>
                <c:ptCount val="12"/>
                <c:pt idx="0">
                  <c:v>423</c:v>
                </c:pt>
                <c:pt idx="1">
                  <c:v>382.2</c:v>
                </c:pt>
                <c:pt idx="2">
                  <c:v>469.59999999999997</c:v>
                </c:pt>
                <c:pt idx="3">
                  <c:v>505</c:v>
                </c:pt>
                <c:pt idx="4">
                  <c:v>482</c:v>
                </c:pt>
                <c:pt idx="5">
                  <c:v>492</c:v>
                </c:pt>
                <c:pt idx="6">
                  <c:v>544</c:v>
                </c:pt>
                <c:pt idx="7">
                  <c:v>583.6</c:v>
                </c:pt>
                <c:pt idx="8">
                  <c:v>592.6</c:v>
                </c:pt>
                <c:pt idx="9" formatCode="0.0">
                  <c:v>628.80592</c:v>
                </c:pt>
                <c:pt idx="10" formatCode="0.0">
                  <c:v>721.00791023200009</c:v>
                </c:pt>
                <c:pt idx="11" formatCode="0.0">
                  <c:v>777.302376935688</c:v>
                </c:pt>
              </c:numCache>
            </c:numRef>
          </c:val>
          <c:extLst>
            <c:ext xmlns:c16="http://schemas.microsoft.com/office/drawing/2014/chart" uri="{C3380CC4-5D6E-409C-BE32-E72D297353CC}">
              <c16:uniqueId val="{00000000-80AB-4CCF-A657-CD7040291807}"/>
            </c:ext>
          </c:extLst>
        </c:ser>
        <c:dLbls>
          <c:showLegendKey val="0"/>
          <c:showVal val="0"/>
          <c:showCatName val="0"/>
          <c:showSerName val="0"/>
          <c:showPercent val="0"/>
          <c:showBubbleSize val="0"/>
        </c:dLbls>
        <c:gapWidth val="30"/>
        <c:axId val="-1322419456"/>
        <c:axId val="-1322431424"/>
      </c:barChart>
      <c:lineChart>
        <c:grouping val="stacked"/>
        <c:varyColors val="0"/>
        <c:ser>
          <c:idx val="1"/>
          <c:order val="1"/>
          <c:tx>
            <c:strRef>
              <c:f>'qyr-2022'!$B$3</c:f>
              <c:strCache>
                <c:ptCount val="1"/>
                <c:pt idx="0">
                  <c:v>Growth Rate</c:v>
                </c:pt>
              </c:strCache>
            </c:strRef>
          </c:tx>
          <c:spPr>
            <a:ln w="25400">
              <a:solidFill>
                <a:srgbClr val="FFC000"/>
              </a:solidFill>
            </a:ln>
          </c:spPr>
          <c:marker>
            <c:symbol val="circle"/>
            <c:size val="26"/>
            <c:spPr>
              <a:solidFill>
                <a:schemeClr val="bg1">
                  <a:lumMod val="50000"/>
                </a:schemeClr>
              </a:solidFill>
              <a:ln>
                <a:solidFill>
                  <a:schemeClr val="bg1"/>
                </a:solidFill>
              </a:ln>
            </c:spPr>
          </c:marker>
          <c:dLbls>
            <c:numFmt formatCode="\x\x\%" sourceLinked="0"/>
            <c:spPr>
              <a:noFill/>
              <a:ln>
                <a:noFill/>
              </a:ln>
              <a:effectLst/>
            </c:spPr>
            <c:txPr>
              <a:bodyPr wrap="square" lIns="38100" tIns="19050" rIns="38100" bIns="19050" anchor="ctr">
                <a:spAutoFit/>
              </a:bodyPr>
              <a:lstStyle/>
              <a:p>
                <a:pPr>
                  <a:defRPr>
                    <a:solidFill>
                      <a:schemeClr val="bg1">
                        <a:lumMod val="95000"/>
                      </a:schemeClr>
                    </a:solidFill>
                    <a:latin typeface="Helvetica" panose="020B0604020202020204" pitchFamily="34" charset="0"/>
                    <a:cs typeface="Helvetica" panose="020B0604020202020204" pitchFamily="34" charset="0"/>
                  </a:defRPr>
                </a:pPr>
                <a:endParaRPr lang="zh-CN"/>
              </a:p>
            </c:txPr>
            <c:dLblPos val="ctr"/>
            <c:showLegendKey val="0"/>
            <c:showVal val="1"/>
            <c:showCatName val="0"/>
            <c:showSerName val="0"/>
            <c:showPercent val="0"/>
            <c:showBubbleSize val="0"/>
            <c:showLeaderLines val="0"/>
            <c:extLst>
              <c:ext xmlns:c15="http://schemas.microsoft.com/office/drawing/2012/chart" uri="{CE6537A1-D6FC-4f65-9D91-7224C49458BB}">
                <c15:showLeaderLines val="1"/>
              </c:ext>
            </c:extLst>
          </c:dLbls>
          <c:cat>
            <c:numRef>
              <c:f>'qyr-2022'!$E$1:$P$1</c:f>
              <c:numCache>
                <c:formatCode>General</c:formatCode>
                <c:ptCount val="12"/>
                <c:pt idx="0">
                  <c:v>2019</c:v>
                </c:pt>
                <c:pt idx="1">
                  <c:v>2020</c:v>
                </c:pt>
                <c:pt idx="2">
                  <c:v>2021</c:v>
                </c:pt>
                <c:pt idx="3">
                  <c:v>2022</c:v>
                </c:pt>
                <c:pt idx="4">
                  <c:v>2023</c:v>
                </c:pt>
                <c:pt idx="5">
                  <c:v>2024</c:v>
                </c:pt>
                <c:pt idx="6">
                  <c:v>2025</c:v>
                </c:pt>
                <c:pt idx="7">
                  <c:v>2026</c:v>
                </c:pt>
                <c:pt idx="8">
                  <c:v>2027</c:v>
                </c:pt>
                <c:pt idx="9">
                  <c:v>2028</c:v>
                </c:pt>
                <c:pt idx="10">
                  <c:v>2029</c:v>
                </c:pt>
                <c:pt idx="11">
                  <c:v>2030</c:v>
                </c:pt>
              </c:numCache>
            </c:numRef>
          </c:cat>
          <c:val>
            <c:numRef>
              <c:f>'qyr-2022'!$E$3:$P$3</c:f>
              <c:numCache>
                <c:formatCode>0.00%</c:formatCode>
                <c:ptCount val="12"/>
                <c:pt idx="0">
                  <c:v>-0.037761601455868932</c:v>
                </c:pt>
                <c:pt idx="1">
                  <c:v>-0.096453900709219886</c:v>
                </c:pt>
                <c:pt idx="2">
                  <c:v>0.22867608581894294</c:v>
                </c:pt>
                <c:pt idx="3">
                  <c:v>0.075383304940374929</c:v>
                </c:pt>
                <c:pt idx="4">
                  <c:v>-0.045544554455445585</c:v>
                </c:pt>
                <c:pt idx="5">
                  <c:v>0.020746887966804906</c:v>
                </c:pt>
                <c:pt idx="6">
                  <c:v>0.10569105691056913</c:v>
                </c:pt>
                <c:pt idx="7">
                  <c:v>0.072794117647058787</c:v>
                </c:pt>
                <c:pt idx="8">
                  <c:v>0.015421521590130327</c:v>
                </c:pt>
                <c:pt idx="9">
                  <c:v>0.061096726290921444</c:v>
                </c:pt>
                <c:pt idx="10">
                  <c:v>0.0533</c:v>
                </c:pt>
                <c:pt idx="11">
                  <c:v>0.051</c:v>
                </c:pt>
              </c:numCache>
            </c:numRef>
          </c:val>
          <c:smooth val="0"/>
          <c:extLst>
            <c:ext xmlns:c16="http://schemas.microsoft.com/office/drawing/2014/chart" uri="{C3380CC4-5D6E-409C-BE32-E72D297353CC}">
              <c16:uniqueId val="{00000002-80AB-4CCF-A657-CD7040291807}"/>
            </c:ext>
          </c:extLst>
        </c:ser>
        <c:dLbls>
          <c:showLegendKey val="0"/>
          <c:showVal val="0"/>
          <c:showCatName val="0"/>
          <c:showSerName val="0"/>
          <c:showPercent val="0"/>
          <c:showBubbleSize val="0"/>
        </c:dLbls>
        <c:marker val="1"/>
        <c:smooth val="0"/>
        <c:axId val="-1322429792"/>
        <c:axId val="-1322406944"/>
      </c:lineChart>
      <c:catAx>
        <c:axId val="-1322419456"/>
        <c:scaling>
          <c:orientation val="minMax"/>
        </c:scaling>
        <c:delete val="0"/>
        <c:axPos val="b"/>
        <c:numFmt formatCode="General" sourceLinked="1"/>
        <c:majorTickMark val="none"/>
        <c:minorTickMark val="none"/>
        <c:tickLblPos val="nextTo"/>
        <c:txPr>
          <a:bodyPr/>
          <a:lstStyle/>
          <a:p>
            <a:pPr>
              <a:defRPr sz="1000">
                <a:latin typeface="Helvetica" panose="020B0604020202020204" pitchFamily="34" charset="0"/>
                <a:cs typeface="Helvetica" panose="020B0604020202020204" pitchFamily="34" charset="0"/>
              </a:defRPr>
            </a:pPr>
            <a:endParaRPr lang="zh-CN"/>
          </a:p>
        </c:txPr>
        <c:crossAx val="-1322431424"/>
        <c:crosses val="autoZero"/>
        <c:auto val="1"/>
        <c:lblAlgn val="ctr"/>
        <c:lblOffset val="100"/>
        <c:noMultiLvlLbl val="0"/>
      </c:catAx>
      <c:valAx>
        <c:axId val="-1322431424"/>
        <c:scaling>
          <c:orientation val="minMax"/>
        </c:scaling>
        <c:delete val="0"/>
        <c:axPos val="l"/>
        <c:majorGridlines>
          <c:spPr>
            <a:ln>
              <a:noFill/>
            </a:ln>
          </c:spPr>
        </c:majorGridlines>
        <c:numFmt formatCode="General" sourceLinked="1"/>
        <c:majorTickMark val="none"/>
        <c:minorTickMark val="none"/>
        <c:tickLblPos val="none"/>
        <c:spPr>
          <a:ln>
            <a:noFill/>
          </a:ln>
        </c:spPr>
        <c:crossAx val="-1322419456"/>
        <c:crosses val="autoZero"/>
        <c:crossBetween val="between"/>
      </c:valAx>
      <c:valAx>
        <c:axId val="-1322406944"/>
        <c:scaling>
          <c:orientation val="minMax"/>
          <c:max val="0.45"/>
        </c:scaling>
        <c:delete val="0"/>
        <c:axPos val="r"/>
        <c:numFmt formatCode="0%" sourceLinked="0"/>
        <c:majorTickMark val="out"/>
        <c:minorTickMark val="none"/>
        <c:tickLblPos val="none"/>
        <c:spPr>
          <a:ln>
            <a:noFill/>
          </a:ln>
        </c:spPr>
        <c:crossAx val="-1322429792"/>
        <c:crosses val="max"/>
        <c:crossBetween val="between"/>
      </c:valAx>
      <c:catAx>
        <c:axId val="-1322429792"/>
        <c:scaling>
          <c:orientation val="minMax"/>
        </c:scaling>
        <c:delete val="1"/>
        <c:axPos val="b"/>
        <c:numFmt formatCode="General" sourceLinked="1"/>
        <c:majorTickMark val="out"/>
        <c:minorTickMark val="none"/>
        <c:tickLblPos val="nextTo"/>
        <c:crossAx val="-1322406944"/>
        <c:crosses val="autoZero"/>
        <c:auto val="1"/>
        <c:lblAlgn val="ctr"/>
        <c:lblOffset val="100"/>
        <c:noMultiLvlLbl val="0"/>
      </c:catAx>
      <c:spPr>
        <a:ln>
          <a:noFill/>
        </a:ln>
      </c:spPr>
    </c:plotArea>
    <c:plotVisOnly val="1"/>
    <c:dispBlanksAs val="gap"/>
    <c:showDLblsOverMax val="0"/>
  </c:chart>
  <c:spPr>
    <a:ln>
      <a:noFill/>
    </a:ln>
  </c:spPr>
  <c:externalData r:id="rId1">
    <c:autoUpdate val="0"/>
  </c:externalData>
  <c:userShapes r:id="rId2"/>
</c:chartSpace>
</file>

<file path=word/charts/chart9.xml><?xml version="1.0" encoding="utf-8"?>
<c:chartSpace xmlns:c="http://schemas.openxmlformats.org/drawingml/2006/chart" xmlns:a="http://schemas.openxmlformats.org/drawingml/2006/main" xmlns:r="http://schemas.openxmlformats.org/officeDocument/2006/relationships">
  <c:date1904 val="0"/>
  <c:lang val="zh-CN"/>
  <c:roundedCorners val="0"/>
  <mc:AlternateContent xmlns:mc="http://schemas.openxmlformats.org/markup-compatibility/2006">
    <mc:Choice xmlns:c14="http://schemas.microsoft.com/office/drawing/2007/8/2/chart" Requires="c14">
      <c14:style val="112"/>
    </mc:Choice>
    <mc:Fallback>
      <c:style val="12"/>
    </mc:Fallback>
  </mc:AlternateContent>
  <c:chart>
    <c:autoTitleDeleted val="1"/>
    <c:plotArea>
      <c:layout>
        <c:manualLayout>
          <c:layoutTarget val="inner"/>
          <c:xMode val="edge"/>
          <c:yMode val="edge"/>
          <c:x val="0.012659003831417624"/>
          <c:y val="0.04352259075059204"/>
          <c:w val="0.98085859662884567"/>
          <c:h val="0.84752408783234812"/>
        </c:manualLayout>
      </c:layout>
      <c:barChart>
        <c:barDir val="col"/>
        <c:grouping val="clustered"/>
        <c:varyColors val="0"/>
        <c:ser>
          <c:idx val="0"/>
          <c:order val="0"/>
          <c:tx>
            <c:strRef>
              <c:f>'qyr-2022'!$B$2</c:f>
              <c:strCache>
                <c:ptCount val="1"/>
                <c:pt idx="0">
                  <c:v>Capacity</c:v>
                </c:pt>
              </c:strCache>
            </c:strRef>
          </c:tx>
          <c:spPr>
            <a:solidFill>
              <a:schemeClr val="accent1">
                <a:lumMod val="50000"/>
              </a:schemeClr>
            </a:solidFill>
            <a:ln>
              <a:noFill/>
            </a:ln>
            <a:effectLst>
              <a:outerShdw blurRad="40000" dist="20000" dir="5400000" sx="100000" sy="100000" kx="0" ky="0" algn="b" rotWithShape="0">
                <a:schemeClr val="tx2">
                  <a:lumMod val="60000"/>
                  <a:lumOff val="40000"/>
                  <a:alpha val="38000"/>
                </a:schemeClr>
              </a:outerShdw>
            </a:effectLst>
          </c:spPr>
          <c:invertIfNegative val="0"/>
          <c:dLbls>
            <c:numFmt formatCode="\x\x" sourceLinked="0"/>
            <c:spPr>
              <a:noFill/>
              <a:ln>
                <a:noFill/>
              </a:ln>
              <a:effectLst>
                <a:outerShdw blurRad="50800" dist="50800" dir="5400000" sx="7000" sy="7000" kx="0" ky="0" algn="ctr" rotWithShape="0">
                  <a:srgbClr val="000000">
                    <a:alpha val="43137"/>
                  </a:srgbClr>
                </a:outerShdw>
              </a:effectLst>
            </c:spPr>
            <c:txPr>
              <a:bodyPr wrap="square" lIns="38100" tIns="19050" rIns="38100" bIns="19050" anchor="ctr" anchorCtr="0">
                <a:spAutoFit/>
              </a:bodyPr>
              <a:lstStyle/>
              <a:p>
                <a:pPr>
                  <a:defRPr sz="1200" cap="all" baseline="0">
                    <a:solidFill>
                      <a:schemeClr val="tx1"/>
                    </a:solidFill>
                    <a:latin typeface="Helvetica" panose="020B0604020202020204" pitchFamily="34" charset="0"/>
                    <a:ea typeface="Cambria" panose="02040503050406030204" pitchFamily="18" charset="0"/>
                    <a:cs typeface="Helvetica" panose="020B0604020202020204" pitchFamily="34" charset="0"/>
                  </a:defRPr>
                </a:pPr>
                <a:endParaRPr lang="zh-CN"/>
              </a:p>
            </c:txPr>
            <c:dLblPos val="outEnd"/>
            <c:showLegendKey val="0"/>
            <c:showVal val="1"/>
            <c:showCatName val="0"/>
            <c:showSerName val="0"/>
            <c:showPercent val="0"/>
            <c:showBubbleSize val="0"/>
            <c:showLeaderLines val="0"/>
            <c:extLst>
              <c:ext xmlns:c15="http://schemas.microsoft.com/office/drawing/2012/chart" uri="{CE6537A1-D6FC-4f65-9D91-7224C49458BB}">
                <c15:showLeaderLines val="0"/>
              </c:ext>
            </c:extLst>
          </c:dLbls>
          <c:cat>
            <c:numRef>
              <c:f>'qyr-2022'!$E$1:$P$1</c:f>
              <c:numCache>
                <c:formatCode>General</c:formatCode>
                <c:ptCount val="12"/>
                <c:pt idx="0">
                  <c:v>2019</c:v>
                </c:pt>
                <c:pt idx="1">
                  <c:v>2020</c:v>
                </c:pt>
                <c:pt idx="2">
                  <c:v>2021</c:v>
                </c:pt>
                <c:pt idx="3">
                  <c:v>2022</c:v>
                </c:pt>
                <c:pt idx="4">
                  <c:v>2023</c:v>
                </c:pt>
                <c:pt idx="5">
                  <c:v>2024</c:v>
                </c:pt>
                <c:pt idx="6">
                  <c:v>2025</c:v>
                </c:pt>
                <c:pt idx="7">
                  <c:v>2026</c:v>
                </c:pt>
                <c:pt idx="8">
                  <c:v>2027</c:v>
                </c:pt>
                <c:pt idx="9">
                  <c:v>2028</c:v>
                </c:pt>
                <c:pt idx="10">
                  <c:v>2029</c:v>
                </c:pt>
                <c:pt idx="11">
                  <c:v>2030</c:v>
                </c:pt>
              </c:numCache>
            </c:numRef>
          </c:cat>
          <c:val>
            <c:numRef>
              <c:f>'qyr-2022'!$E$2:$P$2</c:f>
              <c:numCache>
                <c:formatCode>General</c:formatCode>
                <c:ptCount val="12"/>
                <c:pt idx="0">
                  <c:v>423</c:v>
                </c:pt>
                <c:pt idx="1">
                  <c:v>382.2</c:v>
                </c:pt>
                <c:pt idx="2">
                  <c:v>469.59999999999997</c:v>
                </c:pt>
                <c:pt idx="3">
                  <c:v>505</c:v>
                </c:pt>
                <c:pt idx="4">
                  <c:v>482</c:v>
                </c:pt>
                <c:pt idx="5">
                  <c:v>492</c:v>
                </c:pt>
                <c:pt idx="6">
                  <c:v>544</c:v>
                </c:pt>
                <c:pt idx="7">
                  <c:v>583.6</c:v>
                </c:pt>
                <c:pt idx="8">
                  <c:v>592.6</c:v>
                </c:pt>
                <c:pt idx="9" formatCode="0.0">
                  <c:v>628.80592</c:v>
                </c:pt>
                <c:pt idx="10" formatCode="0.0">
                  <c:v>721.00791023200009</c:v>
                </c:pt>
                <c:pt idx="11" formatCode="0.0">
                  <c:v>777.302376935688</c:v>
                </c:pt>
              </c:numCache>
            </c:numRef>
          </c:val>
          <c:extLst>
            <c:ext xmlns:c16="http://schemas.microsoft.com/office/drawing/2014/chart" uri="{C3380CC4-5D6E-409C-BE32-E72D297353CC}">
              <c16:uniqueId val="{00000000-1AC9-4BC1-BD5A-518465E34F20}"/>
            </c:ext>
          </c:extLst>
        </c:ser>
        <c:dLbls>
          <c:showLegendKey val="0"/>
          <c:showVal val="0"/>
          <c:showCatName val="0"/>
          <c:showSerName val="0"/>
          <c:showPercent val="0"/>
          <c:showBubbleSize val="0"/>
        </c:dLbls>
        <c:gapWidth val="30"/>
        <c:axId val="-1322419456"/>
        <c:axId val="-1322431424"/>
      </c:barChart>
      <c:lineChart>
        <c:grouping val="stacked"/>
        <c:varyColors val="0"/>
        <c:ser>
          <c:idx val="1"/>
          <c:order val="1"/>
          <c:tx>
            <c:strRef>
              <c:f>'qyr-2022'!$B$3</c:f>
              <c:strCache>
                <c:ptCount val="1"/>
                <c:pt idx="0">
                  <c:v>Growth Rate</c:v>
                </c:pt>
              </c:strCache>
            </c:strRef>
          </c:tx>
          <c:spPr>
            <a:ln w="25400">
              <a:solidFill>
                <a:srgbClr val="FFC000"/>
              </a:solidFill>
            </a:ln>
          </c:spPr>
          <c:marker>
            <c:symbol val="circle"/>
            <c:size val="26"/>
            <c:spPr>
              <a:solidFill>
                <a:schemeClr val="bg1">
                  <a:lumMod val="50000"/>
                </a:schemeClr>
              </a:solidFill>
              <a:ln>
                <a:solidFill>
                  <a:schemeClr val="bg1"/>
                </a:solidFill>
              </a:ln>
            </c:spPr>
          </c:marker>
          <c:dLbls>
            <c:numFmt formatCode="\x\x\%" sourceLinked="0"/>
            <c:spPr>
              <a:noFill/>
              <a:ln>
                <a:noFill/>
              </a:ln>
              <a:effectLst/>
            </c:spPr>
            <c:txPr>
              <a:bodyPr wrap="square" lIns="38100" tIns="19050" rIns="38100" bIns="19050" anchor="ctr">
                <a:spAutoFit/>
              </a:bodyPr>
              <a:lstStyle/>
              <a:p>
                <a:pPr>
                  <a:defRPr>
                    <a:solidFill>
                      <a:schemeClr val="bg1">
                        <a:lumMod val="95000"/>
                      </a:schemeClr>
                    </a:solidFill>
                    <a:latin typeface="Helvetica" panose="020B0604020202020204" pitchFamily="34" charset="0"/>
                    <a:cs typeface="Helvetica" panose="020B0604020202020204" pitchFamily="34" charset="0"/>
                  </a:defRPr>
                </a:pPr>
                <a:endParaRPr lang="zh-CN"/>
              </a:p>
            </c:txPr>
            <c:dLblPos val="ctr"/>
            <c:showLegendKey val="0"/>
            <c:showVal val="1"/>
            <c:showCatName val="0"/>
            <c:showSerName val="0"/>
            <c:showPercent val="0"/>
            <c:showBubbleSize val="0"/>
            <c:showLeaderLines val="0"/>
            <c:extLst>
              <c:ext xmlns:c15="http://schemas.microsoft.com/office/drawing/2012/chart" uri="{CE6537A1-D6FC-4f65-9D91-7224C49458BB}">
                <c15:showLeaderLines val="1"/>
              </c:ext>
            </c:extLst>
          </c:dLbls>
          <c:cat>
            <c:numRef>
              <c:f>'qyr-2022'!$E$1:$P$1</c:f>
              <c:numCache>
                <c:formatCode>General</c:formatCode>
                <c:ptCount val="12"/>
                <c:pt idx="0">
                  <c:v>2019</c:v>
                </c:pt>
                <c:pt idx="1">
                  <c:v>2020</c:v>
                </c:pt>
                <c:pt idx="2">
                  <c:v>2021</c:v>
                </c:pt>
                <c:pt idx="3">
                  <c:v>2022</c:v>
                </c:pt>
                <c:pt idx="4">
                  <c:v>2023</c:v>
                </c:pt>
                <c:pt idx="5">
                  <c:v>2024</c:v>
                </c:pt>
                <c:pt idx="6">
                  <c:v>2025</c:v>
                </c:pt>
                <c:pt idx="7">
                  <c:v>2026</c:v>
                </c:pt>
                <c:pt idx="8">
                  <c:v>2027</c:v>
                </c:pt>
                <c:pt idx="9">
                  <c:v>2028</c:v>
                </c:pt>
                <c:pt idx="10">
                  <c:v>2029</c:v>
                </c:pt>
                <c:pt idx="11">
                  <c:v>2030</c:v>
                </c:pt>
              </c:numCache>
            </c:numRef>
          </c:cat>
          <c:val>
            <c:numRef>
              <c:f>'qyr-2022'!$E$3:$P$3</c:f>
              <c:numCache>
                <c:formatCode>0.00%</c:formatCode>
                <c:ptCount val="12"/>
                <c:pt idx="0">
                  <c:v>-0.037761601455868932</c:v>
                </c:pt>
                <c:pt idx="1">
                  <c:v>-0.096453900709219886</c:v>
                </c:pt>
                <c:pt idx="2">
                  <c:v>0.22867608581894294</c:v>
                </c:pt>
                <c:pt idx="3">
                  <c:v>0.075383304940374929</c:v>
                </c:pt>
                <c:pt idx="4">
                  <c:v>-0.045544554455445585</c:v>
                </c:pt>
                <c:pt idx="5">
                  <c:v>0.020746887966804906</c:v>
                </c:pt>
                <c:pt idx="6">
                  <c:v>0.10569105691056913</c:v>
                </c:pt>
                <c:pt idx="7">
                  <c:v>0.072794117647058787</c:v>
                </c:pt>
                <c:pt idx="8">
                  <c:v>0.015421521590130327</c:v>
                </c:pt>
                <c:pt idx="9">
                  <c:v>0.061096726290921444</c:v>
                </c:pt>
                <c:pt idx="10">
                  <c:v>0.0533</c:v>
                </c:pt>
                <c:pt idx="11">
                  <c:v>0.051</c:v>
                </c:pt>
              </c:numCache>
            </c:numRef>
          </c:val>
          <c:smooth val="0"/>
          <c:extLst>
            <c:ext xmlns:c16="http://schemas.microsoft.com/office/drawing/2014/chart" uri="{C3380CC4-5D6E-409C-BE32-E72D297353CC}">
              <c16:uniqueId val="{00000002-1AC9-4BC1-BD5A-518465E34F20}"/>
            </c:ext>
          </c:extLst>
        </c:ser>
        <c:dLbls>
          <c:showLegendKey val="0"/>
          <c:showVal val="0"/>
          <c:showCatName val="0"/>
          <c:showSerName val="0"/>
          <c:showPercent val="0"/>
          <c:showBubbleSize val="0"/>
        </c:dLbls>
        <c:marker val="1"/>
        <c:smooth val="0"/>
        <c:axId val="-1322429792"/>
        <c:axId val="-1322406944"/>
      </c:lineChart>
      <c:catAx>
        <c:axId val="-1322419456"/>
        <c:scaling>
          <c:orientation val="minMax"/>
        </c:scaling>
        <c:delete val="0"/>
        <c:axPos val="b"/>
        <c:numFmt formatCode="General" sourceLinked="1"/>
        <c:majorTickMark val="none"/>
        <c:minorTickMark val="none"/>
        <c:tickLblPos val="nextTo"/>
        <c:txPr>
          <a:bodyPr/>
          <a:lstStyle/>
          <a:p>
            <a:pPr>
              <a:defRPr sz="1000">
                <a:latin typeface="Helvetica" panose="020B0604020202020204" pitchFamily="34" charset="0"/>
                <a:cs typeface="Helvetica" panose="020B0604020202020204" pitchFamily="34" charset="0"/>
              </a:defRPr>
            </a:pPr>
            <a:endParaRPr lang="zh-CN"/>
          </a:p>
        </c:txPr>
        <c:crossAx val="-1322431424"/>
        <c:crosses val="autoZero"/>
        <c:auto val="1"/>
        <c:lblAlgn val="ctr"/>
        <c:lblOffset val="100"/>
        <c:noMultiLvlLbl val="0"/>
      </c:catAx>
      <c:valAx>
        <c:axId val="-1322431424"/>
        <c:scaling>
          <c:orientation val="minMax"/>
        </c:scaling>
        <c:delete val="0"/>
        <c:axPos val="l"/>
        <c:majorGridlines>
          <c:spPr>
            <a:ln>
              <a:noFill/>
            </a:ln>
          </c:spPr>
        </c:majorGridlines>
        <c:numFmt formatCode="General" sourceLinked="1"/>
        <c:majorTickMark val="none"/>
        <c:minorTickMark val="none"/>
        <c:tickLblPos val="none"/>
        <c:spPr>
          <a:ln>
            <a:noFill/>
          </a:ln>
        </c:spPr>
        <c:crossAx val="-1322419456"/>
        <c:crosses val="autoZero"/>
        <c:crossBetween val="between"/>
      </c:valAx>
      <c:valAx>
        <c:axId val="-1322406944"/>
        <c:scaling>
          <c:orientation val="minMax"/>
          <c:max val="0.45"/>
        </c:scaling>
        <c:delete val="0"/>
        <c:axPos val="r"/>
        <c:numFmt formatCode="0%" sourceLinked="0"/>
        <c:majorTickMark val="out"/>
        <c:minorTickMark val="none"/>
        <c:tickLblPos val="none"/>
        <c:spPr>
          <a:ln>
            <a:noFill/>
          </a:ln>
        </c:spPr>
        <c:crossAx val="-1322429792"/>
        <c:crosses val="max"/>
        <c:crossBetween val="between"/>
      </c:valAx>
      <c:catAx>
        <c:axId val="-1322429792"/>
        <c:scaling>
          <c:orientation val="minMax"/>
        </c:scaling>
        <c:delete val="1"/>
        <c:axPos val="b"/>
        <c:numFmt formatCode="General" sourceLinked="1"/>
        <c:majorTickMark val="out"/>
        <c:minorTickMark val="none"/>
        <c:tickLblPos val="nextTo"/>
        <c:crossAx val="-1322406944"/>
        <c:crosses val="autoZero"/>
        <c:auto val="1"/>
        <c:lblAlgn val="ctr"/>
        <c:lblOffset val="100"/>
        <c:noMultiLvlLbl val="0"/>
      </c:catAx>
      <c:spPr>
        <a:ln>
          <a:noFill/>
        </a:ln>
      </c:spPr>
    </c:plotArea>
    <c:plotVisOnly val="1"/>
    <c:dispBlanksAs val="gap"/>
    <c:showDLblsOverMax val="0"/>
  </c:chart>
  <c:spPr>
    <a:ln>
      <a:noFill/>
    </a:ln>
  </c:spPr>
  <c:externalData r:id="rId1">
    <c:autoUpdate val="0"/>
  </c:externalData>
  <c:userShapes r:id="rId2"/>
</c:chartSpace>
</file>

<file path=word/charts/chart10.xml><?xml version="1.0" encoding="utf-8"?>
<c:chartSpace xmlns:c="http://schemas.openxmlformats.org/drawingml/2006/chart" xmlns:a="http://schemas.openxmlformats.org/drawingml/2006/main" xmlns:r="http://schemas.openxmlformats.org/officeDocument/2006/relationships">
  <c:date1904 val="0"/>
  <c:lang val="zh-CN"/>
  <c:roundedCorners val="0"/>
  <mc:AlternateContent xmlns:mc="http://schemas.openxmlformats.org/markup-compatibility/2006">
    <mc:Choice xmlns:c14="http://schemas.microsoft.com/office/drawing/2007/8/2/chart" Requires="c14">
      <c14:style val="112"/>
    </mc:Choice>
    <mc:Fallback>
      <c:style val="12"/>
    </mc:Fallback>
  </mc:AlternateContent>
  <c:chart>
    <c:autoTitleDeleted val="1"/>
    <c:plotArea>
      <c:layout>
        <c:manualLayout>
          <c:layoutTarget val="inner"/>
          <c:xMode val="edge"/>
          <c:yMode val="edge"/>
          <c:x val="0.012659003831417624"/>
          <c:y val="0.04352259075059204"/>
          <c:w val="0.98085859662884567"/>
          <c:h val="0.84752408783234812"/>
        </c:manualLayout>
      </c:layout>
      <c:barChart>
        <c:barDir val="col"/>
        <c:grouping val="clustered"/>
        <c:varyColors val="0"/>
        <c:ser>
          <c:idx val="0"/>
          <c:order val="0"/>
          <c:tx>
            <c:strRef>
              <c:f>'qyr-2022'!$B$2</c:f>
              <c:strCache>
                <c:ptCount val="1"/>
                <c:pt idx="0">
                  <c:v>Capacity</c:v>
                </c:pt>
              </c:strCache>
            </c:strRef>
          </c:tx>
          <c:spPr>
            <a:solidFill>
              <a:schemeClr val="accent1">
                <a:lumMod val="50000"/>
              </a:schemeClr>
            </a:solidFill>
            <a:ln>
              <a:noFill/>
            </a:ln>
            <a:effectLst>
              <a:outerShdw blurRad="40000" dist="20000" dir="5400000" sx="100000" sy="100000" kx="0" ky="0" algn="b" rotWithShape="0">
                <a:schemeClr val="tx2">
                  <a:lumMod val="60000"/>
                  <a:lumOff val="40000"/>
                  <a:alpha val="38000"/>
                </a:schemeClr>
              </a:outerShdw>
            </a:effectLst>
          </c:spPr>
          <c:invertIfNegative val="0"/>
          <c:dLbls>
            <c:numFmt formatCode="\x\x" sourceLinked="0"/>
            <c:spPr>
              <a:noFill/>
              <a:ln>
                <a:noFill/>
              </a:ln>
              <a:effectLst>
                <a:outerShdw blurRad="50800" dist="50800" dir="5400000" sx="7000" sy="7000" kx="0" ky="0" algn="ctr" rotWithShape="0">
                  <a:srgbClr val="000000">
                    <a:alpha val="43137"/>
                  </a:srgbClr>
                </a:outerShdw>
              </a:effectLst>
            </c:spPr>
            <c:txPr>
              <a:bodyPr wrap="square" lIns="38100" tIns="19050" rIns="38100" bIns="19050" anchor="ctr" anchorCtr="0">
                <a:spAutoFit/>
              </a:bodyPr>
              <a:lstStyle/>
              <a:p>
                <a:pPr>
                  <a:defRPr sz="1200" cap="all" baseline="0">
                    <a:solidFill>
                      <a:schemeClr val="tx1"/>
                    </a:solidFill>
                    <a:latin typeface="Helvetica" panose="020B0604020202020204" pitchFamily="34" charset="0"/>
                    <a:ea typeface="Cambria" panose="02040503050406030204" pitchFamily="18" charset="0"/>
                    <a:cs typeface="Helvetica" panose="020B0604020202020204" pitchFamily="34" charset="0"/>
                  </a:defRPr>
                </a:pPr>
                <a:endParaRPr lang="zh-CN"/>
              </a:p>
            </c:txPr>
            <c:dLblPos val="outEnd"/>
            <c:showLegendKey val="0"/>
            <c:showVal val="1"/>
            <c:showCatName val="0"/>
            <c:showSerName val="0"/>
            <c:showPercent val="0"/>
            <c:showBubbleSize val="0"/>
            <c:showLeaderLines val="0"/>
            <c:extLst>
              <c:ext xmlns:c15="http://schemas.microsoft.com/office/drawing/2012/chart" uri="{CE6537A1-D6FC-4f65-9D91-7224C49458BB}">
                <c15:showLeaderLines val="0"/>
              </c:ext>
            </c:extLst>
          </c:dLbls>
          <c:cat>
            <c:numRef>
              <c:f>'qyr-2022'!$E$1:$P$1</c:f>
              <c:numCache>
                <c:formatCode>General</c:formatCode>
                <c:ptCount val="12"/>
                <c:pt idx="0">
                  <c:v>2019</c:v>
                </c:pt>
                <c:pt idx="1">
                  <c:v>2020</c:v>
                </c:pt>
                <c:pt idx="2">
                  <c:v>2021</c:v>
                </c:pt>
                <c:pt idx="3">
                  <c:v>2022</c:v>
                </c:pt>
                <c:pt idx="4">
                  <c:v>2023</c:v>
                </c:pt>
                <c:pt idx="5">
                  <c:v>2024</c:v>
                </c:pt>
                <c:pt idx="6">
                  <c:v>2025</c:v>
                </c:pt>
                <c:pt idx="7">
                  <c:v>2026</c:v>
                </c:pt>
                <c:pt idx="8">
                  <c:v>2027</c:v>
                </c:pt>
                <c:pt idx="9">
                  <c:v>2028</c:v>
                </c:pt>
                <c:pt idx="10">
                  <c:v>2029</c:v>
                </c:pt>
                <c:pt idx="11">
                  <c:v>2030</c:v>
                </c:pt>
              </c:numCache>
            </c:numRef>
          </c:cat>
          <c:val>
            <c:numRef>
              <c:f>'qyr-2022'!$E$2:$P$2</c:f>
              <c:numCache>
                <c:formatCode>General</c:formatCode>
                <c:ptCount val="12"/>
                <c:pt idx="0">
                  <c:v>423</c:v>
                </c:pt>
                <c:pt idx="1">
                  <c:v>382.2</c:v>
                </c:pt>
                <c:pt idx="2">
                  <c:v>469.59999999999997</c:v>
                </c:pt>
                <c:pt idx="3">
                  <c:v>505</c:v>
                </c:pt>
                <c:pt idx="4">
                  <c:v>482</c:v>
                </c:pt>
                <c:pt idx="5">
                  <c:v>492</c:v>
                </c:pt>
                <c:pt idx="6">
                  <c:v>544</c:v>
                </c:pt>
                <c:pt idx="7">
                  <c:v>583.6</c:v>
                </c:pt>
                <c:pt idx="8">
                  <c:v>592.6</c:v>
                </c:pt>
                <c:pt idx="9" formatCode="0.0">
                  <c:v>628.80592</c:v>
                </c:pt>
                <c:pt idx="10" formatCode="0.0">
                  <c:v>721.00791023200009</c:v>
                </c:pt>
                <c:pt idx="11" formatCode="0.0">
                  <c:v>777.302376935688</c:v>
                </c:pt>
              </c:numCache>
            </c:numRef>
          </c:val>
          <c:extLst>
            <c:ext xmlns:c16="http://schemas.microsoft.com/office/drawing/2014/chart" uri="{C3380CC4-5D6E-409C-BE32-E72D297353CC}">
              <c16:uniqueId val="{00000000-6547-4CF6-907D-8DEEAEF60EAA}"/>
            </c:ext>
          </c:extLst>
        </c:ser>
        <c:dLbls>
          <c:showLegendKey val="0"/>
          <c:showVal val="0"/>
          <c:showCatName val="0"/>
          <c:showSerName val="0"/>
          <c:showPercent val="0"/>
          <c:showBubbleSize val="0"/>
        </c:dLbls>
        <c:gapWidth val="30"/>
        <c:axId val="-1322419456"/>
        <c:axId val="-1322431424"/>
      </c:barChart>
      <c:lineChart>
        <c:grouping val="stacked"/>
        <c:varyColors val="0"/>
        <c:ser>
          <c:idx val="1"/>
          <c:order val="1"/>
          <c:tx>
            <c:strRef>
              <c:f>'qyr-2022'!$B$3</c:f>
              <c:strCache>
                <c:ptCount val="1"/>
                <c:pt idx="0">
                  <c:v>Growth Rate</c:v>
                </c:pt>
              </c:strCache>
            </c:strRef>
          </c:tx>
          <c:spPr>
            <a:ln w="25400">
              <a:solidFill>
                <a:srgbClr val="FFC000"/>
              </a:solidFill>
            </a:ln>
          </c:spPr>
          <c:marker>
            <c:symbol val="circle"/>
            <c:size val="26"/>
            <c:spPr>
              <a:solidFill>
                <a:schemeClr val="bg1">
                  <a:lumMod val="50000"/>
                </a:schemeClr>
              </a:solidFill>
              <a:ln>
                <a:solidFill>
                  <a:schemeClr val="bg1"/>
                </a:solidFill>
              </a:ln>
            </c:spPr>
          </c:marker>
          <c:dLbls>
            <c:numFmt formatCode="\x\x\%" sourceLinked="0"/>
            <c:spPr>
              <a:noFill/>
              <a:ln>
                <a:noFill/>
              </a:ln>
              <a:effectLst/>
            </c:spPr>
            <c:txPr>
              <a:bodyPr wrap="square" lIns="38100" tIns="19050" rIns="38100" bIns="19050" anchor="ctr">
                <a:spAutoFit/>
              </a:bodyPr>
              <a:lstStyle/>
              <a:p>
                <a:pPr>
                  <a:defRPr>
                    <a:solidFill>
                      <a:schemeClr val="bg1">
                        <a:lumMod val="95000"/>
                      </a:schemeClr>
                    </a:solidFill>
                    <a:latin typeface="Helvetica" panose="020B0604020202020204" pitchFamily="34" charset="0"/>
                    <a:cs typeface="Helvetica" panose="020B0604020202020204" pitchFamily="34" charset="0"/>
                  </a:defRPr>
                </a:pPr>
                <a:endParaRPr lang="zh-CN"/>
              </a:p>
            </c:txPr>
            <c:dLblPos val="ctr"/>
            <c:showLegendKey val="0"/>
            <c:showVal val="1"/>
            <c:showCatName val="0"/>
            <c:showSerName val="0"/>
            <c:showPercent val="0"/>
            <c:showBubbleSize val="0"/>
            <c:showLeaderLines val="0"/>
            <c:extLst>
              <c:ext xmlns:c15="http://schemas.microsoft.com/office/drawing/2012/chart" uri="{CE6537A1-D6FC-4f65-9D91-7224C49458BB}">
                <c15:showLeaderLines val="1"/>
              </c:ext>
            </c:extLst>
          </c:dLbls>
          <c:cat>
            <c:numRef>
              <c:f>'qyr-2022'!$E$1:$P$1</c:f>
              <c:numCache>
                <c:formatCode>General</c:formatCode>
                <c:ptCount val="12"/>
                <c:pt idx="0">
                  <c:v>2019</c:v>
                </c:pt>
                <c:pt idx="1">
                  <c:v>2020</c:v>
                </c:pt>
                <c:pt idx="2">
                  <c:v>2021</c:v>
                </c:pt>
                <c:pt idx="3">
                  <c:v>2022</c:v>
                </c:pt>
                <c:pt idx="4">
                  <c:v>2023</c:v>
                </c:pt>
                <c:pt idx="5">
                  <c:v>2024</c:v>
                </c:pt>
                <c:pt idx="6">
                  <c:v>2025</c:v>
                </c:pt>
                <c:pt idx="7">
                  <c:v>2026</c:v>
                </c:pt>
                <c:pt idx="8">
                  <c:v>2027</c:v>
                </c:pt>
                <c:pt idx="9">
                  <c:v>2028</c:v>
                </c:pt>
                <c:pt idx="10">
                  <c:v>2029</c:v>
                </c:pt>
                <c:pt idx="11">
                  <c:v>2030</c:v>
                </c:pt>
              </c:numCache>
            </c:numRef>
          </c:cat>
          <c:val>
            <c:numRef>
              <c:f>'qyr-2022'!$E$3:$P$3</c:f>
              <c:numCache>
                <c:formatCode>0.00%</c:formatCode>
                <c:ptCount val="12"/>
                <c:pt idx="0">
                  <c:v>-0.037761601455868932</c:v>
                </c:pt>
                <c:pt idx="1">
                  <c:v>-0.096453900709219886</c:v>
                </c:pt>
                <c:pt idx="2">
                  <c:v>0.22867608581894294</c:v>
                </c:pt>
                <c:pt idx="3">
                  <c:v>0.075383304940374929</c:v>
                </c:pt>
                <c:pt idx="4">
                  <c:v>-0.045544554455445585</c:v>
                </c:pt>
                <c:pt idx="5">
                  <c:v>0.020746887966804906</c:v>
                </c:pt>
                <c:pt idx="6">
                  <c:v>0.10569105691056913</c:v>
                </c:pt>
                <c:pt idx="7">
                  <c:v>0.072794117647058787</c:v>
                </c:pt>
                <c:pt idx="8">
                  <c:v>0.015421521590130327</c:v>
                </c:pt>
                <c:pt idx="9">
                  <c:v>0.061096726290921444</c:v>
                </c:pt>
                <c:pt idx="10">
                  <c:v>0.0533</c:v>
                </c:pt>
                <c:pt idx="11">
                  <c:v>0.051</c:v>
                </c:pt>
              </c:numCache>
            </c:numRef>
          </c:val>
          <c:smooth val="0"/>
          <c:extLst>
            <c:ext xmlns:c16="http://schemas.microsoft.com/office/drawing/2014/chart" uri="{C3380CC4-5D6E-409C-BE32-E72D297353CC}">
              <c16:uniqueId val="{00000002-6547-4CF6-907D-8DEEAEF60EAA}"/>
            </c:ext>
          </c:extLst>
        </c:ser>
        <c:dLbls>
          <c:showLegendKey val="0"/>
          <c:showVal val="0"/>
          <c:showCatName val="0"/>
          <c:showSerName val="0"/>
          <c:showPercent val="0"/>
          <c:showBubbleSize val="0"/>
        </c:dLbls>
        <c:marker val="1"/>
        <c:smooth val="0"/>
        <c:axId val="-1322429792"/>
        <c:axId val="-1322406944"/>
      </c:lineChart>
      <c:catAx>
        <c:axId val="-1322419456"/>
        <c:scaling>
          <c:orientation val="minMax"/>
        </c:scaling>
        <c:delete val="0"/>
        <c:axPos val="b"/>
        <c:numFmt formatCode="General" sourceLinked="1"/>
        <c:majorTickMark val="none"/>
        <c:minorTickMark val="none"/>
        <c:tickLblPos val="nextTo"/>
        <c:txPr>
          <a:bodyPr/>
          <a:lstStyle/>
          <a:p>
            <a:pPr>
              <a:defRPr sz="1000">
                <a:latin typeface="Helvetica" panose="020B0604020202020204" pitchFamily="34" charset="0"/>
                <a:cs typeface="Helvetica" panose="020B0604020202020204" pitchFamily="34" charset="0"/>
              </a:defRPr>
            </a:pPr>
            <a:endParaRPr lang="zh-CN"/>
          </a:p>
        </c:txPr>
        <c:crossAx val="-1322431424"/>
        <c:crosses val="autoZero"/>
        <c:auto val="1"/>
        <c:lblAlgn val="ctr"/>
        <c:lblOffset val="100"/>
        <c:noMultiLvlLbl val="0"/>
      </c:catAx>
      <c:valAx>
        <c:axId val="-1322431424"/>
        <c:scaling>
          <c:orientation val="minMax"/>
        </c:scaling>
        <c:delete val="0"/>
        <c:axPos val="l"/>
        <c:majorGridlines>
          <c:spPr>
            <a:ln>
              <a:noFill/>
            </a:ln>
          </c:spPr>
        </c:majorGridlines>
        <c:numFmt formatCode="General" sourceLinked="1"/>
        <c:majorTickMark val="none"/>
        <c:minorTickMark val="none"/>
        <c:tickLblPos val="none"/>
        <c:spPr>
          <a:ln>
            <a:noFill/>
          </a:ln>
        </c:spPr>
        <c:crossAx val="-1322419456"/>
        <c:crosses val="autoZero"/>
        <c:crossBetween val="between"/>
      </c:valAx>
      <c:valAx>
        <c:axId val="-1322406944"/>
        <c:scaling>
          <c:orientation val="minMax"/>
          <c:max val="0.45"/>
        </c:scaling>
        <c:delete val="0"/>
        <c:axPos val="r"/>
        <c:numFmt formatCode="0%" sourceLinked="0"/>
        <c:majorTickMark val="out"/>
        <c:minorTickMark val="none"/>
        <c:tickLblPos val="none"/>
        <c:spPr>
          <a:ln>
            <a:noFill/>
          </a:ln>
        </c:spPr>
        <c:crossAx val="-1322429792"/>
        <c:crosses val="max"/>
        <c:crossBetween val="between"/>
      </c:valAx>
      <c:catAx>
        <c:axId val="-1322429792"/>
        <c:scaling>
          <c:orientation val="minMax"/>
        </c:scaling>
        <c:delete val="1"/>
        <c:axPos val="b"/>
        <c:numFmt formatCode="General" sourceLinked="1"/>
        <c:majorTickMark val="out"/>
        <c:minorTickMark val="none"/>
        <c:tickLblPos val="nextTo"/>
        <c:crossAx val="-1322406944"/>
        <c:crosses val="autoZero"/>
        <c:auto val="1"/>
        <c:lblAlgn val="ctr"/>
        <c:lblOffset val="100"/>
        <c:noMultiLvlLbl val="0"/>
      </c:catAx>
      <c:spPr>
        <a:ln>
          <a:noFill/>
        </a:ln>
      </c:spPr>
    </c:plotArea>
    <c:plotVisOnly val="1"/>
    <c:dispBlanksAs val="gap"/>
    <c:showDLblsOverMax val="0"/>
  </c:chart>
  <c:spPr>
    <a:ln>
      <a:noFill/>
    </a:ln>
  </c:spPr>
  <c:externalData r:id="rId1">
    <c:autoUpdate val="0"/>
  </c:externalData>
  <c:userShapes r:id="rId2"/>
</c:chartSpace>
</file>

<file path=word/charts/chart11.xml><?xml version="1.0" encoding="utf-8"?>
<c:chartSpace xmlns:c="http://schemas.openxmlformats.org/drawingml/2006/chart" xmlns:a="http://schemas.openxmlformats.org/drawingml/2006/main" xmlns:r="http://schemas.openxmlformats.org/officeDocument/2006/relationships">
  <c:date1904 val="0"/>
  <c:lang val="zh-CN"/>
  <c:roundedCorners val="0"/>
  <mc:AlternateContent xmlns:mc="http://schemas.openxmlformats.org/markup-compatibility/2006">
    <mc:Choice xmlns:c14="http://schemas.microsoft.com/office/drawing/2007/8/2/chart" Requires="c14">
      <c14:style val="112"/>
    </mc:Choice>
    <mc:Fallback>
      <c:style val="12"/>
    </mc:Fallback>
  </mc:AlternateContent>
  <c:chart>
    <c:autoTitleDeleted val="1"/>
    <c:plotArea>
      <c:layout>
        <c:manualLayout>
          <c:layoutTarget val="inner"/>
          <c:xMode val="edge"/>
          <c:yMode val="edge"/>
          <c:x val="0.012659003831417624"/>
          <c:y val="0.04352259075059204"/>
          <c:w val="0.98085859662884567"/>
          <c:h val="0.84752408783234812"/>
        </c:manualLayout>
      </c:layout>
      <c:barChart>
        <c:barDir val="col"/>
        <c:grouping val="clustered"/>
        <c:varyColors val="0"/>
        <c:ser>
          <c:idx val="0"/>
          <c:order val="0"/>
          <c:tx>
            <c:strRef>
              <c:f>'qyr-2022'!$B$2</c:f>
              <c:strCache>
                <c:ptCount val="1"/>
                <c:pt idx="0">
                  <c:v>Capacity</c:v>
                </c:pt>
              </c:strCache>
            </c:strRef>
          </c:tx>
          <c:spPr>
            <a:solidFill>
              <a:schemeClr val="accent1">
                <a:lumMod val="50000"/>
              </a:schemeClr>
            </a:solidFill>
            <a:ln>
              <a:noFill/>
            </a:ln>
            <a:effectLst>
              <a:outerShdw blurRad="40000" dist="20000" dir="5400000" sx="100000" sy="100000" kx="0" ky="0" algn="b" rotWithShape="0">
                <a:schemeClr val="tx2">
                  <a:lumMod val="60000"/>
                  <a:lumOff val="40000"/>
                  <a:alpha val="38000"/>
                </a:schemeClr>
              </a:outerShdw>
            </a:effectLst>
          </c:spPr>
          <c:invertIfNegative val="0"/>
          <c:dLbls>
            <c:numFmt formatCode="\x\x" sourceLinked="0"/>
            <c:spPr>
              <a:noFill/>
              <a:ln>
                <a:noFill/>
              </a:ln>
              <a:effectLst>
                <a:outerShdw blurRad="50800" dist="50800" dir="5400000" sx="7000" sy="7000" kx="0" ky="0" algn="ctr" rotWithShape="0">
                  <a:srgbClr val="000000">
                    <a:alpha val="43137"/>
                  </a:srgbClr>
                </a:outerShdw>
              </a:effectLst>
            </c:spPr>
            <c:txPr>
              <a:bodyPr wrap="square" lIns="38100" tIns="19050" rIns="38100" bIns="19050" anchor="ctr" anchorCtr="0">
                <a:spAutoFit/>
              </a:bodyPr>
              <a:lstStyle/>
              <a:p>
                <a:pPr>
                  <a:defRPr sz="1200" cap="all" baseline="0">
                    <a:solidFill>
                      <a:schemeClr val="tx1"/>
                    </a:solidFill>
                    <a:latin typeface="Helvetica" panose="020B0604020202020204" pitchFamily="34" charset="0"/>
                    <a:ea typeface="Cambria" panose="02040503050406030204" pitchFamily="18" charset="0"/>
                    <a:cs typeface="Helvetica" panose="020B0604020202020204" pitchFamily="34" charset="0"/>
                  </a:defRPr>
                </a:pPr>
                <a:endParaRPr lang="zh-CN"/>
              </a:p>
            </c:txPr>
            <c:dLblPos val="outEnd"/>
            <c:showLegendKey val="0"/>
            <c:showVal val="1"/>
            <c:showCatName val="0"/>
            <c:showSerName val="0"/>
            <c:showPercent val="0"/>
            <c:showBubbleSize val="0"/>
            <c:showLeaderLines val="0"/>
            <c:extLst>
              <c:ext xmlns:c15="http://schemas.microsoft.com/office/drawing/2012/chart" uri="{CE6537A1-D6FC-4f65-9D91-7224C49458BB}">
                <c15:showLeaderLines val="0"/>
              </c:ext>
            </c:extLst>
          </c:dLbls>
          <c:cat>
            <c:numRef>
              <c:f>'qyr-2022'!$E$1:$P$1</c:f>
              <c:numCache>
                <c:formatCode>General</c:formatCode>
                <c:ptCount val="12"/>
                <c:pt idx="0">
                  <c:v>2019</c:v>
                </c:pt>
                <c:pt idx="1">
                  <c:v>2020</c:v>
                </c:pt>
                <c:pt idx="2">
                  <c:v>2021</c:v>
                </c:pt>
                <c:pt idx="3">
                  <c:v>2022</c:v>
                </c:pt>
                <c:pt idx="4">
                  <c:v>2023</c:v>
                </c:pt>
                <c:pt idx="5">
                  <c:v>2024</c:v>
                </c:pt>
                <c:pt idx="6">
                  <c:v>2025</c:v>
                </c:pt>
                <c:pt idx="7">
                  <c:v>2026</c:v>
                </c:pt>
                <c:pt idx="8">
                  <c:v>2027</c:v>
                </c:pt>
                <c:pt idx="9">
                  <c:v>2028</c:v>
                </c:pt>
                <c:pt idx="10">
                  <c:v>2029</c:v>
                </c:pt>
                <c:pt idx="11">
                  <c:v>2030</c:v>
                </c:pt>
              </c:numCache>
            </c:numRef>
          </c:cat>
          <c:val>
            <c:numRef>
              <c:f>'qyr-2022'!$E$2:$P$2</c:f>
              <c:numCache>
                <c:formatCode>General</c:formatCode>
                <c:ptCount val="12"/>
                <c:pt idx="0">
                  <c:v>423</c:v>
                </c:pt>
                <c:pt idx="1">
                  <c:v>382.2</c:v>
                </c:pt>
                <c:pt idx="2">
                  <c:v>469.59999999999997</c:v>
                </c:pt>
                <c:pt idx="3">
                  <c:v>505</c:v>
                </c:pt>
                <c:pt idx="4">
                  <c:v>482</c:v>
                </c:pt>
                <c:pt idx="5">
                  <c:v>492</c:v>
                </c:pt>
                <c:pt idx="6">
                  <c:v>544</c:v>
                </c:pt>
                <c:pt idx="7">
                  <c:v>583.6</c:v>
                </c:pt>
                <c:pt idx="8">
                  <c:v>592.6</c:v>
                </c:pt>
                <c:pt idx="9" formatCode="0.0">
                  <c:v>628.80592</c:v>
                </c:pt>
                <c:pt idx="10" formatCode="0.0">
                  <c:v>721.00791023200009</c:v>
                </c:pt>
                <c:pt idx="11" formatCode="0.0">
                  <c:v>777.302376935688</c:v>
                </c:pt>
              </c:numCache>
            </c:numRef>
          </c:val>
          <c:extLst>
            <c:ext xmlns:c16="http://schemas.microsoft.com/office/drawing/2014/chart" uri="{C3380CC4-5D6E-409C-BE32-E72D297353CC}">
              <c16:uniqueId val="{00000000-6BB7-4B03-ABF3-17B6B32D817B}"/>
            </c:ext>
          </c:extLst>
        </c:ser>
        <c:dLbls>
          <c:showLegendKey val="0"/>
          <c:showVal val="0"/>
          <c:showCatName val="0"/>
          <c:showSerName val="0"/>
          <c:showPercent val="0"/>
          <c:showBubbleSize val="0"/>
        </c:dLbls>
        <c:gapWidth val="30"/>
        <c:axId val="-1322419456"/>
        <c:axId val="-1322431424"/>
      </c:barChart>
      <c:lineChart>
        <c:grouping val="stacked"/>
        <c:varyColors val="0"/>
        <c:ser>
          <c:idx val="1"/>
          <c:order val="1"/>
          <c:tx>
            <c:strRef>
              <c:f>'qyr-2022'!$B$3</c:f>
              <c:strCache>
                <c:ptCount val="1"/>
                <c:pt idx="0">
                  <c:v>Growth Rate</c:v>
                </c:pt>
              </c:strCache>
            </c:strRef>
          </c:tx>
          <c:spPr>
            <a:ln w="25400">
              <a:solidFill>
                <a:srgbClr val="FFC000"/>
              </a:solidFill>
            </a:ln>
          </c:spPr>
          <c:marker>
            <c:symbol val="circle"/>
            <c:size val="26"/>
            <c:spPr>
              <a:solidFill>
                <a:schemeClr val="bg1">
                  <a:lumMod val="50000"/>
                </a:schemeClr>
              </a:solidFill>
              <a:ln>
                <a:solidFill>
                  <a:schemeClr val="bg1"/>
                </a:solidFill>
              </a:ln>
            </c:spPr>
          </c:marker>
          <c:dLbls>
            <c:numFmt formatCode="\x\x\%" sourceLinked="0"/>
            <c:spPr>
              <a:noFill/>
              <a:ln>
                <a:noFill/>
              </a:ln>
              <a:effectLst/>
            </c:spPr>
            <c:txPr>
              <a:bodyPr wrap="square" lIns="38100" tIns="19050" rIns="38100" bIns="19050" anchor="ctr">
                <a:spAutoFit/>
              </a:bodyPr>
              <a:lstStyle/>
              <a:p>
                <a:pPr>
                  <a:defRPr>
                    <a:solidFill>
                      <a:schemeClr val="bg1">
                        <a:lumMod val="95000"/>
                      </a:schemeClr>
                    </a:solidFill>
                    <a:latin typeface="Helvetica" panose="020B0604020202020204" pitchFamily="34" charset="0"/>
                    <a:cs typeface="Helvetica" panose="020B0604020202020204" pitchFamily="34" charset="0"/>
                  </a:defRPr>
                </a:pPr>
                <a:endParaRPr lang="zh-CN"/>
              </a:p>
            </c:txPr>
            <c:dLblPos val="ctr"/>
            <c:showLegendKey val="0"/>
            <c:showVal val="1"/>
            <c:showCatName val="0"/>
            <c:showSerName val="0"/>
            <c:showPercent val="0"/>
            <c:showBubbleSize val="0"/>
            <c:showLeaderLines val="0"/>
            <c:extLst>
              <c:ext xmlns:c15="http://schemas.microsoft.com/office/drawing/2012/chart" uri="{CE6537A1-D6FC-4f65-9D91-7224C49458BB}">
                <c15:showLeaderLines val="1"/>
              </c:ext>
            </c:extLst>
          </c:dLbls>
          <c:cat>
            <c:numRef>
              <c:f>'qyr-2022'!$E$1:$P$1</c:f>
              <c:numCache>
                <c:formatCode>General</c:formatCode>
                <c:ptCount val="12"/>
                <c:pt idx="0">
                  <c:v>2019</c:v>
                </c:pt>
                <c:pt idx="1">
                  <c:v>2020</c:v>
                </c:pt>
                <c:pt idx="2">
                  <c:v>2021</c:v>
                </c:pt>
                <c:pt idx="3">
                  <c:v>2022</c:v>
                </c:pt>
                <c:pt idx="4">
                  <c:v>2023</c:v>
                </c:pt>
                <c:pt idx="5">
                  <c:v>2024</c:v>
                </c:pt>
                <c:pt idx="6">
                  <c:v>2025</c:v>
                </c:pt>
                <c:pt idx="7">
                  <c:v>2026</c:v>
                </c:pt>
                <c:pt idx="8">
                  <c:v>2027</c:v>
                </c:pt>
                <c:pt idx="9">
                  <c:v>2028</c:v>
                </c:pt>
                <c:pt idx="10">
                  <c:v>2029</c:v>
                </c:pt>
                <c:pt idx="11">
                  <c:v>2030</c:v>
                </c:pt>
              </c:numCache>
            </c:numRef>
          </c:cat>
          <c:val>
            <c:numRef>
              <c:f>'qyr-2022'!$E$3:$P$3</c:f>
              <c:numCache>
                <c:formatCode>0.00%</c:formatCode>
                <c:ptCount val="12"/>
                <c:pt idx="0">
                  <c:v>-0.037761601455868932</c:v>
                </c:pt>
                <c:pt idx="1">
                  <c:v>-0.096453900709219886</c:v>
                </c:pt>
                <c:pt idx="2">
                  <c:v>0.22867608581894294</c:v>
                </c:pt>
                <c:pt idx="3">
                  <c:v>0.075383304940374929</c:v>
                </c:pt>
                <c:pt idx="4">
                  <c:v>-0.045544554455445585</c:v>
                </c:pt>
                <c:pt idx="5">
                  <c:v>0.020746887966804906</c:v>
                </c:pt>
                <c:pt idx="6">
                  <c:v>0.10569105691056913</c:v>
                </c:pt>
                <c:pt idx="7">
                  <c:v>0.072794117647058787</c:v>
                </c:pt>
                <c:pt idx="8">
                  <c:v>0.015421521590130327</c:v>
                </c:pt>
                <c:pt idx="9">
                  <c:v>0.061096726290921444</c:v>
                </c:pt>
                <c:pt idx="10">
                  <c:v>0.0533</c:v>
                </c:pt>
                <c:pt idx="11">
                  <c:v>0.051</c:v>
                </c:pt>
              </c:numCache>
            </c:numRef>
          </c:val>
          <c:smooth val="0"/>
          <c:extLst>
            <c:ext xmlns:c16="http://schemas.microsoft.com/office/drawing/2014/chart" uri="{C3380CC4-5D6E-409C-BE32-E72D297353CC}">
              <c16:uniqueId val="{00000002-6BB7-4B03-ABF3-17B6B32D817B}"/>
            </c:ext>
          </c:extLst>
        </c:ser>
        <c:dLbls>
          <c:showLegendKey val="0"/>
          <c:showVal val="0"/>
          <c:showCatName val="0"/>
          <c:showSerName val="0"/>
          <c:showPercent val="0"/>
          <c:showBubbleSize val="0"/>
        </c:dLbls>
        <c:marker val="1"/>
        <c:smooth val="0"/>
        <c:axId val="-1322429792"/>
        <c:axId val="-1322406944"/>
      </c:lineChart>
      <c:catAx>
        <c:axId val="-1322419456"/>
        <c:scaling>
          <c:orientation val="minMax"/>
        </c:scaling>
        <c:delete val="0"/>
        <c:axPos val="b"/>
        <c:numFmt formatCode="General" sourceLinked="1"/>
        <c:majorTickMark val="none"/>
        <c:minorTickMark val="none"/>
        <c:tickLblPos val="nextTo"/>
        <c:txPr>
          <a:bodyPr/>
          <a:lstStyle/>
          <a:p>
            <a:pPr>
              <a:defRPr sz="1000">
                <a:latin typeface="Helvetica" panose="020B0604020202020204" pitchFamily="34" charset="0"/>
                <a:cs typeface="Helvetica" panose="020B0604020202020204" pitchFamily="34" charset="0"/>
              </a:defRPr>
            </a:pPr>
            <a:endParaRPr lang="zh-CN"/>
          </a:p>
        </c:txPr>
        <c:crossAx val="-1322431424"/>
        <c:crosses val="autoZero"/>
        <c:auto val="1"/>
        <c:lblAlgn val="ctr"/>
        <c:lblOffset val="100"/>
        <c:noMultiLvlLbl val="0"/>
      </c:catAx>
      <c:valAx>
        <c:axId val="-1322431424"/>
        <c:scaling>
          <c:orientation val="minMax"/>
        </c:scaling>
        <c:delete val="0"/>
        <c:axPos val="l"/>
        <c:majorGridlines>
          <c:spPr>
            <a:ln>
              <a:noFill/>
            </a:ln>
          </c:spPr>
        </c:majorGridlines>
        <c:numFmt formatCode="General" sourceLinked="1"/>
        <c:majorTickMark val="none"/>
        <c:minorTickMark val="none"/>
        <c:tickLblPos val="none"/>
        <c:spPr>
          <a:ln>
            <a:noFill/>
          </a:ln>
        </c:spPr>
        <c:crossAx val="-1322419456"/>
        <c:crosses val="autoZero"/>
        <c:crossBetween val="between"/>
      </c:valAx>
      <c:valAx>
        <c:axId val="-1322406944"/>
        <c:scaling>
          <c:orientation val="minMax"/>
          <c:max val="0.45"/>
        </c:scaling>
        <c:delete val="0"/>
        <c:axPos val="r"/>
        <c:numFmt formatCode="0%" sourceLinked="0"/>
        <c:majorTickMark val="out"/>
        <c:minorTickMark val="none"/>
        <c:tickLblPos val="none"/>
        <c:spPr>
          <a:ln>
            <a:noFill/>
          </a:ln>
        </c:spPr>
        <c:crossAx val="-1322429792"/>
        <c:crosses val="max"/>
        <c:crossBetween val="between"/>
      </c:valAx>
      <c:catAx>
        <c:axId val="-1322429792"/>
        <c:scaling>
          <c:orientation val="minMax"/>
        </c:scaling>
        <c:delete val="1"/>
        <c:axPos val="b"/>
        <c:numFmt formatCode="General" sourceLinked="1"/>
        <c:majorTickMark val="out"/>
        <c:minorTickMark val="none"/>
        <c:tickLblPos val="nextTo"/>
        <c:crossAx val="-1322406944"/>
        <c:crosses val="autoZero"/>
        <c:auto val="1"/>
        <c:lblAlgn val="ctr"/>
        <c:lblOffset val="100"/>
        <c:noMultiLvlLbl val="0"/>
      </c:catAx>
      <c:spPr>
        <a:ln>
          <a:noFill/>
        </a:ln>
      </c:spPr>
    </c:plotArea>
    <c:plotVisOnly val="1"/>
    <c:dispBlanksAs val="gap"/>
    <c:showDLblsOverMax val="0"/>
  </c:chart>
  <c:spPr>
    <a:ln>
      <a:noFill/>
    </a:ln>
  </c:spPr>
  <c:externalData r:id="rId1">
    <c:autoUpdate val="0"/>
  </c:externalData>
  <c:userShapes r:id="rId2"/>
</c:chartSpace>
</file>

<file path=word/charts/chart12.xml><?xml version="1.0" encoding="utf-8"?>
<c:chartSpace xmlns:c="http://schemas.openxmlformats.org/drawingml/2006/chart" xmlns:a="http://schemas.openxmlformats.org/drawingml/2006/main" xmlns:r="http://schemas.openxmlformats.org/officeDocument/2006/relationships">
  <c:date1904 val="0"/>
  <c:lang val="zh-CN"/>
  <c:roundedCorners val="0"/>
  <mc:AlternateContent xmlns:mc="http://schemas.openxmlformats.org/markup-compatibility/2006">
    <mc:Choice xmlns:c14="http://schemas.microsoft.com/office/drawing/2007/8/2/chart" Requires="c14">
      <c14:style val="112"/>
    </mc:Choice>
    <mc:Fallback>
      <c:style val="12"/>
    </mc:Fallback>
  </mc:AlternateContent>
  <c:chart>
    <c:autoTitleDeleted val="1"/>
    <c:plotArea>
      <c:layout>
        <c:manualLayout>
          <c:layoutTarget val="inner"/>
          <c:xMode val="edge"/>
          <c:yMode val="edge"/>
          <c:x val="0.012659003831417624"/>
          <c:y val="0.04352259075059204"/>
          <c:w val="0.98085859662884567"/>
          <c:h val="0.84752408783234812"/>
        </c:manualLayout>
      </c:layout>
      <c:barChart>
        <c:barDir val="col"/>
        <c:grouping val="clustered"/>
        <c:varyColors val="0"/>
        <c:ser>
          <c:idx val="0"/>
          <c:order val="0"/>
          <c:tx>
            <c:strRef>
              <c:f>'qyr-2022'!$B$2</c:f>
              <c:strCache>
                <c:ptCount val="1"/>
                <c:pt idx="0">
                  <c:v>Capacity</c:v>
                </c:pt>
              </c:strCache>
            </c:strRef>
          </c:tx>
          <c:spPr>
            <a:solidFill>
              <a:schemeClr val="accent1">
                <a:lumMod val="50000"/>
              </a:schemeClr>
            </a:solidFill>
            <a:ln>
              <a:noFill/>
            </a:ln>
            <a:effectLst>
              <a:outerShdw blurRad="40000" dist="20000" dir="5400000" sx="100000" sy="100000" kx="0" ky="0" algn="b" rotWithShape="0">
                <a:schemeClr val="tx2">
                  <a:lumMod val="60000"/>
                  <a:lumOff val="40000"/>
                  <a:alpha val="38000"/>
                </a:schemeClr>
              </a:outerShdw>
            </a:effectLst>
          </c:spPr>
          <c:invertIfNegative val="0"/>
          <c:dLbls>
            <c:numFmt formatCode="\x\x" sourceLinked="0"/>
            <c:spPr>
              <a:noFill/>
              <a:ln>
                <a:noFill/>
              </a:ln>
              <a:effectLst>
                <a:outerShdw blurRad="50800" dist="50800" dir="5400000" sx="7000" sy="7000" kx="0" ky="0" algn="ctr" rotWithShape="0">
                  <a:srgbClr val="000000">
                    <a:alpha val="43137"/>
                  </a:srgbClr>
                </a:outerShdw>
              </a:effectLst>
            </c:spPr>
            <c:txPr>
              <a:bodyPr wrap="square" lIns="38100" tIns="19050" rIns="38100" bIns="19050" anchor="ctr" anchorCtr="0">
                <a:spAutoFit/>
              </a:bodyPr>
              <a:lstStyle/>
              <a:p>
                <a:pPr>
                  <a:defRPr sz="1200" cap="all" baseline="0">
                    <a:solidFill>
                      <a:schemeClr val="tx1"/>
                    </a:solidFill>
                    <a:latin typeface="Helvetica" panose="020B0604020202020204" pitchFamily="34" charset="0"/>
                    <a:ea typeface="Cambria" panose="02040503050406030204" pitchFamily="18" charset="0"/>
                    <a:cs typeface="Helvetica" panose="020B0604020202020204" pitchFamily="34" charset="0"/>
                  </a:defRPr>
                </a:pPr>
                <a:endParaRPr lang="zh-CN"/>
              </a:p>
            </c:txPr>
            <c:dLblPos val="outEnd"/>
            <c:showLegendKey val="0"/>
            <c:showVal val="1"/>
            <c:showCatName val="0"/>
            <c:showSerName val="0"/>
            <c:showPercent val="0"/>
            <c:showBubbleSize val="0"/>
            <c:showLeaderLines val="0"/>
            <c:extLst>
              <c:ext xmlns:c15="http://schemas.microsoft.com/office/drawing/2012/chart" uri="{CE6537A1-D6FC-4f65-9D91-7224C49458BB}">
                <c15:showLeaderLines val="0"/>
              </c:ext>
            </c:extLst>
          </c:dLbls>
          <c:cat>
            <c:numRef>
              <c:f>'qyr-2022'!$E$1:$P$1</c:f>
              <c:numCache>
                <c:formatCode>General</c:formatCode>
                <c:ptCount val="12"/>
                <c:pt idx="0">
                  <c:v>2019</c:v>
                </c:pt>
                <c:pt idx="1">
                  <c:v>2020</c:v>
                </c:pt>
                <c:pt idx="2">
                  <c:v>2021</c:v>
                </c:pt>
                <c:pt idx="3">
                  <c:v>2022</c:v>
                </c:pt>
                <c:pt idx="4">
                  <c:v>2023</c:v>
                </c:pt>
                <c:pt idx="5">
                  <c:v>2024</c:v>
                </c:pt>
                <c:pt idx="6">
                  <c:v>2025</c:v>
                </c:pt>
                <c:pt idx="7">
                  <c:v>2026</c:v>
                </c:pt>
                <c:pt idx="8">
                  <c:v>2027</c:v>
                </c:pt>
                <c:pt idx="9">
                  <c:v>2028</c:v>
                </c:pt>
                <c:pt idx="10">
                  <c:v>2029</c:v>
                </c:pt>
                <c:pt idx="11">
                  <c:v>2030</c:v>
                </c:pt>
              </c:numCache>
            </c:numRef>
          </c:cat>
          <c:val>
            <c:numRef>
              <c:f>'qyr-2022'!$E$2:$P$2</c:f>
              <c:numCache>
                <c:formatCode>General</c:formatCode>
                <c:ptCount val="12"/>
                <c:pt idx="0">
                  <c:v>423</c:v>
                </c:pt>
                <c:pt idx="1">
                  <c:v>382.2</c:v>
                </c:pt>
                <c:pt idx="2">
                  <c:v>469.59999999999997</c:v>
                </c:pt>
                <c:pt idx="3">
                  <c:v>505</c:v>
                </c:pt>
                <c:pt idx="4">
                  <c:v>482</c:v>
                </c:pt>
                <c:pt idx="5">
                  <c:v>492</c:v>
                </c:pt>
                <c:pt idx="6">
                  <c:v>544</c:v>
                </c:pt>
                <c:pt idx="7">
                  <c:v>583.6</c:v>
                </c:pt>
                <c:pt idx="8">
                  <c:v>592.6</c:v>
                </c:pt>
                <c:pt idx="9" formatCode="0.0">
                  <c:v>628.80592</c:v>
                </c:pt>
                <c:pt idx="10" formatCode="0.0">
                  <c:v>721.00791023200009</c:v>
                </c:pt>
                <c:pt idx="11" formatCode="0.0">
                  <c:v>777.302376935688</c:v>
                </c:pt>
              </c:numCache>
            </c:numRef>
          </c:val>
          <c:extLst>
            <c:ext xmlns:c16="http://schemas.microsoft.com/office/drawing/2014/chart" uri="{C3380CC4-5D6E-409C-BE32-E72D297353CC}">
              <c16:uniqueId val="{00000000-60A2-48EB-AC09-74FB8BCBFDAD}"/>
            </c:ext>
          </c:extLst>
        </c:ser>
        <c:dLbls>
          <c:showLegendKey val="0"/>
          <c:showVal val="0"/>
          <c:showCatName val="0"/>
          <c:showSerName val="0"/>
          <c:showPercent val="0"/>
          <c:showBubbleSize val="0"/>
        </c:dLbls>
        <c:gapWidth val="30"/>
        <c:axId val="-1322419456"/>
        <c:axId val="-1322431424"/>
      </c:barChart>
      <c:lineChart>
        <c:grouping val="stacked"/>
        <c:varyColors val="0"/>
        <c:ser>
          <c:idx val="1"/>
          <c:order val="1"/>
          <c:tx>
            <c:strRef>
              <c:f>'qyr-2022'!$B$3</c:f>
              <c:strCache>
                <c:ptCount val="1"/>
                <c:pt idx="0">
                  <c:v>Growth Rate</c:v>
                </c:pt>
              </c:strCache>
            </c:strRef>
          </c:tx>
          <c:spPr>
            <a:ln w="25400">
              <a:solidFill>
                <a:srgbClr val="FFC000"/>
              </a:solidFill>
            </a:ln>
          </c:spPr>
          <c:marker>
            <c:symbol val="circle"/>
            <c:size val="26"/>
            <c:spPr>
              <a:solidFill>
                <a:schemeClr val="bg1">
                  <a:lumMod val="50000"/>
                </a:schemeClr>
              </a:solidFill>
              <a:ln>
                <a:solidFill>
                  <a:schemeClr val="bg1"/>
                </a:solidFill>
              </a:ln>
            </c:spPr>
          </c:marker>
          <c:dLbls>
            <c:numFmt formatCode="\x\x\%" sourceLinked="0"/>
            <c:spPr>
              <a:noFill/>
              <a:ln>
                <a:noFill/>
              </a:ln>
              <a:effectLst/>
            </c:spPr>
            <c:txPr>
              <a:bodyPr wrap="square" lIns="38100" tIns="19050" rIns="38100" bIns="19050" anchor="ctr">
                <a:spAutoFit/>
              </a:bodyPr>
              <a:lstStyle/>
              <a:p>
                <a:pPr>
                  <a:defRPr>
                    <a:solidFill>
                      <a:schemeClr val="bg1">
                        <a:lumMod val="95000"/>
                      </a:schemeClr>
                    </a:solidFill>
                    <a:latin typeface="Helvetica" panose="020B0604020202020204" pitchFamily="34" charset="0"/>
                    <a:cs typeface="Helvetica" panose="020B0604020202020204" pitchFamily="34" charset="0"/>
                  </a:defRPr>
                </a:pPr>
                <a:endParaRPr lang="zh-CN"/>
              </a:p>
            </c:txPr>
            <c:dLblPos val="ctr"/>
            <c:showLegendKey val="0"/>
            <c:showVal val="1"/>
            <c:showCatName val="0"/>
            <c:showSerName val="0"/>
            <c:showPercent val="0"/>
            <c:showBubbleSize val="0"/>
            <c:showLeaderLines val="0"/>
            <c:extLst>
              <c:ext xmlns:c15="http://schemas.microsoft.com/office/drawing/2012/chart" uri="{CE6537A1-D6FC-4f65-9D91-7224C49458BB}">
                <c15:showLeaderLines val="1"/>
              </c:ext>
            </c:extLst>
          </c:dLbls>
          <c:cat>
            <c:numRef>
              <c:f>'qyr-2022'!$E$1:$P$1</c:f>
              <c:numCache>
                <c:formatCode>General</c:formatCode>
                <c:ptCount val="12"/>
                <c:pt idx="0">
                  <c:v>2019</c:v>
                </c:pt>
                <c:pt idx="1">
                  <c:v>2020</c:v>
                </c:pt>
                <c:pt idx="2">
                  <c:v>2021</c:v>
                </c:pt>
                <c:pt idx="3">
                  <c:v>2022</c:v>
                </c:pt>
                <c:pt idx="4">
                  <c:v>2023</c:v>
                </c:pt>
                <c:pt idx="5">
                  <c:v>2024</c:v>
                </c:pt>
                <c:pt idx="6">
                  <c:v>2025</c:v>
                </c:pt>
                <c:pt idx="7">
                  <c:v>2026</c:v>
                </c:pt>
                <c:pt idx="8">
                  <c:v>2027</c:v>
                </c:pt>
                <c:pt idx="9">
                  <c:v>2028</c:v>
                </c:pt>
                <c:pt idx="10">
                  <c:v>2029</c:v>
                </c:pt>
                <c:pt idx="11">
                  <c:v>2030</c:v>
                </c:pt>
              </c:numCache>
            </c:numRef>
          </c:cat>
          <c:val>
            <c:numRef>
              <c:f>'qyr-2022'!$E$3:$P$3</c:f>
              <c:numCache>
                <c:formatCode>0.00%</c:formatCode>
                <c:ptCount val="12"/>
                <c:pt idx="0">
                  <c:v>-0.037761601455868932</c:v>
                </c:pt>
                <c:pt idx="1">
                  <c:v>-0.096453900709219886</c:v>
                </c:pt>
                <c:pt idx="2">
                  <c:v>0.22867608581894294</c:v>
                </c:pt>
                <c:pt idx="3">
                  <c:v>0.075383304940374929</c:v>
                </c:pt>
                <c:pt idx="4">
                  <c:v>-0.045544554455445585</c:v>
                </c:pt>
                <c:pt idx="5">
                  <c:v>0.020746887966804906</c:v>
                </c:pt>
                <c:pt idx="6">
                  <c:v>0.10569105691056913</c:v>
                </c:pt>
                <c:pt idx="7">
                  <c:v>0.072794117647058787</c:v>
                </c:pt>
                <c:pt idx="8">
                  <c:v>0.015421521590130327</c:v>
                </c:pt>
                <c:pt idx="9">
                  <c:v>0.061096726290921444</c:v>
                </c:pt>
                <c:pt idx="10">
                  <c:v>0.0533</c:v>
                </c:pt>
                <c:pt idx="11">
                  <c:v>0.051</c:v>
                </c:pt>
              </c:numCache>
            </c:numRef>
          </c:val>
          <c:smooth val="0"/>
          <c:extLst>
            <c:ext xmlns:c16="http://schemas.microsoft.com/office/drawing/2014/chart" uri="{C3380CC4-5D6E-409C-BE32-E72D297353CC}">
              <c16:uniqueId val="{00000002-60A2-48EB-AC09-74FB8BCBFDAD}"/>
            </c:ext>
          </c:extLst>
        </c:ser>
        <c:dLbls>
          <c:showLegendKey val="0"/>
          <c:showVal val="0"/>
          <c:showCatName val="0"/>
          <c:showSerName val="0"/>
          <c:showPercent val="0"/>
          <c:showBubbleSize val="0"/>
        </c:dLbls>
        <c:marker val="1"/>
        <c:smooth val="0"/>
        <c:axId val="-1322429792"/>
        <c:axId val="-1322406944"/>
      </c:lineChart>
      <c:catAx>
        <c:axId val="-1322419456"/>
        <c:scaling>
          <c:orientation val="minMax"/>
        </c:scaling>
        <c:delete val="0"/>
        <c:axPos val="b"/>
        <c:numFmt formatCode="General" sourceLinked="1"/>
        <c:majorTickMark val="none"/>
        <c:minorTickMark val="none"/>
        <c:tickLblPos val="nextTo"/>
        <c:txPr>
          <a:bodyPr/>
          <a:lstStyle/>
          <a:p>
            <a:pPr>
              <a:defRPr sz="1000">
                <a:latin typeface="Helvetica" panose="020B0604020202020204" pitchFamily="34" charset="0"/>
                <a:cs typeface="Helvetica" panose="020B0604020202020204" pitchFamily="34" charset="0"/>
              </a:defRPr>
            </a:pPr>
            <a:endParaRPr lang="zh-CN"/>
          </a:p>
        </c:txPr>
        <c:crossAx val="-1322431424"/>
        <c:crosses val="autoZero"/>
        <c:auto val="1"/>
        <c:lblAlgn val="ctr"/>
        <c:lblOffset val="100"/>
        <c:noMultiLvlLbl val="0"/>
      </c:catAx>
      <c:valAx>
        <c:axId val="-1322431424"/>
        <c:scaling>
          <c:orientation val="minMax"/>
        </c:scaling>
        <c:delete val="0"/>
        <c:axPos val="l"/>
        <c:majorGridlines>
          <c:spPr>
            <a:ln>
              <a:noFill/>
            </a:ln>
          </c:spPr>
        </c:majorGridlines>
        <c:numFmt formatCode="General" sourceLinked="1"/>
        <c:majorTickMark val="none"/>
        <c:minorTickMark val="none"/>
        <c:tickLblPos val="none"/>
        <c:spPr>
          <a:ln>
            <a:noFill/>
          </a:ln>
        </c:spPr>
        <c:crossAx val="-1322419456"/>
        <c:crosses val="autoZero"/>
        <c:crossBetween val="between"/>
      </c:valAx>
      <c:valAx>
        <c:axId val="-1322406944"/>
        <c:scaling>
          <c:orientation val="minMax"/>
          <c:max val="0.45"/>
        </c:scaling>
        <c:delete val="0"/>
        <c:axPos val="r"/>
        <c:numFmt formatCode="0%" sourceLinked="0"/>
        <c:majorTickMark val="out"/>
        <c:minorTickMark val="none"/>
        <c:tickLblPos val="none"/>
        <c:spPr>
          <a:ln>
            <a:noFill/>
          </a:ln>
        </c:spPr>
        <c:crossAx val="-1322429792"/>
        <c:crosses val="max"/>
        <c:crossBetween val="between"/>
      </c:valAx>
      <c:catAx>
        <c:axId val="-1322429792"/>
        <c:scaling>
          <c:orientation val="minMax"/>
        </c:scaling>
        <c:delete val="1"/>
        <c:axPos val="b"/>
        <c:numFmt formatCode="General" sourceLinked="1"/>
        <c:majorTickMark val="out"/>
        <c:minorTickMark val="none"/>
        <c:tickLblPos val="nextTo"/>
        <c:crossAx val="-1322406944"/>
        <c:crosses val="autoZero"/>
        <c:auto val="1"/>
        <c:lblAlgn val="ctr"/>
        <c:lblOffset val="100"/>
        <c:noMultiLvlLbl val="0"/>
      </c:catAx>
      <c:spPr>
        <a:ln>
          <a:noFill/>
        </a:ln>
      </c:spPr>
    </c:plotArea>
    <c:plotVisOnly val="1"/>
    <c:dispBlanksAs val="gap"/>
    <c:showDLblsOverMax val="0"/>
  </c:chart>
  <c:spPr>
    <a:ln>
      <a:noFill/>
    </a:ln>
  </c:spPr>
  <c:externalData r:id="rId1">
    <c:autoUpdate val="0"/>
  </c:externalData>
  <c:userShapes r:id="rId2"/>
</c:chartSpace>
</file>

<file path=word/charts/chart13.xml><?xml version="1.0" encoding="utf-8"?>
<c:chartSpace xmlns:c="http://schemas.openxmlformats.org/drawingml/2006/chart" xmlns:a="http://schemas.openxmlformats.org/drawingml/2006/main" xmlns:r="http://schemas.openxmlformats.org/officeDocument/2006/relationships">
  <c:date1904 val="0"/>
  <c:lang val="zh-CN"/>
  <c:roundedCorners val="0"/>
  <mc:AlternateContent xmlns:mc="http://schemas.openxmlformats.org/markup-compatibility/2006">
    <mc:Choice xmlns:c14="http://schemas.microsoft.com/office/drawing/2007/8/2/chart" Requires="c14">
      <c14:style val="112"/>
    </mc:Choice>
    <mc:Fallback>
      <c:style val="12"/>
    </mc:Fallback>
  </mc:AlternateContent>
  <c:chart>
    <c:autoTitleDeleted val="1"/>
    <c:plotArea>
      <c:layout>
        <c:manualLayout>
          <c:layoutTarget val="inner"/>
          <c:xMode val="edge"/>
          <c:yMode val="edge"/>
          <c:x val="0.012659003831417624"/>
          <c:y val="0.04352259075059204"/>
          <c:w val="0.98085859662884567"/>
          <c:h val="0.84752408783234812"/>
        </c:manualLayout>
      </c:layout>
      <c:barChart>
        <c:barDir val="col"/>
        <c:grouping val="clustered"/>
        <c:varyColors val="0"/>
        <c:ser>
          <c:idx val="0"/>
          <c:order val="0"/>
          <c:tx>
            <c:strRef>
              <c:f>'qyr-2022'!$B$2</c:f>
              <c:strCache>
                <c:ptCount val="1"/>
                <c:pt idx="0">
                  <c:v>Capacity</c:v>
                </c:pt>
              </c:strCache>
            </c:strRef>
          </c:tx>
          <c:spPr>
            <a:solidFill>
              <a:schemeClr val="accent1">
                <a:lumMod val="50000"/>
              </a:schemeClr>
            </a:solidFill>
            <a:ln>
              <a:noFill/>
            </a:ln>
            <a:effectLst>
              <a:outerShdw blurRad="40000" dist="20000" dir="5400000" sx="100000" sy="100000" kx="0" ky="0" algn="b" rotWithShape="0">
                <a:schemeClr val="tx2">
                  <a:lumMod val="60000"/>
                  <a:lumOff val="40000"/>
                  <a:alpha val="38000"/>
                </a:schemeClr>
              </a:outerShdw>
            </a:effectLst>
          </c:spPr>
          <c:invertIfNegative val="0"/>
          <c:dLbls>
            <c:numFmt formatCode="\x\x" sourceLinked="0"/>
            <c:spPr>
              <a:noFill/>
              <a:ln>
                <a:noFill/>
              </a:ln>
              <a:effectLst>
                <a:outerShdw blurRad="50800" dist="50800" dir="5400000" sx="7000" sy="7000" kx="0" ky="0" algn="ctr" rotWithShape="0">
                  <a:srgbClr val="000000">
                    <a:alpha val="43137"/>
                  </a:srgbClr>
                </a:outerShdw>
              </a:effectLst>
            </c:spPr>
            <c:txPr>
              <a:bodyPr wrap="square" lIns="38100" tIns="19050" rIns="38100" bIns="19050" anchor="ctr" anchorCtr="0">
                <a:spAutoFit/>
              </a:bodyPr>
              <a:lstStyle/>
              <a:p>
                <a:pPr>
                  <a:defRPr sz="1200" cap="all" baseline="0">
                    <a:solidFill>
                      <a:schemeClr val="tx1"/>
                    </a:solidFill>
                    <a:latin typeface="Helvetica" panose="020B0604020202020204" pitchFamily="34" charset="0"/>
                    <a:ea typeface="Cambria" panose="02040503050406030204" pitchFamily="18" charset="0"/>
                    <a:cs typeface="Helvetica" panose="020B0604020202020204" pitchFamily="34" charset="0"/>
                  </a:defRPr>
                </a:pPr>
                <a:endParaRPr lang="zh-CN"/>
              </a:p>
            </c:txPr>
            <c:dLblPos val="outEnd"/>
            <c:showLegendKey val="0"/>
            <c:showVal val="1"/>
            <c:showCatName val="0"/>
            <c:showSerName val="0"/>
            <c:showPercent val="0"/>
            <c:showBubbleSize val="0"/>
            <c:showLeaderLines val="0"/>
            <c:extLst>
              <c:ext xmlns:c15="http://schemas.microsoft.com/office/drawing/2012/chart" uri="{CE6537A1-D6FC-4f65-9D91-7224C49458BB}">
                <c15:showLeaderLines val="0"/>
              </c:ext>
            </c:extLst>
          </c:dLbls>
          <c:cat>
            <c:numRef>
              <c:f>'qyr-2022'!$E$1:$P$1</c:f>
              <c:numCache>
                <c:formatCode>General</c:formatCode>
                <c:ptCount val="12"/>
                <c:pt idx="0">
                  <c:v>2019</c:v>
                </c:pt>
                <c:pt idx="1">
                  <c:v>2020</c:v>
                </c:pt>
                <c:pt idx="2">
                  <c:v>2021</c:v>
                </c:pt>
                <c:pt idx="3">
                  <c:v>2022</c:v>
                </c:pt>
                <c:pt idx="4">
                  <c:v>2023</c:v>
                </c:pt>
                <c:pt idx="5">
                  <c:v>2024</c:v>
                </c:pt>
                <c:pt idx="6">
                  <c:v>2025</c:v>
                </c:pt>
                <c:pt idx="7">
                  <c:v>2026</c:v>
                </c:pt>
                <c:pt idx="8">
                  <c:v>2027</c:v>
                </c:pt>
                <c:pt idx="9">
                  <c:v>2028</c:v>
                </c:pt>
                <c:pt idx="10">
                  <c:v>2029</c:v>
                </c:pt>
                <c:pt idx="11">
                  <c:v>2030</c:v>
                </c:pt>
              </c:numCache>
            </c:numRef>
          </c:cat>
          <c:val>
            <c:numRef>
              <c:f>'qyr-2022'!$E$2:$P$2</c:f>
              <c:numCache>
                <c:formatCode>General</c:formatCode>
                <c:ptCount val="12"/>
                <c:pt idx="0">
                  <c:v>423</c:v>
                </c:pt>
                <c:pt idx="1">
                  <c:v>382.2</c:v>
                </c:pt>
                <c:pt idx="2">
                  <c:v>469.59999999999997</c:v>
                </c:pt>
                <c:pt idx="3">
                  <c:v>505</c:v>
                </c:pt>
                <c:pt idx="4">
                  <c:v>482</c:v>
                </c:pt>
                <c:pt idx="5">
                  <c:v>492</c:v>
                </c:pt>
                <c:pt idx="6">
                  <c:v>544</c:v>
                </c:pt>
                <c:pt idx="7">
                  <c:v>583.6</c:v>
                </c:pt>
                <c:pt idx="8">
                  <c:v>592.6</c:v>
                </c:pt>
                <c:pt idx="9" formatCode="0.0">
                  <c:v>628.80592</c:v>
                </c:pt>
                <c:pt idx="10" formatCode="0.0">
                  <c:v>721.00791023200009</c:v>
                </c:pt>
                <c:pt idx="11" formatCode="0.0">
                  <c:v>777.302376935688</c:v>
                </c:pt>
              </c:numCache>
            </c:numRef>
          </c:val>
          <c:extLst>
            <c:ext xmlns:c16="http://schemas.microsoft.com/office/drawing/2014/chart" uri="{C3380CC4-5D6E-409C-BE32-E72D297353CC}">
              <c16:uniqueId val="{00000000-FBCE-40AD-9E06-CC06C39999D4}"/>
            </c:ext>
          </c:extLst>
        </c:ser>
        <c:dLbls>
          <c:showLegendKey val="0"/>
          <c:showVal val="0"/>
          <c:showCatName val="0"/>
          <c:showSerName val="0"/>
          <c:showPercent val="0"/>
          <c:showBubbleSize val="0"/>
        </c:dLbls>
        <c:gapWidth val="30"/>
        <c:axId val="-1322419456"/>
        <c:axId val="-1322431424"/>
      </c:barChart>
      <c:lineChart>
        <c:grouping val="stacked"/>
        <c:varyColors val="0"/>
        <c:ser>
          <c:idx val="1"/>
          <c:order val="1"/>
          <c:tx>
            <c:strRef>
              <c:f>'qyr-2022'!$B$3</c:f>
              <c:strCache>
                <c:ptCount val="1"/>
                <c:pt idx="0">
                  <c:v>Growth Rate</c:v>
                </c:pt>
              </c:strCache>
            </c:strRef>
          </c:tx>
          <c:spPr>
            <a:ln w="25400">
              <a:solidFill>
                <a:srgbClr val="FFC000"/>
              </a:solidFill>
            </a:ln>
          </c:spPr>
          <c:marker>
            <c:symbol val="circle"/>
            <c:size val="26"/>
            <c:spPr>
              <a:solidFill>
                <a:schemeClr val="bg1">
                  <a:lumMod val="50000"/>
                </a:schemeClr>
              </a:solidFill>
              <a:ln>
                <a:solidFill>
                  <a:schemeClr val="bg1"/>
                </a:solidFill>
              </a:ln>
            </c:spPr>
          </c:marker>
          <c:dLbls>
            <c:numFmt formatCode="\x\x\%" sourceLinked="0"/>
            <c:spPr>
              <a:noFill/>
              <a:ln>
                <a:noFill/>
              </a:ln>
              <a:effectLst/>
            </c:spPr>
            <c:txPr>
              <a:bodyPr wrap="square" lIns="38100" tIns="19050" rIns="38100" bIns="19050" anchor="ctr">
                <a:spAutoFit/>
              </a:bodyPr>
              <a:lstStyle/>
              <a:p>
                <a:pPr>
                  <a:defRPr>
                    <a:solidFill>
                      <a:schemeClr val="bg1">
                        <a:lumMod val="95000"/>
                      </a:schemeClr>
                    </a:solidFill>
                    <a:latin typeface="Helvetica" panose="020B0604020202020204" pitchFamily="34" charset="0"/>
                    <a:cs typeface="Helvetica" panose="020B0604020202020204" pitchFamily="34" charset="0"/>
                  </a:defRPr>
                </a:pPr>
                <a:endParaRPr lang="zh-CN"/>
              </a:p>
            </c:txPr>
            <c:dLblPos val="ctr"/>
            <c:showLegendKey val="0"/>
            <c:showVal val="1"/>
            <c:showCatName val="0"/>
            <c:showSerName val="0"/>
            <c:showPercent val="0"/>
            <c:showBubbleSize val="0"/>
            <c:showLeaderLines val="0"/>
            <c:extLst>
              <c:ext xmlns:c15="http://schemas.microsoft.com/office/drawing/2012/chart" uri="{CE6537A1-D6FC-4f65-9D91-7224C49458BB}">
                <c15:showLeaderLines val="1"/>
              </c:ext>
            </c:extLst>
          </c:dLbls>
          <c:cat>
            <c:numRef>
              <c:f>'qyr-2022'!$E$1:$P$1</c:f>
              <c:numCache>
                <c:formatCode>General</c:formatCode>
                <c:ptCount val="12"/>
                <c:pt idx="0">
                  <c:v>2019</c:v>
                </c:pt>
                <c:pt idx="1">
                  <c:v>2020</c:v>
                </c:pt>
                <c:pt idx="2">
                  <c:v>2021</c:v>
                </c:pt>
                <c:pt idx="3">
                  <c:v>2022</c:v>
                </c:pt>
                <c:pt idx="4">
                  <c:v>2023</c:v>
                </c:pt>
                <c:pt idx="5">
                  <c:v>2024</c:v>
                </c:pt>
                <c:pt idx="6">
                  <c:v>2025</c:v>
                </c:pt>
                <c:pt idx="7">
                  <c:v>2026</c:v>
                </c:pt>
                <c:pt idx="8">
                  <c:v>2027</c:v>
                </c:pt>
                <c:pt idx="9">
                  <c:v>2028</c:v>
                </c:pt>
                <c:pt idx="10">
                  <c:v>2029</c:v>
                </c:pt>
                <c:pt idx="11">
                  <c:v>2030</c:v>
                </c:pt>
              </c:numCache>
            </c:numRef>
          </c:cat>
          <c:val>
            <c:numRef>
              <c:f>'qyr-2022'!$E$3:$P$3</c:f>
              <c:numCache>
                <c:formatCode>0.00%</c:formatCode>
                <c:ptCount val="12"/>
                <c:pt idx="0">
                  <c:v>-0.037761601455868932</c:v>
                </c:pt>
                <c:pt idx="1">
                  <c:v>-0.096453900709219886</c:v>
                </c:pt>
                <c:pt idx="2">
                  <c:v>0.22867608581894294</c:v>
                </c:pt>
                <c:pt idx="3">
                  <c:v>0.075383304940374929</c:v>
                </c:pt>
                <c:pt idx="4">
                  <c:v>-0.045544554455445585</c:v>
                </c:pt>
                <c:pt idx="5">
                  <c:v>0.020746887966804906</c:v>
                </c:pt>
                <c:pt idx="6">
                  <c:v>0.10569105691056913</c:v>
                </c:pt>
                <c:pt idx="7">
                  <c:v>0.072794117647058787</c:v>
                </c:pt>
                <c:pt idx="8">
                  <c:v>0.015421521590130327</c:v>
                </c:pt>
                <c:pt idx="9">
                  <c:v>0.061096726290921444</c:v>
                </c:pt>
                <c:pt idx="10">
                  <c:v>0.0533</c:v>
                </c:pt>
                <c:pt idx="11">
                  <c:v>0.051</c:v>
                </c:pt>
              </c:numCache>
            </c:numRef>
          </c:val>
          <c:smooth val="0"/>
          <c:extLst>
            <c:ext xmlns:c16="http://schemas.microsoft.com/office/drawing/2014/chart" uri="{C3380CC4-5D6E-409C-BE32-E72D297353CC}">
              <c16:uniqueId val="{00000002-FBCE-40AD-9E06-CC06C39999D4}"/>
            </c:ext>
          </c:extLst>
        </c:ser>
        <c:dLbls>
          <c:showLegendKey val="0"/>
          <c:showVal val="0"/>
          <c:showCatName val="0"/>
          <c:showSerName val="0"/>
          <c:showPercent val="0"/>
          <c:showBubbleSize val="0"/>
        </c:dLbls>
        <c:marker val="1"/>
        <c:smooth val="0"/>
        <c:axId val="-1322429792"/>
        <c:axId val="-1322406944"/>
      </c:lineChart>
      <c:catAx>
        <c:axId val="-1322419456"/>
        <c:scaling>
          <c:orientation val="minMax"/>
        </c:scaling>
        <c:delete val="0"/>
        <c:axPos val="b"/>
        <c:numFmt formatCode="General" sourceLinked="1"/>
        <c:majorTickMark val="none"/>
        <c:minorTickMark val="none"/>
        <c:tickLblPos val="nextTo"/>
        <c:txPr>
          <a:bodyPr/>
          <a:lstStyle/>
          <a:p>
            <a:pPr>
              <a:defRPr sz="1000">
                <a:latin typeface="Helvetica" panose="020B0604020202020204" pitchFamily="34" charset="0"/>
                <a:cs typeface="Helvetica" panose="020B0604020202020204" pitchFamily="34" charset="0"/>
              </a:defRPr>
            </a:pPr>
            <a:endParaRPr lang="zh-CN"/>
          </a:p>
        </c:txPr>
        <c:crossAx val="-1322431424"/>
        <c:crosses val="autoZero"/>
        <c:auto val="1"/>
        <c:lblAlgn val="ctr"/>
        <c:lblOffset val="100"/>
        <c:noMultiLvlLbl val="0"/>
      </c:catAx>
      <c:valAx>
        <c:axId val="-1322431424"/>
        <c:scaling>
          <c:orientation val="minMax"/>
        </c:scaling>
        <c:delete val="0"/>
        <c:axPos val="l"/>
        <c:majorGridlines>
          <c:spPr>
            <a:ln>
              <a:noFill/>
            </a:ln>
          </c:spPr>
        </c:majorGridlines>
        <c:numFmt formatCode="General" sourceLinked="1"/>
        <c:majorTickMark val="none"/>
        <c:minorTickMark val="none"/>
        <c:tickLblPos val="none"/>
        <c:spPr>
          <a:ln>
            <a:noFill/>
          </a:ln>
        </c:spPr>
        <c:crossAx val="-1322419456"/>
        <c:crosses val="autoZero"/>
        <c:crossBetween val="between"/>
      </c:valAx>
      <c:valAx>
        <c:axId val="-1322406944"/>
        <c:scaling>
          <c:orientation val="minMax"/>
          <c:max val="0.45"/>
        </c:scaling>
        <c:delete val="0"/>
        <c:axPos val="r"/>
        <c:numFmt formatCode="0%" sourceLinked="0"/>
        <c:majorTickMark val="out"/>
        <c:minorTickMark val="none"/>
        <c:tickLblPos val="none"/>
        <c:spPr>
          <a:ln>
            <a:noFill/>
          </a:ln>
        </c:spPr>
        <c:crossAx val="-1322429792"/>
        <c:crosses val="max"/>
        <c:crossBetween val="between"/>
      </c:valAx>
      <c:catAx>
        <c:axId val="-1322429792"/>
        <c:scaling>
          <c:orientation val="minMax"/>
        </c:scaling>
        <c:delete val="1"/>
        <c:axPos val="b"/>
        <c:numFmt formatCode="General" sourceLinked="1"/>
        <c:majorTickMark val="out"/>
        <c:minorTickMark val="none"/>
        <c:tickLblPos val="nextTo"/>
        <c:crossAx val="-1322406944"/>
        <c:crosses val="autoZero"/>
        <c:auto val="1"/>
        <c:lblAlgn val="ctr"/>
        <c:lblOffset val="100"/>
        <c:noMultiLvlLbl val="0"/>
      </c:catAx>
      <c:spPr>
        <a:ln>
          <a:noFill/>
        </a:ln>
      </c:spPr>
    </c:plotArea>
    <c:plotVisOnly val="1"/>
    <c:dispBlanksAs val="gap"/>
    <c:showDLblsOverMax val="0"/>
  </c:chart>
  <c:spPr>
    <a:ln>
      <a:noFill/>
    </a:ln>
  </c:spPr>
  <c:externalData r:id="rId1">
    <c:autoUpdate val="0"/>
  </c:externalData>
  <c:userShapes r:id="rId2"/>
</c:chartSpace>
</file>

<file path=word/charts/chart14.xml><?xml version="1.0" encoding="utf-8"?>
<c:chartSpace xmlns:c="http://schemas.openxmlformats.org/drawingml/2006/chart" xmlns:a="http://schemas.openxmlformats.org/drawingml/2006/main" xmlns:r="http://schemas.openxmlformats.org/officeDocument/2006/relationships">
  <c:date1904 val="0"/>
  <c:lang val="zh-CN"/>
  <c:roundedCorners val="0"/>
  <mc:AlternateContent xmlns:mc="http://schemas.openxmlformats.org/markup-compatibility/2006">
    <mc:Choice xmlns:c14="http://schemas.microsoft.com/office/drawing/2007/8/2/chart" Requires="c14">
      <c14:style val="112"/>
    </mc:Choice>
    <mc:Fallback>
      <c:style val="12"/>
    </mc:Fallback>
  </mc:AlternateContent>
  <c:chart>
    <c:autoTitleDeleted val="1"/>
    <c:plotArea>
      <c:layout>
        <c:manualLayout>
          <c:layoutTarget val="inner"/>
          <c:xMode val="edge"/>
          <c:yMode val="edge"/>
          <c:x val="0.012659003831417624"/>
          <c:y val="0.04352259075059204"/>
          <c:w val="0.98085859662884567"/>
          <c:h val="0.84752408783234812"/>
        </c:manualLayout>
      </c:layout>
      <c:barChart>
        <c:barDir val="col"/>
        <c:grouping val="clustered"/>
        <c:varyColors val="0"/>
        <c:ser>
          <c:idx val="0"/>
          <c:order val="0"/>
          <c:tx>
            <c:strRef>
              <c:f>'qyr-2022'!$B$2</c:f>
              <c:strCache>
                <c:ptCount val="1"/>
                <c:pt idx="0">
                  <c:v>Capacity</c:v>
                </c:pt>
              </c:strCache>
            </c:strRef>
          </c:tx>
          <c:spPr>
            <a:solidFill>
              <a:schemeClr val="accent1">
                <a:lumMod val="50000"/>
              </a:schemeClr>
            </a:solidFill>
            <a:ln>
              <a:noFill/>
            </a:ln>
            <a:effectLst>
              <a:outerShdw blurRad="40000" dist="20000" dir="5400000" sx="100000" sy="100000" kx="0" ky="0" algn="b" rotWithShape="0">
                <a:schemeClr val="tx2">
                  <a:lumMod val="60000"/>
                  <a:lumOff val="40000"/>
                  <a:alpha val="38000"/>
                </a:schemeClr>
              </a:outerShdw>
            </a:effectLst>
          </c:spPr>
          <c:invertIfNegative val="0"/>
          <c:dLbls>
            <c:numFmt formatCode="\x\x" sourceLinked="0"/>
            <c:spPr>
              <a:noFill/>
              <a:ln>
                <a:noFill/>
              </a:ln>
              <a:effectLst>
                <a:outerShdw blurRad="50800" dist="50800" dir="5400000" sx="7000" sy="7000" kx="0" ky="0" algn="ctr" rotWithShape="0">
                  <a:srgbClr val="000000">
                    <a:alpha val="43137"/>
                  </a:srgbClr>
                </a:outerShdw>
              </a:effectLst>
            </c:spPr>
            <c:txPr>
              <a:bodyPr wrap="square" lIns="38100" tIns="19050" rIns="38100" bIns="19050" anchor="ctr" anchorCtr="0">
                <a:spAutoFit/>
              </a:bodyPr>
              <a:lstStyle/>
              <a:p>
                <a:pPr>
                  <a:defRPr sz="1200" cap="all" baseline="0">
                    <a:solidFill>
                      <a:schemeClr val="tx1"/>
                    </a:solidFill>
                    <a:latin typeface="Helvetica" panose="020B0604020202020204" pitchFamily="34" charset="0"/>
                    <a:ea typeface="Cambria" panose="02040503050406030204" pitchFamily="18" charset="0"/>
                    <a:cs typeface="Helvetica" panose="020B0604020202020204" pitchFamily="34" charset="0"/>
                  </a:defRPr>
                </a:pPr>
                <a:endParaRPr lang="zh-CN"/>
              </a:p>
            </c:txPr>
            <c:dLblPos val="outEnd"/>
            <c:showLegendKey val="0"/>
            <c:showVal val="1"/>
            <c:showCatName val="0"/>
            <c:showSerName val="0"/>
            <c:showPercent val="0"/>
            <c:showBubbleSize val="0"/>
            <c:showLeaderLines val="0"/>
            <c:extLst>
              <c:ext xmlns:c15="http://schemas.microsoft.com/office/drawing/2012/chart" uri="{CE6537A1-D6FC-4f65-9D91-7224C49458BB}">
                <c15:showLeaderLines val="0"/>
              </c:ext>
            </c:extLst>
          </c:dLbls>
          <c:cat>
            <c:numRef>
              <c:f>'qyr-2022'!$E$1:$P$1</c:f>
              <c:numCache>
                <c:formatCode>General</c:formatCode>
                <c:ptCount val="12"/>
                <c:pt idx="0">
                  <c:v>2019</c:v>
                </c:pt>
                <c:pt idx="1">
                  <c:v>2020</c:v>
                </c:pt>
                <c:pt idx="2">
                  <c:v>2021</c:v>
                </c:pt>
                <c:pt idx="3">
                  <c:v>2022</c:v>
                </c:pt>
                <c:pt idx="4">
                  <c:v>2023</c:v>
                </c:pt>
                <c:pt idx="5">
                  <c:v>2024</c:v>
                </c:pt>
                <c:pt idx="6">
                  <c:v>2025</c:v>
                </c:pt>
                <c:pt idx="7">
                  <c:v>2026</c:v>
                </c:pt>
                <c:pt idx="8">
                  <c:v>2027</c:v>
                </c:pt>
                <c:pt idx="9">
                  <c:v>2028</c:v>
                </c:pt>
                <c:pt idx="10">
                  <c:v>2029</c:v>
                </c:pt>
                <c:pt idx="11">
                  <c:v>2030</c:v>
                </c:pt>
              </c:numCache>
            </c:numRef>
          </c:cat>
          <c:val>
            <c:numRef>
              <c:f>'qyr-2022'!$E$2:$P$2</c:f>
              <c:numCache>
                <c:formatCode>General</c:formatCode>
                <c:ptCount val="12"/>
                <c:pt idx="0">
                  <c:v>423</c:v>
                </c:pt>
                <c:pt idx="1">
                  <c:v>382.2</c:v>
                </c:pt>
                <c:pt idx="2">
                  <c:v>469.59999999999997</c:v>
                </c:pt>
                <c:pt idx="3">
                  <c:v>505</c:v>
                </c:pt>
                <c:pt idx="4">
                  <c:v>482</c:v>
                </c:pt>
                <c:pt idx="5">
                  <c:v>492</c:v>
                </c:pt>
                <c:pt idx="6">
                  <c:v>544</c:v>
                </c:pt>
                <c:pt idx="7">
                  <c:v>583.6</c:v>
                </c:pt>
                <c:pt idx="8">
                  <c:v>592.6</c:v>
                </c:pt>
                <c:pt idx="9" formatCode="0.0">
                  <c:v>628.80592</c:v>
                </c:pt>
                <c:pt idx="10" formatCode="0.0">
                  <c:v>721.00791023200009</c:v>
                </c:pt>
                <c:pt idx="11" formatCode="0.0">
                  <c:v>777.302376935688</c:v>
                </c:pt>
              </c:numCache>
            </c:numRef>
          </c:val>
          <c:extLst>
            <c:ext xmlns:c16="http://schemas.microsoft.com/office/drawing/2014/chart" uri="{C3380CC4-5D6E-409C-BE32-E72D297353CC}">
              <c16:uniqueId val="{00000000-E817-4CBD-BA95-266E255CA5DE}"/>
            </c:ext>
          </c:extLst>
        </c:ser>
        <c:dLbls>
          <c:showLegendKey val="0"/>
          <c:showVal val="0"/>
          <c:showCatName val="0"/>
          <c:showSerName val="0"/>
          <c:showPercent val="0"/>
          <c:showBubbleSize val="0"/>
        </c:dLbls>
        <c:gapWidth val="30"/>
        <c:axId val="-1322419456"/>
        <c:axId val="-1322431424"/>
      </c:barChart>
      <c:lineChart>
        <c:grouping val="stacked"/>
        <c:varyColors val="0"/>
        <c:ser>
          <c:idx val="1"/>
          <c:order val="1"/>
          <c:tx>
            <c:strRef>
              <c:f>'qyr-2022'!$B$3</c:f>
              <c:strCache>
                <c:ptCount val="1"/>
                <c:pt idx="0">
                  <c:v>Growth Rate</c:v>
                </c:pt>
              </c:strCache>
            </c:strRef>
          </c:tx>
          <c:spPr>
            <a:ln w="25400">
              <a:solidFill>
                <a:srgbClr val="FFC000"/>
              </a:solidFill>
            </a:ln>
          </c:spPr>
          <c:marker>
            <c:symbol val="circle"/>
            <c:size val="26"/>
            <c:spPr>
              <a:solidFill>
                <a:schemeClr val="bg1">
                  <a:lumMod val="50000"/>
                </a:schemeClr>
              </a:solidFill>
              <a:ln>
                <a:solidFill>
                  <a:schemeClr val="bg1"/>
                </a:solidFill>
              </a:ln>
            </c:spPr>
          </c:marker>
          <c:dLbls>
            <c:numFmt formatCode="\x\x\%" sourceLinked="0"/>
            <c:spPr>
              <a:noFill/>
              <a:ln>
                <a:noFill/>
              </a:ln>
              <a:effectLst/>
            </c:spPr>
            <c:txPr>
              <a:bodyPr wrap="square" lIns="38100" tIns="19050" rIns="38100" bIns="19050" anchor="ctr">
                <a:spAutoFit/>
              </a:bodyPr>
              <a:lstStyle/>
              <a:p>
                <a:pPr>
                  <a:defRPr>
                    <a:solidFill>
                      <a:schemeClr val="bg1">
                        <a:lumMod val="95000"/>
                      </a:schemeClr>
                    </a:solidFill>
                    <a:latin typeface="Helvetica" panose="020B0604020202020204" pitchFamily="34" charset="0"/>
                    <a:cs typeface="Helvetica" panose="020B0604020202020204" pitchFamily="34" charset="0"/>
                  </a:defRPr>
                </a:pPr>
                <a:endParaRPr lang="zh-CN"/>
              </a:p>
            </c:txPr>
            <c:dLblPos val="ctr"/>
            <c:showLegendKey val="0"/>
            <c:showVal val="1"/>
            <c:showCatName val="0"/>
            <c:showSerName val="0"/>
            <c:showPercent val="0"/>
            <c:showBubbleSize val="0"/>
            <c:showLeaderLines val="0"/>
            <c:extLst>
              <c:ext xmlns:c15="http://schemas.microsoft.com/office/drawing/2012/chart" uri="{CE6537A1-D6FC-4f65-9D91-7224C49458BB}">
                <c15:showLeaderLines val="1"/>
              </c:ext>
            </c:extLst>
          </c:dLbls>
          <c:cat>
            <c:numRef>
              <c:f>'qyr-2022'!$E$1:$P$1</c:f>
              <c:numCache>
                <c:formatCode>General</c:formatCode>
                <c:ptCount val="12"/>
                <c:pt idx="0">
                  <c:v>2019</c:v>
                </c:pt>
                <c:pt idx="1">
                  <c:v>2020</c:v>
                </c:pt>
                <c:pt idx="2">
                  <c:v>2021</c:v>
                </c:pt>
                <c:pt idx="3">
                  <c:v>2022</c:v>
                </c:pt>
                <c:pt idx="4">
                  <c:v>2023</c:v>
                </c:pt>
                <c:pt idx="5">
                  <c:v>2024</c:v>
                </c:pt>
                <c:pt idx="6">
                  <c:v>2025</c:v>
                </c:pt>
                <c:pt idx="7">
                  <c:v>2026</c:v>
                </c:pt>
                <c:pt idx="8">
                  <c:v>2027</c:v>
                </c:pt>
                <c:pt idx="9">
                  <c:v>2028</c:v>
                </c:pt>
                <c:pt idx="10">
                  <c:v>2029</c:v>
                </c:pt>
                <c:pt idx="11">
                  <c:v>2030</c:v>
                </c:pt>
              </c:numCache>
            </c:numRef>
          </c:cat>
          <c:val>
            <c:numRef>
              <c:f>'qyr-2022'!$E$3:$P$3</c:f>
              <c:numCache>
                <c:formatCode>0.00%</c:formatCode>
                <c:ptCount val="12"/>
                <c:pt idx="0">
                  <c:v>-0.037761601455868932</c:v>
                </c:pt>
                <c:pt idx="1">
                  <c:v>-0.096453900709219886</c:v>
                </c:pt>
                <c:pt idx="2">
                  <c:v>0.22867608581894294</c:v>
                </c:pt>
                <c:pt idx="3">
                  <c:v>0.075383304940374929</c:v>
                </c:pt>
                <c:pt idx="4">
                  <c:v>-0.045544554455445585</c:v>
                </c:pt>
                <c:pt idx="5">
                  <c:v>0.020746887966804906</c:v>
                </c:pt>
                <c:pt idx="6">
                  <c:v>0.10569105691056913</c:v>
                </c:pt>
                <c:pt idx="7">
                  <c:v>0.072794117647058787</c:v>
                </c:pt>
                <c:pt idx="8">
                  <c:v>0.015421521590130327</c:v>
                </c:pt>
                <c:pt idx="9">
                  <c:v>0.061096726290921444</c:v>
                </c:pt>
                <c:pt idx="10">
                  <c:v>0.0533</c:v>
                </c:pt>
                <c:pt idx="11">
                  <c:v>0.051</c:v>
                </c:pt>
              </c:numCache>
            </c:numRef>
          </c:val>
          <c:smooth val="0"/>
          <c:extLst>
            <c:ext xmlns:c16="http://schemas.microsoft.com/office/drawing/2014/chart" uri="{C3380CC4-5D6E-409C-BE32-E72D297353CC}">
              <c16:uniqueId val="{00000002-E817-4CBD-BA95-266E255CA5DE}"/>
            </c:ext>
          </c:extLst>
        </c:ser>
        <c:dLbls>
          <c:showLegendKey val="0"/>
          <c:showVal val="0"/>
          <c:showCatName val="0"/>
          <c:showSerName val="0"/>
          <c:showPercent val="0"/>
          <c:showBubbleSize val="0"/>
        </c:dLbls>
        <c:marker val="1"/>
        <c:smooth val="0"/>
        <c:axId val="-1322429792"/>
        <c:axId val="-1322406944"/>
      </c:lineChart>
      <c:catAx>
        <c:axId val="-1322419456"/>
        <c:scaling>
          <c:orientation val="minMax"/>
        </c:scaling>
        <c:delete val="0"/>
        <c:axPos val="b"/>
        <c:numFmt formatCode="General" sourceLinked="1"/>
        <c:majorTickMark val="none"/>
        <c:minorTickMark val="none"/>
        <c:tickLblPos val="nextTo"/>
        <c:txPr>
          <a:bodyPr/>
          <a:lstStyle/>
          <a:p>
            <a:pPr>
              <a:defRPr sz="1000">
                <a:latin typeface="Helvetica" panose="020B0604020202020204" pitchFamily="34" charset="0"/>
                <a:cs typeface="Helvetica" panose="020B0604020202020204" pitchFamily="34" charset="0"/>
              </a:defRPr>
            </a:pPr>
            <a:endParaRPr lang="zh-CN"/>
          </a:p>
        </c:txPr>
        <c:crossAx val="-1322431424"/>
        <c:crosses val="autoZero"/>
        <c:auto val="1"/>
        <c:lblAlgn val="ctr"/>
        <c:lblOffset val="100"/>
        <c:noMultiLvlLbl val="0"/>
      </c:catAx>
      <c:valAx>
        <c:axId val="-1322431424"/>
        <c:scaling>
          <c:orientation val="minMax"/>
        </c:scaling>
        <c:delete val="0"/>
        <c:axPos val="l"/>
        <c:majorGridlines>
          <c:spPr>
            <a:ln>
              <a:noFill/>
            </a:ln>
          </c:spPr>
        </c:majorGridlines>
        <c:numFmt formatCode="General" sourceLinked="1"/>
        <c:majorTickMark val="none"/>
        <c:minorTickMark val="none"/>
        <c:tickLblPos val="none"/>
        <c:spPr>
          <a:ln>
            <a:noFill/>
          </a:ln>
        </c:spPr>
        <c:crossAx val="-1322419456"/>
        <c:crosses val="autoZero"/>
        <c:crossBetween val="between"/>
      </c:valAx>
      <c:valAx>
        <c:axId val="-1322406944"/>
        <c:scaling>
          <c:orientation val="minMax"/>
          <c:max val="0.45"/>
        </c:scaling>
        <c:delete val="0"/>
        <c:axPos val="r"/>
        <c:numFmt formatCode="0%" sourceLinked="0"/>
        <c:majorTickMark val="out"/>
        <c:minorTickMark val="none"/>
        <c:tickLblPos val="none"/>
        <c:spPr>
          <a:ln>
            <a:noFill/>
          </a:ln>
        </c:spPr>
        <c:crossAx val="-1322429792"/>
        <c:crosses val="max"/>
        <c:crossBetween val="between"/>
      </c:valAx>
      <c:catAx>
        <c:axId val="-1322429792"/>
        <c:scaling>
          <c:orientation val="minMax"/>
        </c:scaling>
        <c:delete val="1"/>
        <c:axPos val="b"/>
        <c:numFmt formatCode="General" sourceLinked="1"/>
        <c:majorTickMark val="out"/>
        <c:minorTickMark val="none"/>
        <c:tickLblPos val="nextTo"/>
        <c:crossAx val="-1322406944"/>
        <c:crosses val="autoZero"/>
        <c:auto val="1"/>
        <c:lblAlgn val="ctr"/>
        <c:lblOffset val="100"/>
        <c:noMultiLvlLbl val="0"/>
      </c:catAx>
      <c:spPr>
        <a:ln>
          <a:noFill/>
        </a:ln>
      </c:spPr>
    </c:plotArea>
    <c:plotVisOnly val="1"/>
    <c:dispBlanksAs val="gap"/>
    <c:showDLblsOverMax val="0"/>
  </c:chart>
  <c:spPr>
    <a:ln>
      <a:noFill/>
    </a:ln>
  </c:spPr>
  <c:externalData r:id="rId1">
    <c:autoUpdate val="0"/>
  </c:externalData>
  <c:userShapes r:id="rId2"/>
</c:chartSpace>
</file>

<file path=word/charts/chart15.xml><?xml version="1.0" encoding="utf-8"?>
<c:chartSpace xmlns:c="http://schemas.openxmlformats.org/drawingml/2006/chart" xmlns:a="http://schemas.openxmlformats.org/drawingml/2006/main" xmlns:r="http://schemas.openxmlformats.org/officeDocument/2006/relationships">
  <c:date1904 val="0"/>
  <c:lang val="zh-CN"/>
  <c:roundedCorners val="0"/>
  <mc:AlternateContent xmlns:mc="http://schemas.openxmlformats.org/markup-compatibility/2006">
    <mc:Choice xmlns:c14="http://schemas.microsoft.com/office/drawing/2007/8/2/chart" Requires="c14">
      <c14:style val="112"/>
    </mc:Choice>
    <mc:Fallback>
      <c:style val="12"/>
    </mc:Fallback>
  </mc:AlternateContent>
  <c:chart>
    <c:autoTitleDeleted val="1"/>
    <c:plotArea>
      <c:layout>
        <c:manualLayout>
          <c:layoutTarget val="inner"/>
          <c:xMode val="edge"/>
          <c:yMode val="edge"/>
          <c:x val="0.012659003831417624"/>
          <c:y val="0.04352259075059204"/>
          <c:w val="0.98085859662884567"/>
          <c:h val="0.84752408783234812"/>
        </c:manualLayout>
      </c:layout>
      <c:barChart>
        <c:barDir val="col"/>
        <c:grouping val="clustered"/>
        <c:varyColors val="0"/>
        <c:ser>
          <c:idx val="0"/>
          <c:order val="0"/>
          <c:tx>
            <c:strRef>
              <c:f>'qyr-2022'!$B$2</c:f>
              <c:strCache>
                <c:ptCount val="1"/>
                <c:pt idx="0">
                  <c:v>Capacity</c:v>
                </c:pt>
              </c:strCache>
            </c:strRef>
          </c:tx>
          <c:spPr>
            <a:solidFill>
              <a:schemeClr val="accent1">
                <a:lumMod val="50000"/>
              </a:schemeClr>
            </a:solidFill>
            <a:ln>
              <a:noFill/>
            </a:ln>
            <a:effectLst>
              <a:outerShdw blurRad="40000" dist="20000" dir="5400000" sx="100000" sy="100000" kx="0" ky="0" algn="b" rotWithShape="0">
                <a:schemeClr val="tx2">
                  <a:lumMod val="60000"/>
                  <a:lumOff val="40000"/>
                  <a:alpha val="38000"/>
                </a:schemeClr>
              </a:outerShdw>
            </a:effectLst>
          </c:spPr>
          <c:invertIfNegative val="0"/>
          <c:dLbls>
            <c:numFmt formatCode="\x\x" sourceLinked="0"/>
            <c:spPr>
              <a:noFill/>
              <a:ln>
                <a:noFill/>
              </a:ln>
              <a:effectLst>
                <a:outerShdw blurRad="50800" dist="50800" dir="5400000" sx="7000" sy="7000" kx="0" ky="0" algn="ctr" rotWithShape="0">
                  <a:srgbClr val="000000">
                    <a:alpha val="43137"/>
                  </a:srgbClr>
                </a:outerShdw>
              </a:effectLst>
            </c:spPr>
            <c:txPr>
              <a:bodyPr wrap="square" lIns="38100" tIns="19050" rIns="38100" bIns="19050" anchor="ctr" anchorCtr="0">
                <a:spAutoFit/>
              </a:bodyPr>
              <a:lstStyle/>
              <a:p>
                <a:pPr>
                  <a:defRPr sz="1200" cap="all" baseline="0">
                    <a:solidFill>
                      <a:schemeClr val="tx1"/>
                    </a:solidFill>
                    <a:latin typeface="Helvetica" panose="020B0604020202020204" pitchFamily="34" charset="0"/>
                    <a:ea typeface="Cambria" panose="02040503050406030204" pitchFamily="18" charset="0"/>
                    <a:cs typeface="Helvetica" panose="020B0604020202020204" pitchFamily="34" charset="0"/>
                  </a:defRPr>
                </a:pPr>
                <a:endParaRPr lang="zh-CN"/>
              </a:p>
            </c:txPr>
            <c:dLblPos val="outEnd"/>
            <c:showLegendKey val="0"/>
            <c:showVal val="1"/>
            <c:showCatName val="0"/>
            <c:showSerName val="0"/>
            <c:showPercent val="0"/>
            <c:showBubbleSize val="0"/>
            <c:showLeaderLines val="0"/>
            <c:extLst>
              <c:ext xmlns:c15="http://schemas.microsoft.com/office/drawing/2012/chart" uri="{CE6537A1-D6FC-4f65-9D91-7224C49458BB}">
                <c15:showLeaderLines val="0"/>
              </c:ext>
            </c:extLst>
          </c:dLbls>
          <c:cat>
            <c:numRef>
              <c:f>'qyr-2022'!$E$1:$P$1</c:f>
              <c:numCache>
                <c:formatCode>General</c:formatCode>
                <c:ptCount val="12"/>
                <c:pt idx="0">
                  <c:v>2019</c:v>
                </c:pt>
                <c:pt idx="1">
                  <c:v>2020</c:v>
                </c:pt>
                <c:pt idx="2">
                  <c:v>2021</c:v>
                </c:pt>
                <c:pt idx="3">
                  <c:v>2022</c:v>
                </c:pt>
                <c:pt idx="4">
                  <c:v>2023</c:v>
                </c:pt>
                <c:pt idx="5">
                  <c:v>2024</c:v>
                </c:pt>
                <c:pt idx="6">
                  <c:v>2025</c:v>
                </c:pt>
                <c:pt idx="7">
                  <c:v>2026</c:v>
                </c:pt>
                <c:pt idx="8">
                  <c:v>2027</c:v>
                </c:pt>
                <c:pt idx="9">
                  <c:v>2028</c:v>
                </c:pt>
                <c:pt idx="10">
                  <c:v>2029</c:v>
                </c:pt>
                <c:pt idx="11">
                  <c:v>2030</c:v>
                </c:pt>
              </c:numCache>
            </c:numRef>
          </c:cat>
          <c:val>
            <c:numRef>
              <c:f>'qyr-2022'!$E$2:$P$2</c:f>
              <c:numCache>
                <c:formatCode>General</c:formatCode>
                <c:ptCount val="12"/>
                <c:pt idx="0">
                  <c:v>423</c:v>
                </c:pt>
                <c:pt idx="1">
                  <c:v>382.2</c:v>
                </c:pt>
                <c:pt idx="2">
                  <c:v>469.59999999999997</c:v>
                </c:pt>
                <c:pt idx="3">
                  <c:v>505</c:v>
                </c:pt>
                <c:pt idx="4">
                  <c:v>482</c:v>
                </c:pt>
                <c:pt idx="5">
                  <c:v>492</c:v>
                </c:pt>
                <c:pt idx="6">
                  <c:v>544</c:v>
                </c:pt>
                <c:pt idx="7">
                  <c:v>583.6</c:v>
                </c:pt>
                <c:pt idx="8">
                  <c:v>592.6</c:v>
                </c:pt>
                <c:pt idx="9" formatCode="0.0">
                  <c:v>628.80592</c:v>
                </c:pt>
                <c:pt idx="10" formatCode="0.0">
                  <c:v>721.00791023200009</c:v>
                </c:pt>
                <c:pt idx="11" formatCode="0.0">
                  <c:v>777.302376935688</c:v>
                </c:pt>
              </c:numCache>
            </c:numRef>
          </c:val>
          <c:extLst>
            <c:ext xmlns:c16="http://schemas.microsoft.com/office/drawing/2014/chart" uri="{C3380CC4-5D6E-409C-BE32-E72D297353CC}">
              <c16:uniqueId val="{00000000-3496-49BF-A5E8-515F262D4BFA}"/>
            </c:ext>
          </c:extLst>
        </c:ser>
        <c:dLbls>
          <c:showLegendKey val="0"/>
          <c:showVal val="0"/>
          <c:showCatName val="0"/>
          <c:showSerName val="0"/>
          <c:showPercent val="0"/>
          <c:showBubbleSize val="0"/>
        </c:dLbls>
        <c:gapWidth val="30"/>
        <c:axId val="-1322419456"/>
        <c:axId val="-1322431424"/>
      </c:barChart>
      <c:lineChart>
        <c:grouping val="stacked"/>
        <c:varyColors val="0"/>
        <c:ser>
          <c:idx val="1"/>
          <c:order val="1"/>
          <c:tx>
            <c:strRef>
              <c:f>'qyr-2022'!$B$3</c:f>
              <c:strCache>
                <c:ptCount val="1"/>
                <c:pt idx="0">
                  <c:v>Growth Rate</c:v>
                </c:pt>
              </c:strCache>
            </c:strRef>
          </c:tx>
          <c:spPr>
            <a:ln w="25400">
              <a:solidFill>
                <a:srgbClr val="FFC000"/>
              </a:solidFill>
            </a:ln>
          </c:spPr>
          <c:marker>
            <c:symbol val="circle"/>
            <c:size val="26"/>
            <c:spPr>
              <a:solidFill>
                <a:schemeClr val="bg1">
                  <a:lumMod val="50000"/>
                </a:schemeClr>
              </a:solidFill>
              <a:ln>
                <a:solidFill>
                  <a:schemeClr val="bg1"/>
                </a:solidFill>
              </a:ln>
            </c:spPr>
          </c:marker>
          <c:dLbls>
            <c:numFmt formatCode="\x\x\%" sourceLinked="0"/>
            <c:spPr>
              <a:noFill/>
              <a:ln>
                <a:noFill/>
              </a:ln>
              <a:effectLst/>
            </c:spPr>
            <c:txPr>
              <a:bodyPr wrap="square" lIns="38100" tIns="19050" rIns="38100" bIns="19050" anchor="ctr">
                <a:spAutoFit/>
              </a:bodyPr>
              <a:lstStyle/>
              <a:p>
                <a:pPr>
                  <a:defRPr>
                    <a:solidFill>
                      <a:schemeClr val="bg1">
                        <a:lumMod val="95000"/>
                      </a:schemeClr>
                    </a:solidFill>
                    <a:latin typeface="Helvetica" panose="020B0604020202020204" pitchFamily="34" charset="0"/>
                    <a:cs typeface="Helvetica" panose="020B0604020202020204" pitchFamily="34" charset="0"/>
                  </a:defRPr>
                </a:pPr>
                <a:endParaRPr lang="zh-CN"/>
              </a:p>
            </c:txPr>
            <c:dLblPos val="ctr"/>
            <c:showLegendKey val="0"/>
            <c:showVal val="1"/>
            <c:showCatName val="0"/>
            <c:showSerName val="0"/>
            <c:showPercent val="0"/>
            <c:showBubbleSize val="0"/>
            <c:showLeaderLines val="0"/>
            <c:extLst>
              <c:ext xmlns:c15="http://schemas.microsoft.com/office/drawing/2012/chart" uri="{CE6537A1-D6FC-4f65-9D91-7224C49458BB}">
                <c15:showLeaderLines val="1"/>
              </c:ext>
            </c:extLst>
          </c:dLbls>
          <c:cat>
            <c:numRef>
              <c:f>'qyr-2022'!$E$1:$P$1</c:f>
              <c:numCache>
                <c:formatCode>General</c:formatCode>
                <c:ptCount val="12"/>
                <c:pt idx="0">
                  <c:v>2019</c:v>
                </c:pt>
                <c:pt idx="1">
                  <c:v>2020</c:v>
                </c:pt>
                <c:pt idx="2">
                  <c:v>2021</c:v>
                </c:pt>
                <c:pt idx="3">
                  <c:v>2022</c:v>
                </c:pt>
                <c:pt idx="4">
                  <c:v>2023</c:v>
                </c:pt>
                <c:pt idx="5">
                  <c:v>2024</c:v>
                </c:pt>
                <c:pt idx="6">
                  <c:v>2025</c:v>
                </c:pt>
                <c:pt idx="7">
                  <c:v>2026</c:v>
                </c:pt>
                <c:pt idx="8">
                  <c:v>2027</c:v>
                </c:pt>
                <c:pt idx="9">
                  <c:v>2028</c:v>
                </c:pt>
                <c:pt idx="10">
                  <c:v>2029</c:v>
                </c:pt>
                <c:pt idx="11">
                  <c:v>2030</c:v>
                </c:pt>
              </c:numCache>
            </c:numRef>
          </c:cat>
          <c:val>
            <c:numRef>
              <c:f>'qyr-2022'!$E$3:$P$3</c:f>
              <c:numCache>
                <c:formatCode>0.00%</c:formatCode>
                <c:ptCount val="12"/>
                <c:pt idx="0">
                  <c:v>-0.037761601455868932</c:v>
                </c:pt>
                <c:pt idx="1">
                  <c:v>-0.096453900709219886</c:v>
                </c:pt>
                <c:pt idx="2">
                  <c:v>0.22867608581894294</c:v>
                </c:pt>
                <c:pt idx="3">
                  <c:v>0.075383304940374929</c:v>
                </c:pt>
                <c:pt idx="4">
                  <c:v>-0.045544554455445585</c:v>
                </c:pt>
                <c:pt idx="5">
                  <c:v>0.020746887966804906</c:v>
                </c:pt>
                <c:pt idx="6">
                  <c:v>0.10569105691056913</c:v>
                </c:pt>
                <c:pt idx="7">
                  <c:v>0.072794117647058787</c:v>
                </c:pt>
                <c:pt idx="8">
                  <c:v>0.015421521590130327</c:v>
                </c:pt>
                <c:pt idx="9">
                  <c:v>0.061096726290921444</c:v>
                </c:pt>
                <c:pt idx="10">
                  <c:v>0.0533</c:v>
                </c:pt>
                <c:pt idx="11">
                  <c:v>0.051</c:v>
                </c:pt>
              </c:numCache>
            </c:numRef>
          </c:val>
          <c:smooth val="0"/>
          <c:extLst>
            <c:ext xmlns:c16="http://schemas.microsoft.com/office/drawing/2014/chart" uri="{C3380CC4-5D6E-409C-BE32-E72D297353CC}">
              <c16:uniqueId val="{00000002-3496-49BF-A5E8-515F262D4BFA}"/>
            </c:ext>
          </c:extLst>
        </c:ser>
        <c:dLbls>
          <c:showLegendKey val="0"/>
          <c:showVal val="0"/>
          <c:showCatName val="0"/>
          <c:showSerName val="0"/>
          <c:showPercent val="0"/>
          <c:showBubbleSize val="0"/>
        </c:dLbls>
        <c:marker val="1"/>
        <c:smooth val="0"/>
        <c:axId val="-1322429792"/>
        <c:axId val="-1322406944"/>
      </c:lineChart>
      <c:catAx>
        <c:axId val="-1322419456"/>
        <c:scaling>
          <c:orientation val="minMax"/>
        </c:scaling>
        <c:delete val="0"/>
        <c:axPos val="b"/>
        <c:numFmt formatCode="General" sourceLinked="1"/>
        <c:majorTickMark val="none"/>
        <c:minorTickMark val="none"/>
        <c:tickLblPos val="nextTo"/>
        <c:txPr>
          <a:bodyPr/>
          <a:lstStyle/>
          <a:p>
            <a:pPr>
              <a:defRPr sz="1000">
                <a:latin typeface="Helvetica" panose="020B0604020202020204" pitchFamily="34" charset="0"/>
                <a:cs typeface="Helvetica" panose="020B0604020202020204" pitchFamily="34" charset="0"/>
              </a:defRPr>
            </a:pPr>
            <a:endParaRPr lang="zh-CN"/>
          </a:p>
        </c:txPr>
        <c:crossAx val="-1322431424"/>
        <c:crosses val="autoZero"/>
        <c:auto val="1"/>
        <c:lblAlgn val="ctr"/>
        <c:lblOffset val="100"/>
        <c:noMultiLvlLbl val="0"/>
      </c:catAx>
      <c:valAx>
        <c:axId val="-1322431424"/>
        <c:scaling>
          <c:orientation val="minMax"/>
        </c:scaling>
        <c:delete val="0"/>
        <c:axPos val="l"/>
        <c:majorGridlines>
          <c:spPr>
            <a:ln>
              <a:noFill/>
            </a:ln>
          </c:spPr>
        </c:majorGridlines>
        <c:numFmt formatCode="General" sourceLinked="1"/>
        <c:majorTickMark val="none"/>
        <c:minorTickMark val="none"/>
        <c:tickLblPos val="none"/>
        <c:spPr>
          <a:ln>
            <a:noFill/>
          </a:ln>
        </c:spPr>
        <c:crossAx val="-1322419456"/>
        <c:crosses val="autoZero"/>
        <c:crossBetween val="between"/>
      </c:valAx>
      <c:valAx>
        <c:axId val="-1322406944"/>
        <c:scaling>
          <c:orientation val="minMax"/>
          <c:max val="0.45"/>
        </c:scaling>
        <c:delete val="0"/>
        <c:axPos val="r"/>
        <c:numFmt formatCode="0%" sourceLinked="0"/>
        <c:majorTickMark val="out"/>
        <c:minorTickMark val="none"/>
        <c:tickLblPos val="none"/>
        <c:spPr>
          <a:ln>
            <a:noFill/>
          </a:ln>
        </c:spPr>
        <c:crossAx val="-1322429792"/>
        <c:crosses val="max"/>
        <c:crossBetween val="between"/>
      </c:valAx>
      <c:catAx>
        <c:axId val="-1322429792"/>
        <c:scaling>
          <c:orientation val="minMax"/>
        </c:scaling>
        <c:delete val="1"/>
        <c:axPos val="b"/>
        <c:numFmt formatCode="General" sourceLinked="1"/>
        <c:majorTickMark val="out"/>
        <c:minorTickMark val="none"/>
        <c:tickLblPos val="nextTo"/>
        <c:crossAx val="-1322406944"/>
        <c:crosses val="autoZero"/>
        <c:auto val="1"/>
        <c:lblAlgn val="ctr"/>
        <c:lblOffset val="100"/>
        <c:noMultiLvlLbl val="0"/>
      </c:catAx>
      <c:spPr>
        <a:ln>
          <a:noFill/>
        </a:ln>
      </c:spPr>
    </c:plotArea>
    <c:plotVisOnly val="1"/>
    <c:dispBlanksAs val="gap"/>
    <c:showDLblsOverMax val="0"/>
  </c:chart>
  <c:spPr>
    <a:ln>
      <a:noFill/>
    </a:ln>
  </c:spPr>
  <c:externalData r:id="rId1">
    <c:autoUpdate val="0"/>
  </c:externalData>
  <c:userShapes r:id="rId2"/>
</c:chartSpace>
</file>

<file path=word/charts/chart16.xml><?xml version="1.0" encoding="utf-8"?>
<c:chartSpace xmlns:c="http://schemas.openxmlformats.org/drawingml/2006/chart" xmlns:a="http://schemas.openxmlformats.org/drawingml/2006/main" xmlns:r="http://schemas.openxmlformats.org/officeDocument/2006/relationships">
  <c:date1904 val="0"/>
  <c:lang val="zh-CN"/>
  <c:roundedCorners val="0"/>
  <mc:AlternateContent xmlns:mc="http://schemas.openxmlformats.org/markup-compatibility/2006">
    <mc:Choice xmlns:c14="http://schemas.microsoft.com/office/drawing/2007/8/2/chart" Requires="c14">
      <c14:style val="112"/>
    </mc:Choice>
    <mc:Fallback>
      <c:style val="12"/>
    </mc:Fallback>
  </mc:AlternateContent>
  <c:chart>
    <c:autoTitleDeleted val="1"/>
    <c:plotArea>
      <c:layout>
        <c:manualLayout>
          <c:layoutTarget val="inner"/>
          <c:xMode val="edge"/>
          <c:yMode val="edge"/>
          <c:x val="0.012659003831417624"/>
          <c:y val="0.04352259075059204"/>
          <c:w val="0.98085859662884567"/>
          <c:h val="0.84752408783234812"/>
        </c:manualLayout>
      </c:layout>
      <c:barChart>
        <c:barDir val="col"/>
        <c:grouping val="clustered"/>
        <c:varyColors val="0"/>
        <c:ser>
          <c:idx val="0"/>
          <c:order val="0"/>
          <c:tx>
            <c:strRef>
              <c:f>'qyr-2022'!$B$2</c:f>
              <c:strCache>
                <c:ptCount val="1"/>
                <c:pt idx="0">
                  <c:v>Capacity</c:v>
                </c:pt>
              </c:strCache>
            </c:strRef>
          </c:tx>
          <c:spPr>
            <a:solidFill>
              <a:schemeClr val="accent1">
                <a:lumMod val="50000"/>
              </a:schemeClr>
            </a:solidFill>
            <a:ln>
              <a:noFill/>
            </a:ln>
            <a:effectLst>
              <a:outerShdw blurRad="40000" dist="20000" dir="5400000" sx="100000" sy="100000" kx="0" ky="0" algn="b" rotWithShape="0">
                <a:schemeClr val="tx2">
                  <a:lumMod val="60000"/>
                  <a:lumOff val="40000"/>
                  <a:alpha val="38000"/>
                </a:schemeClr>
              </a:outerShdw>
            </a:effectLst>
          </c:spPr>
          <c:invertIfNegative val="0"/>
          <c:dLbls>
            <c:numFmt formatCode="\x\x" sourceLinked="0"/>
            <c:spPr>
              <a:noFill/>
              <a:ln>
                <a:noFill/>
              </a:ln>
              <a:effectLst>
                <a:outerShdw blurRad="50800" dist="50800" dir="5400000" sx="7000" sy="7000" kx="0" ky="0" algn="ctr" rotWithShape="0">
                  <a:srgbClr val="000000">
                    <a:alpha val="43137"/>
                  </a:srgbClr>
                </a:outerShdw>
              </a:effectLst>
            </c:spPr>
            <c:txPr>
              <a:bodyPr wrap="square" lIns="38100" tIns="19050" rIns="38100" bIns="19050" anchor="ctr" anchorCtr="0">
                <a:spAutoFit/>
              </a:bodyPr>
              <a:lstStyle/>
              <a:p>
                <a:pPr>
                  <a:defRPr sz="1200" cap="all" baseline="0">
                    <a:solidFill>
                      <a:schemeClr val="tx1"/>
                    </a:solidFill>
                    <a:latin typeface="Helvetica" panose="020B0604020202020204" pitchFamily="34" charset="0"/>
                    <a:ea typeface="Cambria" panose="02040503050406030204" pitchFamily="18" charset="0"/>
                    <a:cs typeface="Helvetica" panose="020B0604020202020204" pitchFamily="34" charset="0"/>
                  </a:defRPr>
                </a:pPr>
                <a:endParaRPr lang="zh-CN"/>
              </a:p>
            </c:txPr>
            <c:dLblPos val="outEnd"/>
            <c:showLegendKey val="0"/>
            <c:showVal val="1"/>
            <c:showCatName val="0"/>
            <c:showSerName val="0"/>
            <c:showPercent val="0"/>
            <c:showBubbleSize val="0"/>
            <c:showLeaderLines val="0"/>
            <c:extLst>
              <c:ext xmlns:c15="http://schemas.microsoft.com/office/drawing/2012/chart" uri="{CE6537A1-D6FC-4f65-9D91-7224C49458BB}">
                <c15:showLeaderLines val="0"/>
              </c:ext>
            </c:extLst>
          </c:dLbls>
          <c:cat>
            <c:numRef>
              <c:f>'qyr-2022'!$E$1:$P$1</c:f>
              <c:numCache>
                <c:formatCode>General</c:formatCode>
                <c:ptCount val="12"/>
                <c:pt idx="0">
                  <c:v>2019</c:v>
                </c:pt>
                <c:pt idx="1">
                  <c:v>2020</c:v>
                </c:pt>
                <c:pt idx="2">
                  <c:v>2021</c:v>
                </c:pt>
                <c:pt idx="3">
                  <c:v>2022</c:v>
                </c:pt>
                <c:pt idx="4">
                  <c:v>2023</c:v>
                </c:pt>
                <c:pt idx="5">
                  <c:v>2024</c:v>
                </c:pt>
                <c:pt idx="6">
                  <c:v>2025</c:v>
                </c:pt>
                <c:pt idx="7">
                  <c:v>2026</c:v>
                </c:pt>
                <c:pt idx="8">
                  <c:v>2027</c:v>
                </c:pt>
                <c:pt idx="9">
                  <c:v>2028</c:v>
                </c:pt>
                <c:pt idx="10">
                  <c:v>2029</c:v>
                </c:pt>
                <c:pt idx="11">
                  <c:v>2030</c:v>
                </c:pt>
              </c:numCache>
            </c:numRef>
          </c:cat>
          <c:val>
            <c:numRef>
              <c:f>'qyr-2022'!$E$2:$P$2</c:f>
              <c:numCache>
                <c:formatCode>General</c:formatCode>
                <c:ptCount val="12"/>
                <c:pt idx="0">
                  <c:v>423</c:v>
                </c:pt>
                <c:pt idx="1">
                  <c:v>382.2</c:v>
                </c:pt>
                <c:pt idx="2">
                  <c:v>469.59999999999997</c:v>
                </c:pt>
                <c:pt idx="3">
                  <c:v>505</c:v>
                </c:pt>
                <c:pt idx="4">
                  <c:v>482</c:v>
                </c:pt>
                <c:pt idx="5">
                  <c:v>492</c:v>
                </c:pt>
                <c:pt idx="6">
                  <c:v>544</c:v>
                </c:pt>
                <c:pt idx="7">
                  <c:v>583.6</c:v>
                </c:pt>
                <c:pt idx="8">
                  <c:v>592.6</c:v>
                </c:pt>
                <c:pt idx="9" formatCode="0.0">
                  <c:v>628.80592</c:v>
                </c:pt>
                <c:pt idx="10" formatCode="0.0">
                  <c:v>721.00791023200009</c:v>
                </c:pt>
                <c:pt idx="11" formatCode="0.0">
                  <c:v>777.302376935688</c:v>
                </c:pt>
              </c:numCache>
            </c:numRef>
          </c:val>
          <c:extLst>
            <c:ext xmlns:c16="http://schemas.microsoft.com/office/drawing/2014/chart" uri="{C3380CC4-5D6E-409C-BE32-E72D297353CC}">
              <c16:uniqueId val="{00000000-3E41-40E0-8750-5D3A9D4F1B1D}"/>
            </c:ext>
          </c:extLst>
        </c:ser>
        <c:dLbls>
          <c:showLegendKey val="0"/>
          <c:showVal val="0"/>
          <c:showCatName val="0"/>
          <c:showSerName val="0"/>
          <c:showPercent val="0"/>
          <c:showBubbleSize val="0"/>
        </c:dLbls>
        <c:gapWidth val="30"/>
        <c:axId val="-1322419456"/>
        <c:axId val="-1322431424"/>
      </c:barChart>
      <c:lineChart>
        <c:grouping val="stacked"/>
        <c:varyColors val="0"/>
        <c:ser>
          <c:idx val="1"/>
          <c:order val="1"/>
          <c:tx>
            <c:strRef>
              <c:f>'qyr-2022'!$B$3</c:f>
              <c:strCache>
                <c:ptCount val="1"/>
                <c:pt idx="0">
                  <c:v>Growth Rate</c:v>
                </c:pt>
              </c:strCache>
            </c:strRef>
          </c:tx>
          <c:spPr>
            <a:ln w="25400">
              <a:solidFill>
                <a:srgbClr val="FFC000"/>
              </a:solidFill>
            </a:ln>
          </c:spPr>
          <c:marker>
            <c:symbol val="circle"/>
            <c:size val="26"/>
            <c:spPr>
              <a:solidFill>
                <a:schemeClr val="bg1">
                  <a:lumMod val="50000"/>
                </a:schemeClr>
              </a:solidFill>
              <a:ln>
                <a:solidFill>
                  <a:schemeClr val="bg1"/>
                </a:solidFill>
              </a:ln>
            </c:spPr>
          </c:marker>
          <c:dLbls>
            <c:numFmt formatCode="\x\x\%" sourceLinked="0"/>
            <c:spPr>
              <a:noFill/>
              <a:ln>
                <a:noFill/>
              </a:ln>
              <a:effectLst/>
            </c:spPr>
            <c:txPr>
              <a:bodyPr wrap="square" lIns="38100" tIns="19050" rIns="38100" bIns="19050" anchor="ctr">
                <a:spAutoFit/>
              </a:bodyPr>
              <a:lstStyle/>
              <a:p>
                <a:pPr>
                  <a:defRPr>
                    <a:solidFill>
                      <a:schemeClr val="bg1">
                        <a:lumMod val="95000"/>
                      </a:schemeClr>
                    </a:solidFill>
                    <a:latin typeface="Helvetica" panose="020B0604020202020204" pitchFamily="34" charset="0"/>
                    <a:cs typeface="Helvetica" panose="020B0604020202020204" pitchFamily="34" charset="0"/>
                  </a:defRPr>
                </a:pPr>
                <a:endParaRPr lang="zh-CN"/>
              </a:p>
            </c:txPr>
            <c:dLblPos val="ctr"/>
            <c:showLegendKey val="0"/>
            <c:showVal val="1"/>
            <c:showCatName val="0"/>
            <c:showSerName val="0"/>
            <c:showPercent val="0"/>
            <c:showBubbleSize val="0"/>
            <c:showLeaderLines val="0"/>
            <c:extLst>
              <c:ext xmlns:c15="http://schemas.microsoft.com/office/drawing/2012/chart" uri="{CE6537A1-D6FC-4f65-9D91-7224C49458BB}">
                <c15:showLeaderLines val="1"/>
              </c:ext>
            </c:extLst>
          </c:dLbls>
          <c:cat>
            <c:numRef>
              <c:f>'qyr-2022'!$E$1:$P$1</c:f>
              <c:numCache>
                <c:formatCode>General</c:formatCode>
                <c:ptCount val="12"/>
                <c:pt idx="0">
                  <c:v>2019</c:v>
                </c:pt>
                <c:pt idx="1">
                  <c:v>2020</c:v>
                </c:pt>
                <c:pt idx="2">
                  <c:v>2021</c:v>
                </c:pt>
                <c:pt idx="3">
                  <c:v>2022</c:v>
                </c:pt>
                <c:pt idx="4">
                  <c:v>2023</c:v>
                </c:pt>
                <c:pt idx="5">
                  <c:v>2024</c:v>
                </c:pt>
                <c:pt idx="6">
                  <c:v>2025</c:v>
                </c:pt>
                <c:pt idx="7">
                  <c:v>2026</c:v>
                </c:pt>
                <c:pt idx="8">
                  <c:v>2027</c:v>
                </c:pt>
                <c:pt idx="9">
                  <c:v>2028</c:v>
                </c:pt>
                <c:pt idx="10">
                  <c:v>2029</c:v>
                </c:pt>
                <c:pt idx="11">
                  <c:v>2030</c:v>
                </c:pt>
              </c:numCache>
            </c:numRef>
          </c:cat>
          <c:val>
            <c:numRef>
              <c:f>'qyr-2022'!$E$3:$P$3</c:f>
              <c:numCache>
                <c:formatCode>0.00%</c:formatCode>
                <c:ptCount val="12"/>
                <c:pt idx="0">
                  <c:v>-0.037761601455868932</c:v>
                </c:pt>
                <c:pt idx="1">
                  <c:v>-0.096453900709219886</c:v>
                </c:pt>
                <c:pt idx="2">
                  <c:v>0.22867608581894294</c:v>
                </c:pt>
                <c:pt idx="3">
                  <c:v>0.075383304940374929</c:v>
                </c:pt>
                <c:pt idx="4">
                  <c:v>-0.045544554455445585</c:v>
                </c:pt>
                <c:pt idx="5">
                  <c:v>0.020746887966804906</c:v>
                </c:pt>
                <c:pt idx="6">
                  <c:v>0.10569105691056913</c:v>
                </c:pt>
                <c:pt idx="7">
                  <c:v>0.072794117647058787</c:v>
                </c:pt>
                <c:pt idx="8">
                  <c:v>0.015421521590130327</c:v>
                </c:pt>
                <c:pt idx="9">
                  <c:v>0.061096726290921444</c:v>
                </c:pt>
                <c:pt idx="10">
                  <c:v>0.0533</c:v>
                </c:pt>
                <c:pt idx="11">
                  <c:v>0.051</c:v>
                </c:pt>
              </c:numCache>
            </c:numRef>
          </c:val>
          <c:smooth val="0"/>
          <c:extLst>
            <c:ext xmlns:c16="http://schemas.microsoft.com/office/drawing/2014/chart" uri="{C3380CC4-5D6E-409C-BE32-E72D297353CC}">
              <c16:uniqueId val="{00000002-3E41-40E0-8750-5D3A9D4F1B1D}"/>
            </c:ext>
          </c:extLst>
        </c:ser>
        <c:dLbls>
          <c:showLegendKey val="0"/>
          <c:showVal val="0"/>
          <c:showCatName val="0"/>
          <c:showSerName val="0"/>
          <c:showPercent val="0"/>
          <c:showBubbleSize val="0"/>
        </c:dLbls>
        <c:marker val="1"/>
        <c:smooth val="0"/>
        <c:axId val="-1322429792"/>
        <c:axId val="-1322406944"/>
      </c:lineChart>
      <c:catAx>
        <c:axId val="-1322419456"/>
        <c:scaling>
          <c:orientation val="minMax"/>
        </c:scaling>
        <c:delete val="0"/>
        <c:axPos val="b"/>
        <c:numFmt formatCode="General" sourceLinked="1"/>
        <c:majorTickMark val="none"/>
        <c:minorTickMark val="none"/>
        <c:tickLblPos val="nextTo"/>
        <c:txPr>
          <a:bodyPr/>
          <a:lstStyle/>
          <a:p>
            <a:pPr>
              <a:defRPr sz="1000">
                <a:latin typeface="Helvetica" panose="020B0604020202020204" pitchFamily="34" charset="0"/>
                <a:cs typeface="Helvetica" panose="020B0604020202020204" pitchFamily="34" charset="0"/>
              </a:defRPr>
            </a:pPr>
            <a:endParaRPr lang="zh-CN"/>
          </a:p>
        </c:txPr>
        <c:crossAx val="-1322431424"/>
        <c:crosses val="autoZero"/>
        <c:auto val="1"/>
        <c:lblAlgn val="ctr"/>
        <c:lblOffset val="100"/>
        <c:noMultiLvlLbl val="0"/>
      </c:catAx>
      <c:valAx>
        <c:axId val="-1322431424"/>
        <c:scaling>
          <c:orientation val="minMax"/>
        </c:scaling>
        <c:delete val="0"/>
        <c:axPos val="l"/>
        <c:majorGridlines>
          <c:spPr>
            <a:ln>
              <a:noFill/>
            </a:ln>
          </c:spPr>
        </c:majorGridlines>
        <c:numFmt formatCode="General" sourceLinked="1"/>
        <c:majorTickMark val="none"/>
        <c:minorTickMark val="none"/>
        <c:tickLblPos val="none"/>
        <c:spPr>
          <a:ln>
            <a:noFill/>
          </a:ln>
        </c:spPr>
        <c:crossAx val="-1322419456"/>
        <c:crosses val="autoZero"/>
        <c:crossBetween val="between"/>
      </c:valAx>
      <c:valAx>
        <c:axId val="-1322406944"/>
        <c:scaling>
          <c:orientation val="minMax"/>
          <c:max val="0.45"/>
        </c:scaling>
        <c:delete val="0"/>
        <c:axPos val="r"/>
        <c:numFmt formatCode="0%" sourceLinked="0"/>
        <c:majorTickMark val="out"/>
        <c:minorTickMark val="none"/>
        <c:tickLblPos val="none"/>
        <c:spPr>
          <a:ln>
            <a:noFill/>
          </a:ln>
        </c:spPr>
        <c:crossAx val="-1322429792"/>
        <c:crosses val="max"/>
        <c:crossBetween val="between"/>
      </c:valAx>
      <c:catAx>
        <c:axId val="-1322429792"/>
        <c:scaling>
          <c:orientation val="minMax"/>
        </c:scaling>
        <c:delete val="1"/>
        <c:axPos val="b"/>
        <c:numFmt formatCode="General" sourceLinked="1"/>
        <c:majorTickMark val="out"/>
        <c:minorTickMark val="none"/>
        <c:tickLblPos val="nextTo"/>
        <c:crossAx val="-1322406944"/>
        <c:crosses val="autoZero"/>
        <c:auto val="1"/>
        <c:lblAlgn val="ctr"/>
        <c:lblOffset val="100"/>
        <c:noMultiLvlLbl val="0"/>
      </c:catAx>
      <c:spPr>
        <a:ln>
          <a:noFill/>
        </a:ln>
      </c:spPr>
    </c:plotArea>
    <c:plotVisOnly val="1"/>
    <c:dispBlanksAs val="gap"/>
    <c:showDLblsOverMax val="0"/>
  </c:chart>
  <c:spPr>
    <a:ln>
      <a:noFill/>
    </a:ln>
  </c:spPr>
  <c:externalData r:id="rId1">
    <c:autoUpdate val="0"/>
  </c:externalData>
  <c:userShapes r:id="rId2"/>
</c:chartSpace>
</file>

<file path=word/charts/chart17.xml><?xml version="1.0" encoding="utf-8"?>
<c:chartSpace xmlns:c="http://schemas.openxmlformats.org/drawingml/2006/chart" xmlns:a="http://schemas.openxmlformats.org/drawingml/2006/main" xmlns:r="http://schemas.openxmlformats.org/officeDocument/2006/relationships">
  <c:date1904 val="0"/>
  <c:lang val="zh-CN"/>
  <c:roundedCorners val="0"/>
  <mc:AlternateContent xmlns:mc="http://schemas.openxmlformats.org/markup-compatibility/2006">
    <mc:Choice xmlns:c14="http://schemas.microsoft.com/office/drawing/2007/8/2/chart" Requires="c14">
      <c14:style val="112"/>
    </mc:Choice>
    <mc:Fallback>
      <c:style val="12"/>
    </mc:Fallback>
  </mc:AlternateContent>
  <c:chart>
    <c:autoTitleDeleted val="1"/>
    <c:plotArea>
      <c:layout>
        <c:manualLayout>
          <c:layoutTarget val="inner"/>
          <c:xMode val="edge"/>
          <c:yMode val="edge"/>
          <c:x val="0.012659003831417624"/>
          <c:y val="0.04352259075059204"/>
          <c:w val="0.98085859662884567"/>
          <c:h val="0.84752408783234812"/>
        </c:manualLayout>
      </c:layout>
      <c:barChart>
        <c:barDir val="col"/>
        <c:grouping val="clustered"/>
        <c:varyColors val="0"/>
        <c:ser>
          <c:idx val="0"/>
          <c:order val="0"/>
          <c:tx>
            <c:strRef>
              <c:f>'qyr-2022'!$B$2</c:f>
              <c:strCache>
                <c:ptCount val="1"/>
                <c:pt idx="0">
                  <c:v>Capacity</c:v>
                </c:pt>
              </c:strCache>
            </c:strRef>
          </c:tx>
          <c:spPr>
            <a:solidFill>
              <a:schemeClr val="accent1">
                <a:lumMod val="50000"/>
              </a:schemeClr>
            </a:solidFill>
            <a:ln>
              <a:noFill/>
            </a:ln>
            <a:effectLst>
              <a:outerShdw blurRad="40000" dist="20000" dir="5400000" sx="100000" sy="100000" kx="0" ky="0" algn="b" rotWithShape="0">
                <a:schemeClr val="tx2">
                  <a:lumMod val="60000"/>
                  <a:lumOff val="40000"/>
                  <a:alpha val="38000"/>
                </a:schemeClr>
              </a:outerShdw>
            </a:effectLst>
          </c:spPr>
          <c:invertIfNegative val="0"/>
          <c:dLbls>
            <c:numFmt formatCode="\x\x" sourceLinked="0"/>
            <c:spPr>
              <a:noFill/>
              <a:ln>
                <a:noFill/>
              </a:ln>
              <a:effectLst>
                <a:outerShdw blurRad="50800" dist="50800" dir="5400000" sx="7000" sy="7000" kx="0" ky="0" algn="ctr" rotWithShape="0">
                  <a:srgbClr val="000000">
                    <a:alpha val="43137"/>
                  </a:srgbClr>
                </a:outerShdw>
              </a:effectLst>
            </c:spPr>
            <c:txPr>
              <a:bodyPr wrap="square" lIns="38100" tIns="19050" rIns="38100" bIns="19050" anchor="ctr" anchorCtr="0">
                <a:spAutoFit/>
              </a:bodyPr>
              <a:lstStyle/>
              <a:p>
                <a:pPr>
                  <a:defRPr sz="1200" cap="all" baseline="0">
                    <a:solidFill>
                      <a:schemeClr val="tx1"/>
                    </a:solidFill>
                    <a:latin typeface="Helvetica" panose="020B0604020202020204" pitchFamily="34" charset="0"/>
                    <a:ea typeface="Cambria" panose="02040503050406030204" pitchFamily="18" charset="0"/>
                    <a:cs typeface="Helvetica" panose="020B0604020202020204" pitchFamily="34" charset="0"/>
                  </a:defRPr>
                </a:pPr>
                <a:endParaRPr lang="zh-CN"/>
              </a:p>
            </c:txPr>
            <c:dLblPos val="outEnd"/>
            <c:showLegendKey val="0"/>
            <c:showVal val="1"/>
            <c:showCatName val="0"/>
            <c:showSerName val="0"/>
            <c:showPercent val="0"/>
            <c:showBubbleSize val="0"/>
            <c:showLeaderLines val="0"/>
            <c:extLst>
              <c:ext xmlns:c15="http://schemas.microsoft.com/office/drawing/2012/chart" uri="{CE6537A1-D6FC-4f65-9D91-7224C49458BB}">
                <c15:showLeaderLines val="0"/>
              </c:ext>
            </c:extLst>
          </c:dLbls>
          <c:cat>
            <c:numRef>
              <c:f>'qyr-2022'!$E$1:$P$1</c:f>
              <c:numCache>
                <c:formatCode>General</c:formatCode>
                <c:ptCount val="12"/>
                <c:pt idx="0">
                  <c:v>2019</c:v>
                </c:pt>
                <c:pt idx="1">
                  <c:v>2020</c:v>
                </c:pt>
                <c:pt idx="2">
                  <c:v>2021</c:v>
                </c:pt>
                <c:pt idx="3">
                  <c:v>2022</c:v>
                </c:pt>
                <c:pt idx="4">
                  <c:v>2023</c:v>
                </c:pt>
                <c:pt idx="5">
                  <c:v>2024</c:v>
                </c:pt>
                <c:pt idx="6">
                  <c:v>2025</c:v>
                </c:pt>
                <c:pt idx="7">
                  <c:v>2026</c:v>
                </c:pt>
                <c:pt idx="8">
                  <c:v>2027</c:v>
                </c:pt>
                <c:pt idx="9">
                  <c:v>2028</c:v>
                </c:pt>
                <c:pt idx="10">
                  <c:v>2029</c:v>
                </c:pt>
                <c:pt idx="11">
                  <c:v>2030</c:v>
                </c:pt>
              </c:numCache>
            </c:numRef>
          </c:cat>
          <c:val>
            <c:numRef>
              <c:f>'qyr-2022'!$E$2:$P$2</c:f>
              <c:numCache>
                <c:formatCode>General</c:formatCode>
                <c:ptCount val="12"/>
                <c:pt idx="0">
                  <c:v>423</c:v>
                </c:pt>
                <c:pt idx="1">
                  <c:v>382.2</c:v>
                </c:pt>
                <c:pt idx="2">
                  <c:v>469.59999999999997</c:v>
                </c:pt>
                <c:pt idx="3">
                  <c:v>505</c:v>
                </c:pt>
                <c:pt idx="4">
                  <c:v>482</c:v>
                </c:pt>
                <c:pt idx="5">
                  <c:v>492</c:v>
                </c:pt>
                <c:pt idx="6">
                  <c:v>544</c:v>
                </c:pt>
                <c:pt idx="7">
                  <c:v>583.6</c:v>
                </c:pt>
                <c:pt idx="8">
                  <c:v>592.6</c:v>
                </c:pt>
                <c:pt idx="9" formatCode="0.0">
                  <c:v>628.80592</c:v>
                </c:pt>
                <c:pt idx="10" formatCode="0.0">
                  <c:v>721.00791023200009</c:v>
                </c:pt>
                <c:pt idx="11" formatCode="0.0">
                  <c:v>777.302376935688</c:v>
                </c:pt>
              </c:numCache>
            </c:numRef>
          </c:val>
          <c:extLst>
            <c:ext xmlns:c16="http://schemas.microsoft.com/office/drawing/2014/chart" uri="{C3380CC4-5D6E-409C-BE32-E72D297353CC}">
              <c16:uniqueId val="{00000000-247B-4821-B0C2-49015424A6E1}"/>
            </c:ext>
          </c:extLst>
        </c:ser>
        <c:dLbls>
          <c:showLegendKey val="0"/>
          <c:showVal val="0"/>
          <c:showCatName val="0"/>
          <c:showSerName val="0"/>
          <c:showPercent val="0"/>
          <c:showBubbleSize val="0"/>
        </c:dLbls>
        <c:gapWidth val="30"/>
        <c:axId val="-1322419456"/>
        <c:axId val="-1322431424"/>
      </c:barChart>
      <c:lineChart>
        <c:grouping val="stacked"/>
        <c:varyColors val="0"/>
        <c:ser>
          <c:idx val="1"/>
          <c:order val="1"/>
          <c:tx>
            <c:strRef>
              <c:f>'qyr-2022'!$B$3</c:f>
              <c:strCache>
                <c:ptCount val="1"/>
                <c:pt idx="0">
                  <c:v>Growth Rate</c:v>
                </c:pt>
              </c:strCache>
            </c:strRef>
          </c:tx>
          <c:spPr>
            <a:ln w="25400">
              <a:solidFill>
                <a:srgbClr val="FFC000"/>
              </a:solidFill>
            </a:ln>
          </c:spPr>
          <c:marker>
            <c:symbol val="circle"/>
            <c:size val="26"/>
            <c:spPr>
              <a:solidFill>
                <a:schemeClr val="bg1">
                  <a:lumMod val="50000"/>
                </a:schemeClr>
              </a:solidFill>
              <a:ln>
                <a:solidFill>
                  <a:schemeClr val="bg1"/>
                </a:solidFill>
              </a:ln>
            </c:spPr>
          </c:marker>
          <c:dLbls>
            <c:numFmt formatCode="\x\x\%" sourceLinked="0"/>
            <c:spPr>
              <a:noFill/>
              <a:ln>
                <a:noFill/>
              </a:ln>
              <a:effectLst/>
            </c:spPr>
            <c:txPr>
              <a:bodyPr wrap="square" lIns="38100" tIns="19050" rIns="38100" bIns="19050" anchor="ctr">
                <a:spAutoFit/>
              </a:bodyPr>
              <a:lstStyle/>
              <a:p>
                <a:pPr>
                  <a:defRPr>
                    <a:solidFill>
                      <a:schemeClr val="bg1">
                        <a:lumMod val="95000"/>
                      </a:schemeClr>
                    </a:solidFill>
                    <a:latin typeface="Helvetica" panose="020B0604020202020204" pitchFamily="34" charset="0"/>
                    <a:cs typeface="Helvetica" panose="020B0604020202020204" pitchFamily="34" charset="0"/>
                  </a:defRPr>
                </a:pPr>
                <a:endParaRPr lang="zh-CN"/>
              </a:p>
            </c:txPr>
            <c:dLblPos val="ctr"/>
            <c:showLegendKey val="0"/>
            <c:showVal val="1"/>
            <c:showCatName val="0"/>
            <c:showSerName val="0"/>
            <c:showPercent val="0"/>
            <c:showBubbleSize val="0"/>
            <c:showLeaderLines val="0"/>
            <c:extLst>
              <c:ext xmlns:c15="http://schemas.microsoft.com/office/drawing/2012/chart" uri="{CE6537A1-D6FC-4f65-9D91-7224C49458BB}">
                <c15:showLeaderLines val="1"/>
              </c:ext>
            </c:extLst>
          </c:dLbls>
          <c:cat>
            <c:numRef>
              <c:f>'qyr-2022'!$E$1:$P$1</c:f>
              <c:numCache>
                <c:formatCode>General</c:formatCode>
                <c:ptCount val="12"/>
                <c:pt idx="0">
                  <c:v>2019</c:v>
                </c:pt>
                <c:pt idx="1">
                  <c:v>2020</c:v>
                </c:pt>
                <c:pt idx="2">
                  <c:v>2021</c:v>
                </c:pt>
                <c:pt idx="3">
                  <c:v>2022</c:v>
                </c:pt>
                <c:pt idx="4">
                  <c:v>2023</c:v>
                </c:pt>
                <c:pt idx="5">
                  <c:v>2024</c:v>
                </c:pt>
                <c:pt idx="6">
                  <c:v>2025</c:v>
                </c:pt>
                <c:pt idx="7">
                  <c:v>2026</c:v>
                </c:pt>
                <c:pt idx="8">
                  <c:v>2027</c:v>
                </c:pt>
                <c:pt idx="9">
                  <c:v>2028</c:v>
                </c:pt>
                <c:pt idx="10">
                  <c:v>2029</c:v>
                </c:pt>
                <c:pt idx="11">
                  <c:v>2030</c:v>
                </c:pt>
              </c:numCache>
            </c:numRef>
          </c:cat>
          <c:val>
            <c:numRef>
              <c:f>'qyr-2022'!$E$3:$P$3</c:f>
              <c:numCache>
                <c:formatCode>0.00%</c:formatCode>
                <c:ptCount val="12"/>
                <c:pt idx="0">
                  <c:v>-0.037761601455868932</c:v>
                </c:pt>
                <c:pt idx="1">
                  <c:v>-0.096453900709219886</c:v>
                </c:pt>
                <c:pt idx="2">
                  <c:v>0.22867608581894294</c:v>
                </c:pt>
                <c:pt idx="3">
                  <c:v>0.075383304940374929</c:v>
                </c:pt>
                <c:pt idx="4">
                  <c:v>-0.045544554455445585</c:v>
                </c:pt>
                <c:pt idx="5">
                  <c:v>0.020746887966804906</c:v>
                </c:pt>
                <c:pt idx="6">
                  <c:v>0.10569105691056913</c:v>
                </c:pt>
                <c:pt idx="7">
                  <c:v>0.072794117647058787</c:v>
                </c:pt>
                <c:pt idx="8">
                  <c:v>0.015421521590130327</c:v>
                </c:pt>
                <c:pt idx="9">
                  <c:v>0.061096726290921444</c:v>
                </c:pt>
                <c:pt idx="10">
                  <c:v>0.0533</c:v>
                </c:pt>
                <c:pt idx="11">
                  <c:v>0.051</c:v>
                </c:pt>
              </c:numCache>
            </c:numRef>
          </c:val>
          <c:smooth val="0"/>
          <c:extLst>
            <c:ext xmlns:c16="http://schemas.microsoft.com/office/drawing/2014/chart" uri="{C3380CC4-5D6E-409C-BE32-E72D297353CC}">
              <c16:uniqueId val="{00000002-247B-4821-B0C2-49015424A6E1}"/>
            </c:ext>
          </c:extLst>
        </c:ser>
        <c:dLbls>
          <c:showLegendKey val="0"/>
          <c:showVal val="0"/>
          <c:showCatName val="0"/>
          <c:showSerName val="0"/>
          <c:showPercent val="0"/>
          <c:showBubbleSize val="0"/>
        </c:dLbls>
        <c:marker val="1"/>
        <c:smooth val="0"/>
        <c:axId val="-1322429792"/>
        <c:axId val="-1322406944"/>
      </c:lineChart>
      <c:catAx>
        <c:axId val="-1322419456"/>
        <c:scaling>
          <c:orientation val="minMax"/>
        </c:scaling>
        <c:delete val="0"/>
        <c:axPos val="b"/>
        <c:numFmt formatCode="General" sourceLinked="1"/>
        <c:majorTickMark val="none"/>
        <c:minorTickMark val="none"/>
        <c:tickLblPos val="nextTo"/>
        <c:txPr>
          <a:bodyPr/>
          <a:lstStyle/>
          <a:p>
            <a:pPr>
              <a:defRPr sz="1000">
                <a:latin typeface="Helvetica" panose="020B0604020202020204" pitchFamily="34" charset="0"/>
                <a:cs typeface="Helvetica" panose="020B0604020202020204" pitchFamily="34" charset="0"/>
              </a:defRPr>
            </a:pPr>
            <a:endParaRPr lang="zh-CN"/>
          </a:p>
        </c:txPr>
        <c:crossAx val="-1322431424"/>
        <c:crosses val="autoZero"/>
        <c:auto val="1"/>
        <c:lblAlgn val="ctr"/>
        <c:lblOffset val="100"/>
        <c:noMultiLvlLbl val="0"/>
      </c:catAx>
      <c:valAx>
        <c:axId val="-1322431424"/>
        <c:scaling>
          <c:orientation val="minMax"/>
        </c:scaling>
        <c:delete val="0"/>
        <c:axPos val="l"/>
        <c:majorGridlines>
          <c:spPr>
            <a:ln>
              <a:noFill/>
            </a:ln>
          </c:spPr>
        </c:majorGridlines>
        <c:numFmt formatCode="General" sourceLinked="1"/>
        <c:majorTickMark val="none"/>
        <c:minorTickMark val="none"/>
        <c:tickLblPos val="none"/>
        <c:spPr>
          <a:ln>
            <a:noFill/>
          </a:ln>
        </c:spPr>
        <c:crossAx val="-1322419456"/>
        <c:crosses val="autoZero"/>
        <c:crossBetween val="between"/>
      </c:valAx>
      <c:valAx>
        <c:axId val="-1322406944"/>
        <c:scaling>
          <c:orientation val="minMax"/>
          <c:max val="0.45"/>
        </c:scaling>
        <c:delete val="0"/>
        <c:axPos val="r"/>
        <c:numFmt formatCode="0%" sourceLinked="0"/>
        <c:majorTickMark val="out"/>
        <c:minorTickMark val="none"/>
        <c:tickLblPos val="none"/>
        <c:spPr>
          <a:ln>
            <a:noFill/>
          </a:ln>
        </c:spPr>
        <c:crossAx val="-1322429792"/>
        <c:crosses val="max"/>
        <c:crossBetween val="between"/>
      </c:valAx>
      <c:catAx>
        <c:axId val="-1322429792"/>
        <c:scaling>
          <c:orientation val="minMax"/>
        </c:scaling>
        <c:delete val="1"/>
        <c:axPos val="b"/>
        <c:numFmt formatCode="General" sourceLinked="1"/>
        <c:majorTickMark val="out"/>
        <c:minorTickMark val="none"/>
        <c:tickLblPos val="nextTo"/>
        <c:crossAx val="-1322406944"/>
        <c:crosses val="autoZero"/>
        <c:auto val="1"/>
        <c:lblAlgn val="ctr"/>
        <c:lblOffset val="100"/>
        <c:noMultiLvlLbl val="0"/>
      </c:catAx>
      <c:spPr>
        <a:ln>
          <a:noFill/>
        </a:ln>
      </c:spPr>
    </c:plotArea>
    <c:plotVisOnly val="1"/>
    <c:dispBlanksAs val="gap"/>
    <c:showDLblsOverMax val="0"/>
  </c:chart>
  <c:spPr>
    <a:ln>
      <a:noFill/>
    </a:ln>
  </c:spPr>
  <c:externalData r:id="rId1">
    <c:autoUpdate val="0"/>
  </c:externalData>
  <c:userShapes r:id="rId2"/>
</c:chartSpace>
</file>

<file path=word/charts/chart18.xml><?xml version="1.0" encoding="utf-8"?>
<c:chartSpace xmlns:c="http://schemas.openxmlformats.org/drawingml/2006/chart" xmlns:a="http://schemas.openxmlformats.org/drawingml/2006/main" xmlns:r="http://schemas.openxmlformats.org/officeDocument/2006/relationships">
  <c:date1904 val="0"/>
  <c:lang val="zh-CN"/>
  <c:roundedCorners val="0"/>
  <mc:AlternateContent xmlns:mc="http://schemas.openxmlformats.org/markup-compatibility/2006">
    <mc:Choice xmlns:c14="http://schemas.microsoft.com/office/drawing/2007/8/2/chart" Requires="c14">
      <c14:style val="112"/>
    </mc:Choice>
    <mc:Fallback>
      <c:style val="12"/>
    </mc:Fallback>
  </mc:AlternateContent>
  <c:chart>
    <c:autoTitleDeleted val="1"/>
    <c:plotArea>
      <c:layout>
        <c:manualLayout>
          <c:layoutTarget val="inner"/>
          <c:xMode val="edge"/>
          <c:yMode val="edge"/>
          <c:x val="0.012659003831417624"/>
          <c:y val="0.04352259075059204"/>
          <c:w val="0.98085859662884567"/>
          <c:h val="0.84752408783234812"/>
        </c:manualLayout>
      </c:layout>
      <c:barChart>
        <c:barDir val="col"/>
        <c:grouping val="clustered"/>
        <c:varyColors val="0"/>
        <c:ser>
          <c:idx val="0"/>
          <c:order val="0"/>
          <c:tx>
            <c:strRef>
              <c:f>'qyr-2022'!$B$2</c:f>
              <c:strCache>
                <c:ptCount val="1"/>
                <c:pt idx="0">
                  <c:v>Capacity</c:v>
                </c:pt>
              </c:strCache>
            </c:strRef>
          </c:tx>
          <c:spPr>
            <a:solidFill>
              <a:schemeClr val="accent1">
                <a:lumMod val="50000"/>
              </a:schemeClr>
            </a:solidFill>
            <a:ln>
              <a:noFill/>
            </a:ln>
            <a:effectLst>
              <a:outerShdw blurRad="40000" dist="20000" dir="5400000" sx="100000" sy="100000" kx="0" ky="0" algn="b" rotWithShape="0">
                <a:schemeClr val="tx2">
                  <a:lumMod val="60000"/>
                  <a:lumOff val="40000"/>
                  <a:alpha val="38000"/>
                </a:schemeClr>
              </a:outerShdw>
            </a:effectLst>
          </c:spPr>
          <c:invertIfNegative val="0"/>
          <c:dLbls>
            <c:numFmt formatCode="\x\x" sourceLinked="0"/>
            <c:spPr>
              <a:noFill/>
              <a:ln>
                <a:noFill/>
              </a:ln>
              <a:effectLst>
                <a:outerShdw blurRad="50800" dist="50800" dir="5400000" sx="7000" sy="7000" kx="0" ky="0" algn="ctr" rotWithShape="0">
                  <a:srgbClr val="000000">
                    <a:alpha val="43137"/>
                  </a:srgbClr>
                </a:outerShdw>
              </a:effectLst>
            </c:spPr>
            <c:txPr>
              <a:bodyPr wrap="square" lIns="38100" tIns="19050" rIns="38100" bIns="19050" anchor="ctr" anchorCtr="0">
                <a:spAutoFit/>
              </a:bodyPr>
              <a:lstStyle/>
              <a:p>
                <a:pPr>
                  <a:defRPr sz="1200" cap="all" baseline="0">
                    <a:solidFill>
                      <a:schemeClr val="tx1"/>
                    </a:solidFill>
                    <a:latin typeface="Helvetica" panose="020B0604020202020204" pitchFamily="34" charset="0"/>
                    <a:ea typeface="Cambria" panose="02040503050406030204" pitchFamily="18" charset="0"/>
                    <a:cs typeface="Helvetica" panose="020B0604020202020204" pitchFamily="34" charset="0"/>
                  </a:defRPr>
                </a:pPr>
                <a:endParaRPr lang="zh-CN"/>
              </a:p>
            </c:txPr>
            <c:dLblPos val="outEnd"/>
            <c:showLegendKey val="0"/>
            <c:showVal val="1"/>
            <c:showCatName val="0"/>
            <c:showSerName val="0"/>
            <c:showPercent val="0"/>
            <c:showBubbleSize val="0"/>
            <c:showLeaderLines val="0"/>
            <c:extLst>
              <c:ext xmlns:c15="http://schemas.microsoft.com/office/drawing/2012/chart" uri="{CE6537A1-D6FC-4f65-9D91-7224C49458BB}">
                <c15:showLeaderLines val="0"/>
              </c:ext>
            </c:extLst>
          </c:dLbls>
          <c:cat>
            <c:numRef>
              <c:f>'qyr-2022'!$E$1:$P$1</c:f>
              <c:numCache>
                <c:formatCode>General</c:formatCode>
                <c:ptCount val="12"/>
                <c:pt idx="0">
                  <c:v>2019</c:v>
                </c:pt>
                <c:pt idx="1">
                  <c:v>2020</c:v>
                </c:pt>
                <c:pt idx="2">
                  <c:v>2021</c:v>
                </c:pt>
                <c:pt idx="3">
                  <c:v>2022</c:v>
                </c:pt>
                <c:pt idx="4">
                  <c:v>2023</c:v>
                </c:pt>
                <c:pt idx="5">
                  <c:v>2024</c:v>
                </c:pt>
                <c:pt idx="6">
                  <c:v>2025</c:v>
                </c:pt>
                <c:pt idx="7">
                  <c:v>2026</c:v>
                </c:pt>
                <c:pt idx="8">
                  <c:v>2027</c:v>
                </c:pt>
                <c:pt idx="9">
                  <c:v>2028</c:v>
                </c:pt>
                <c:pt idx="10">
                  <c:v>2029</c:v>
                </c:pt>
                <c:pt idx="11">
                  <c:v>2030</c:v>
                </c:pt>
              </c:numCache>
            </c:numRef>
          </c:cat>
          <c:val>
            <c:numRef>
              <c:f>'qyr-2022'!$E$2:$P$2</c:f>
              <c:numCache>
                <c:formatCode>General</c:formatCode>
                <c:ptCount val="12"/>
                <c:pt idx="0">
                  <c:v>423</c:v>
                </c:pt>
                <c:pt idx="1">
                  <c:v>382.2</c:v>
                </c:pt>
                <c:pt idx="2">
                  <c:v>469.59999999999997</c:v>
                </c:pt>
                <c:pt idx="3">
                  <c:v>505</c:v>
                </c:pt>
                <c:pt idx="4">
                  <c:v>482</c:v>
                </c:pt>
                <c:pt idx="5">
                  <c:v>492</c:v>
                </c:pt>
                <c:pt idx="6">
                  <c:v>544</c:v>
                </c:pt>
                <c:pt idx="7">
                  <c:v>583.6</c:v>
                </c:pt>
                <c:pt idx="8">
                  <c:v>592.6</c:v>
                </c:pt>
                <c:pt idx="9" formatCode="0.0">
                  <c:v>628.80592</c:v>
                </c:pt>
                <c:pt idx="10" formatCode="0.0">
                  <c:v>721.00791023200009</c:v>
                </c:pt>
                <c:pt idx="11" formatCode="0.0">
                  <c:v>777.302376935688</c:v>
                </c:pt>
              </c:numCache>
            </c:numRef>
          </c:val>
          <c:extLst>
            <c:ext xmlns:c16="http://schemas.microsoft.com/office/drawing/2014/chart" uri="{C3380CC4-5D6E-409C-BE32-E72D297353CC}">
              <c16:uniqueId val="{00000000-C3C9-4BA5-9EBF-EA8E711A6BAA}"/>
            </c:ext>
          </c:extLst>
        </c:ser>
        <c:dLbls>
          <c:showLegendKey val="0"/>
          <c:showVal val="0"/>
          <c:showCatName val="0"/>
          <c:showSerName val="0"/>
          <c:showPercent val="0"/>
          <c:showBubbleSize val="0"/>
        </c:dLbls>
        <c:gapWidth val="30"/>
        <c:axId val="-1322419456"/>
        <c:axId val="-1322431424"/>
      </c:barChart>
      <c:lineChart>
        <c:grouping val="stacked"/>
        <c:varyColors val="0"/>
        <c:ser>
          <c:idx val="1"/>
          <c:order val="1"/>
          <c:tx>
            <c:strRef>
              <c:f>'qyr-2022'!$B$3</c:f>
              <c:strCache>
                <c:ptCount val="1"/>
                <c:pt idx="0">
                  <c:v>Growth Rate</c:v>
                </c:pt>
              </c:strCache>
            </c:strRef>
          </c:tx>
          <c:spPr>
            <a:ln w="25400">
              <a:solidFill>
                <a:srgbClr val="FFC000"/>
              </a:solidFill>
            </a:ln>
          </c:spPr>
          <c:marker>
            <c:symbol val="circle"/>
            <c:size val="26"/>
            <c:spPr>
              <a:solidFill>
                <a:schemeClr val="bg1">
                  <a:lumMod val="50000"/>
                </a:schemeClr>
              </a:solidFill>
              <a:ln>
                <a:solidFill>
                  <a:schemeClr val="bg1"/>
                </a:solidFill>
              </a:ln>
            </c:spPr>
          </c:marker>
          <c:dLbls>
            <c:numFmt formatCode="\x\x\%" sourceLinked="0"/>
            <c:spPr>
              <a:noFill/>
              <a:ln>
                <a:noFill/>
              </a:ln>
              <a:effectLst/>
            </c:spPr>
            <c:txPr>
              <a:bodyPr wrap="square" lIns="38100" tIns="19050" rIns="38100" bIns="19050" anchor="ctr">
                <a:spAutoFit/>
              </a:bodyPr>
              <a:lstStyle/>
              <a:p>
                <a:pPr>
                  <a:defRPr>
                    <a:solidFill>
                      <a:schemeClr val="bg1">
                        <a:lumMod val="95000"/>
                      </a:schemeClr>
                    </a:solidFill>
                    <a:latin typeface="Helvetica" panose="020B0604020202020204" pitchFamily="34" charset="0"/>
                    <a:cs typeface="Helvetica" panose="020B0604020202020204" pitchFamily="34" charset="0"/>
                  </a:defRPr>
                </a:pPr>
                <a:endParaRPr lang="zh-CN"/>
              </a:p>
            </c:txPr>
            <c:dLblPos val="ctr"/>
            <c:showLegendKey val="0"/>
            <c:showVal val="1"/>
            <c:showCatName val="0"/>
            <c:showSerName val="0"/>
            <c:showPercent val="0"/>
            <c:showBubbleSize val="0"/>
            <c:showLeaderLines val="0"/>
            <c:extLst>
              <c:ext xmlns:c15="http://schemas.microsoft.com/office/drawing/2012/chart" uri="{CE6537A1-D6FC-4f65-9D91-7224C49458BB}">
                <c15:showLeaderLines val="1"/>
              </c:ext>
            </c:extLst>
          </c:dLbls>
          <c:cat>
            <c:numRef>
              <c:f>'qyr-2022'!$E$1:$P$1</c:f>
              <c:numCache>
                <c:formatCode>General</c:formatCode>
                <c:ptCount val="12"/>
                <c:pt idx="0">
                  <c:v>2019</c:v>
                </c:pt>
                <c:pt idx="1">
                  <c:v>2020</c:v>
                </c:pt>
                <c:pt idx="2">
                  <c:v>2021</c:v>
                </c:pt>
                <c:pt idx="3">
                  <c:v>2022</c:v>
                </c:pt>
                <c:pt idx="4">
                  <c:v>2023</c:v>
                </c:pt>
                <c:pt idx="5">
                  <c:v>2024</c:v>
                </c:pt>
                <c:pt idx="6">
                  <c:v>2025</c:v>
                </c:pt>
                <c:pt idx="7">
                  <c:v>2026</c:v>
                </c:pt>
                <c:pt idx="8">
                  <c:v>2027</c:v>
                </c:pt>
                <c:pt idx="9">
                  <c:v>2028</c:v>
                </c:pt>
                <c:pt idx="10">
                  <c:v>2029</c:v>
                </c:pt>
                <c:pt idx="11">
                  <c:v>2030</c:v>
                </c:pt>
              </c:numCache>
            </c:numRef>
          </c:cat>
          <c:val>
            <c:numRef>
              <c:f>'qyr-2022'!$E$3:$P$3</c:f>
              <c:numCache>
                <c:formatCode>0.00%</c:formatCode>
                <c:ptCount val="12"/>
                <c:pt idx="0">
                  <c:v>-0.037761601455868932</c:v>
                </c:pt>
                <c:pt idx="1">
                  <c:v>-0.096453900709219886</c:v>
                </c:pt>
                <c:pt idx="2">
                  <c:v>0.22867608581894294</c:v>
                </c:pt>
                <c:pt idx="3">
                  <c:v>0.075383304940374929</c:v>
                </c:pt>
                <c:pt idx="4">
                  <c:v>-0.045544554455445585</c:v>
                </c:pt>
                <c:pt idx="5">
                  <c:v>0.020746887966804906</c:v>
                </c:pt>
                <c:pt idx="6">
                  <c:v>0.10569105691056913</c:v>
                </c:pt>
                <c:pt idx="7">
                  <c:v>0.072794117647058787</c:v>
                </c:pt>
                <c:pt idx="8">
                  <c:v>0.015421521590130327</c:v>
                </c:pt>
                <c:pt idx="9">
                  <c:v>0.061096726290921444</c:v>
                </c:pt>
                <c:pt idx="10">
                  <c:v>0.0533</c:v>
                </c:pt>
                <c:pt idx="11">
                  <c:v>0.051</c:v>
                </c:pt>
              </c:numCache>
            </c:numRef>
          </c:val>
          <c:smooth val="0"/>
          <c:extLst>
            <c:ext xmlns:c16="http://schemas.microsoft.com/office/drawing/2014/chart" uri="{C3380CC4-5D6E-409C-BE32-E72D297353CC}">
              <c16:uniqueId val="{00000002-C3C9-4BA5-9EBF-EA8E711A6BAA}"/>
            </c:ext>
          </c:extLst>
        </c:ser>
        <c:dLbls>
          <c:showLegendKey val="0"/>
          <c:showVal val="0"/>
          <c:showCatName val="0"/>
          <c:showSerName val="0"/>
          <c:showPercent val="0"/>
          <c:showBubbleSize val="0"/>
        </c:dLbls>
        <c:marker val="1"/>
        <c:smooth val="0"/>
        <c:axId val="-1322429792"/>
        <c:axId val="-1322406944"/>
      </c:lineChart>
      <c:catAx>
        <c:axId val="-1322419456"/>
        <c:scaling>
          <c:orientation val="minMax"/>
        </c:scaling>
        <c:delete val="0"/>
        <c:axPos val="b"/>
        <c:numFmt formatCode="General" sourceLinked="1"/>
        <c:majorTickMark val="none"/>
        <c:minorTickMark val="none"/>
        <c:tickLblPos val="nextTo"/>
        <c:txPr>
          <a:bodyPr/>
          <a:lstStyle/>
          <a:p>
            <a:pPr>
              <a:defRPr sz="1000">
                <a:latin typeface="Helvetica" panose="020B0604020202020204" pitchFamily="34" charset="0"/>
                <a:cs typeface="Helvetica" panose="020B0604020202020204" pitchFamily="34" charset="0"/>
              </a:defRPr>
            </a:pPr>
            <a:endParaRPr lang="zh-CN"/>
          </a:p>
        </c:txPr>
        <c:crossAx val="-1322431424"/>
        <c:crosses val="autoZero"/>
        <c:auto val="1"/>
        <c:lblAlgn val="ctr"/>
        <c:lblOffset val="100"/>
        <c:noMultiLvlLbl val="0"/>
      </c:catAx>
      <c:valAx>
        <c:axId val="-1322431424"/>
        <c:scaling>
          <c:orientation val="minMax"/>
        </c:scaling>
        <c:delete val="0"/>
        <c:axPos val="l"/>
        <c:majorGridlines>
          <c:spPr>
            <a:ln>
              <a:noFill/>
            </a:ln>
          </c:spPr>
        </c:majorGridlines>
        <c:numFmt formatCode="General" sourceLinked="1"/>
        <c:majorTickMark val="none"/>
        <c:minorTickMark val="none"/>
        <c:tickLblPos val="none"/>
        <c:spPr>
          <a:ln>
            <a:noFill/>
          </a:ln>
        </c:spPr>
        <c:crossAx val="-1322419456"/>
        <c:crosses val="autoZero"/>
        <c:crossBetween val="between"/>
      </c:valAx>
      <c:valAx>
        <c:axId val="-1322406944"/>
        <c:scaling>
          <c:orientation val="minMax"/>
          <c:max val="0.45"/>
        </c:scaling>
        <c:delete val="0"/>
        <c:axPos val="r"/>
        <c:numFmt formatCode="0%" sourceLinked="0"/>
        <c:majorTickMark val="out"/>
        <c:minorTickMark val="none"/>
        <c:tickLblPos val="none"/>
        <c:spPr>
          <a:ln>
            <a:noFill/>
          </a:ln>
        </c:spPr>
        <c:crossAx val="-1322429792"/>
        <c:crosses val="max"/>
        <c:crossBetween val="between"/>
      </c:valAx>
      <c:catAx>
        <c:axId val="-1322429792"/>
        <c:scaling>
          <c:orientation val="minMax"/>
        </c:scaling>
        <c:delete val="1"/>
        <c:axPos val="b"/>
        <c:numFmt formatCode="General" sourceLinked="1"/>
        <c:majorTickMark val="out"/>
        <c:minorTickMark val="none"/>
        <c:tickLblPos val="nextTo"/>
        <c:crossAx val="-1322406944"/>
        <c:crosses val="autoZero"/>
        <c:auto val="1"/>
        <c:lblAlgn val="ctr"/>
        <c:lblOffset val="100"/>
        <c:noMultiLvlLbl val="0"/>
      </c:catAx>
      <c:spPr>
        <a:ln>
          <a:noFill/>
        </a:ln>
      </c:spPr>
    </c:plotArea>
    <c:plotVisOnly val="1"/>
    <c:dispBlanksAs val="gap"/>
    <c:showDLblsOverMax val="0"/>
  </c:chart>
  <c:spPr>
    <a:ln>
      <a:noFill/>
    </a:ln>
  </c:spPr>
  <c:externalData r:id="rId1">
    <c:autoUpdate val="0"/>
  </c:externalData>
  <c:userShapes r:id="rId2"/>
</c:chartSpace>
</file>

<file path=word/charts/chart19.xml><?xml version="1.0" encoding="utf-8"?>
<c:chartSpace xmlns:c="http://schemas.openxmlformats.org/drawingml/2006/chart" xmlns:a="http://schemas.openxmlformats.org/drawingml/2006/main" xmlns:r="http://schemas.openxmlformats.org/officeDocument/2006/relationships">
  <c:date1904 val="0"/>
  <c:lang val="zh-CN"/>
  <c:roundedCorners val="0"/>
  <mc:AlternateContent xmlns:mc="http://schemas.openxmlformats.org/markup-compatibility/2006">
    <mc:Choice xmlns:c14="http://schemas.microsoft.com/office/drawing/2007/8/2/chart" Requires="c14">
      <c14:style val="102"/>
    </mc:Choice>
    <mc:Fallback>
      <c:style val="2"/>
    </mc:Fallback>
  </mc:AlternateContent>
  <c:chart>
    <c:title>
      <c:tx>
        <c:rich>
          <a:bodyPr rot="0" spcFirstLastPara="1" vertOverflow="ellipsis" vert="horz" wrap="square" anchor="ctr" anchorCtr="1"/>
          <a:lstStyle/>
          <a:p>
            <a:pPr>
              <a:defRPr sz="1400" b="0" i="0" u="none" strike="noStrike" kern="1200" spc="0" baseline="0">
                <a:solidFill>
                  <a:schemeClr val="tx1">
                    <a:lumMod val="65000"/>
                    <a:lumOff val="35000"/>
                  </a:schemeClr>
                </a:solidFill>
                <a:latin typeface="+mn-lt"/>
                <a:ea typeface="+mn-ea"/>
                <a:cs typeface="+mn-cs"/>
              </a:defRPr>
            </a:pPr>
            <a:r>
              <a:rPr lang="en-US" altLang="zh-CN" sz="1200" baseline="0">
                <a:latin typeface="Book Antiqua" panose="02040602050305030304" pitchFamily="18" charset="0"/>
                <a:ea typeface="宋体" panose="02010600030101010101" pitchFamily="2" charset="-122"/>
              </a:rPr>
              <a:t>2023</a:t>
            </a:r>
          </a:p>
        </c:rich>
      </c:tx>
      <c:layout>
        <c:manualLayout>
          <c:xMode val="edge"/>
          <c:yMode val="edge"/>
          <c:x val="0.41558664308655419"/>
          <c:y val="0.4430500351655744"/>
        </c:manualLayout>
      </c:layout>
      <c:overlay val="0"/>
      <c:spPr>
        <a:noFill/>
        <a:ln>
          <a:noFill/>
        </a:ln>
        <a:effectLst/>
      </c:spPr>
      <c:txPr>
        <a:bodyPr rot="0" spcFirstLastPara="1" vertOverflow="ellipsis" vert="horz" wrap="square" anchor="ctr" anchorCtr="1"/>
        <a:lstStyle/>
        <a:p>
          <a:pPr>
            <a:defRPr sz="1400" b="0" i="0" u="none" strike="noStrike" kern="1200" spc="0" baseline="0">
              <a:solidFill>
                <a:schemeClr val="tx1">
                  <a:lumMod val="65000"/>
                  <a:lumOff val="35000"/>
                </a:schemeClr>
              </a:solidFill>
              <a:latin typeface="+mn-lt"/>
              <a:ea typeface="+mn-ea"/>
              <a:cs typeface="+mn-cs"/>
            </a:defRPr>
          </a:pPr>
          <a:endParaRPr lang="zh-CN"/>
        </a:p>
      </c:txPr>
    </c:title>
    <c:autoTitleDeleted val="0"/>
    <c:plotArea>
      <c:layout>
        <c:manualLayout>
          <c:layoutTarget val="inner"/>
          <c:xMode val="edge"/>
          <c:yMode val="edge"/>
          <c:x val="0.12014655172413793"/>
          <c:y val="0.055972222222222222"/>
          <c:w val="0.753992017879949"/>
          <c:h val="0.8608570282881306"/>
        </c:manualLayout>
      </c:layout>
      <c:doughnutChart>
        <c:varyColors val="1"/>
        <c:ser>
          <c:idx val="0"/>
          <c:order val="0"/>
          <c:tx>
            <c:strRef>
              <c:f>qyr!$H$112</c:f>
              <c:strCache>
                <c:ptCount val="1"/>
                <c:pt idx="0">
                  <c:v>2022</c:v>
                </c:pt>
              </c:strCache>
            </c:strRef>
          </c:tx>
          <c:dPt>
            <c:idx val="0"/>
            <c:bubble3D val="0"/>
            <c:spPr>
              <a:solidFill>
                <a:schemeClr val="accent1"/>
              </a:solidFill>
              <a:ln w="19050">
                <a:solidFill>
                  <a:schemeClr val="lt1"/>
                </a:solidFill>
              </a:ln>
              <a:effectLst/>
            </c:spPr>
            <c:extLst>
              <c:ext xmlns:c16="http://schemas.microsoft.com/office/drawing/2014/chart" uri="{C3380CC4-5D6E-409C-BE32-E72D297353CC}">
                <c16:uniqueId val="{00000001-1A00-433A-83FE-FA068987D534}"/>
              </c:ext>
            </c:extLst>
          </c:dPt>
          <c:dPt>
            <c:idx val="1"/>
            <c:bubble3D val="0"/>
            <c:spPr>
              <a:solidFill>
                <a:srgbClr val="FFC000"/>
              </a:solidFill>
              <a:ln w="19050">
                <a:solidFill>
                  <a:schemeClr val="lt1"/>
                </a:solidFill>
              </a:ln>
              <a:effectLst/>
            </c:spPr>
            <c:extLst>
              <c:ext xmlns:c16="http://schemas.microsoft.com/office/drawing/2014/chart" uri="{C3380CC4-5D6E-409C-BE32-E72D297353CC}">
                <c16:uniqueId val="{00000003-1A00-433A-83FE-FA068987D534}"/>
              </c:ext>
            </c:extLst>
          </c:dPt>
          <c:dPt>
            <c:idx val="2"/>
            <c:bubble3D val="0"/>
            <c:spPr>
              <a:solidFill>
                <a:srgbClr val="002060"/>
              </a:solidFill>
              <a:ln w="19050">
                <a:solidFill>
                  <a:schemeClr val="lt1"/>
                </a:solidFill>
              </a:ln>
              <a:effectLst/>
            </c:spPr>
            <c:extLst>
              <c:ext xmlns:c16="http://schemas.microsoft.com/office/drawing/2014/chart" uri="{C3380CC4-5D6E-409C-BE32-E72D297353CC}">
                <c16:uniqueId val="{00000005-1A00-433A-83FE-FA068987D534}"/>
              </c:ext>
            </c:extLst>
          </c:dPt>
          <c:dPt>
            <c:idx val="3"/>
            <c:bubble3D val="0"/>
            <c:spPr>
              <a:solidFill>
                <a:schemeClr val="accent4"/>
              </a:solidFill>
              <a:ln w="19050">
                <a:solidFill>
                  <a:schemeClr val="lt1"/>
                </a:solidFill>
              </a:ln>
              <a:effectLst/>
            </c:spPr>
            <c:extLst>
              <c:ext xmlns:c16="http://schemas.microsoft.com/office/drawing/2014/chart" uri="{C3380CC4-5D6E-409C-BE32-E72D297353CC}">
                <c16:uniqueId val="{00000007-1A00-433A-83FE-FA068987D534}"/>
              </c:ext>
            </c:extLst>
          </c:dPt>
          <c:dPt>
            <c:idx val="4"/>
            <c:bubble3D val="0"/>
            <c:spPr>
              <a:solidFill>
                <a:schemeClr val="accent5"/>
              </a:solidFill>
              <a:ln w="19050">
                <a:solidFill>
                  <a:schemeClr val="lt1"/>
                </a:solidFill>
              </a:ln>
              <a:effectLst/>
            </c:spPr>
            <c:extLst>
              <c:ext xmlns:c16="http://schemas.microsoft.com/office/drawing/2014/chart" uri="{C3380CC4-5D6E-409C-BE32-E72D297353CC}">
                <c16:uniqueId val="{00000009-1A00-433A-83FE-FA068987D534}"/>
              </c:ext>
            </c:extLst>
          </c:dPt>
          <c:dLbls>
            <c:numFmt formatCode="\x\x\%" sourceLinked="0"/>
            <c:spPr>
              <a:noFill/>
              <a:ln>
                <a:noFill/>
              </a:ln>
              <a:effectLst/>
            </c:spPr>
            <c:txPr>
              <a:bodyPr rot="0" spcFirstLastPara="1" vertOverflow="ellipsis" vert="horz" wrap="square" lIns="38100" tIns="19050" rIns="38100" bIns="19050" anchor="ctr" anchorCtr="1">
                <a:spAutoFit/>
              </a:bodyPr>
              <a:lstStyle/>
              <a:p>
                <a:pPr>
                  <a:defRPr sz="1200" b="0" i="0" u="none" strike="noStrike" kern="1200" baseline="0">
                    <a:solidFill>
                      <a:schemeClr val="bg1"/>
                    </a:solidFill>
                    <a:latin typeface="Book Antiqua" panose="02040602050305030304" pitchFamily="18" charset="0"/>
                    <a:ea typeface="宋体" panose="02010600030101010101" pitchFamily="2" charset="-122"/>
                    <a:cs typeface="+mn-cs"/>
                  </a:defRPr>
                </a:pPr>
                <a:endParaRPr lang="zh-CN"/>
              </a:p>
            </c:txPr>
            <c:showLegendKey val="0"/>
            <c:showVal val="0"/>
            <c:showCatName val="0"/>
            <c:showSerName val="0"/>
            <c:showPercent val="1"/>
            <c:showBubbleSize val="0"/>
            <c:showLeaderLines val="0"/>
            <c:extLst>
              <c:ext xmlns:c15="http://schemas.microsoft.com/office/drawing/2012/chart" uri="{CE6537A1-D6FC-4f65-9D91-7224C49458BB}"/>
            </c:extLst>
          </c:dLbls>
          <c:cat>
            <c:strRef>
              <c:f>qyr!$B$113:$B$115</c:f>
              <c:strCache>
                <c:ptCount val="3"/>
                <c:pt idx="0">
                  <c:v>Type 1</c:v>
                </c:pt>
                <c:pt idx="1">
                  <c:v>Type 2</c:v>
                </c:pt>
                <c:pt idx="2">
                  <c:v>Type 3</c:v>
                </c:pt>
              </c:strCache>
            </c:strRef>
          </c:cat>
          <c:val>
            <c:numRef>
              <c:f>qyr!$H$113:$H$115</c:f>
              <c:numCache>
                <c:formatCode>_ * #,##0_ ;_ * \-#,##0_ ;_ * "-"??_ ;_ @_ </c:formatCode>
                <c:ptCount val="3"/>
                <c:pt idx="0">
                  <c:v>158</c:v>
                </c:pt>
                <c:pt idx="1">
                  <c:v>85</c:v>
                </c:pt>
                <c:pt idx="2">
                  <c:v>105</c:v>
                </c:pt>
              </c:numCache>
            </c:numRef>
          </c:val>
          <c:extLst>
            <c:ext xmlns:c16="http://schemas.microsoft.com/office/drawing/2014/chart" uri="{C3380CC4-5D6E-409C-BE32-E72D297353CC}">
              <c16:uniqueId val="{0000000A-1A00-433A-83FE-FA068987D534}"/>
            </c:ext>
          </c:extLst>
        </c:ser>
        <c:dLbls>
          <c:showLegendKey val="0"/>
          <c:showVal val="0"/>
          <c:showCatName val="0"/>
          <c:showSerName val="0"/>
          <c:showPercent val="0"/>
          <c:showBubbleSize val="0"/>
          <c:showLeaderLines val="0"/>
        </c:dLbls>
        <c:firstSliceAng val="0"/>
        <c:holeSize val="45"/>
      </c:doughnutChart>
      <c:spPr>
        <a:noFill/>
        <a:ln>
          <a:noFill/>
        </a:ln>
        <a:effectLst/>
      </c:spPr>
    </c:plotArea>
    <c:plotVisOnly val="1"/>
    <c:dispBlanksAs val="gap"/>
    <c:showDLblsOverMax val="0"/>
    <c:extLst>
      <c:ext xmlns:c="http://schemas.openxmlformats.org/drawingml/2006/chart" xmlns:c16r3="http://schemas.microsoft.com/office/drawing/2017/03/chart" uri="{56B9EC1D-385E-4148-901F-78D8002777C0}">
        <c16r3:dataDisplayOptions16>
          <c16r3:dispNaAsBlank val="1"/>
        </c16r3:dataDisplayOptions16>
      </c:ext>
    </c:extLst>
  </c:chart>
  <c:spPr>
    <a:solidFill>
      <a:schemeClr val="bg1"/>
    </a:solidFill>
    <a:ln w="9525" cap="sq">
      <a:noFill/>
      <a:round/>
    </a:ln>
    <a:effectLst/>
  </c:spPr>
  <c:txPr>
    <a:bodyPr/>
    <a:lstStyle/>
    <a:p>
      <a:pPr>
        <a:defRPr/>
      </a:pPr>
      <a:endParaRPr lang="zh-CN"/>
    </a:p>
  </c:txPr>
  <c:externalData r:id="rId1">
    <c:autoUpdate val="0"/>
  </c:externalData>
</c:chartSpace>
</file>

<file path=word/charts/chart20.xml><?xml version="1.0" encoding="utf-8"?>
<c:chartSpace xmlns:c="http://schemas.openxmlformats.org/drawingml/2006/chart" xmlns:a="http://schemas.openxmlformats.org/drawingml/2006/main" xmlns:r="http://schemas.openxmlformats.org/officeDocument/2006/relationships">
  <c:date1904 val="0"/>
  <c:lang val="zh-CN"/>
  <c:roundedCorners val="0"/>
  <mc:AlternateContent xmlns:mc="http://schemas.openxmlformats.org/markup-compatibility/2006">
    <mc:Choice xmlns:c14="http://schemas.microsoft.com/office/drawing/2007/8/2/chart" Requires="c14">
      <c14:style val="102"/>
    </mc:Choice>
    <mc:Fallback>
      <c:style val="2"/>
    </mc:Fallback>
  </mc:AlternateContent>
  <c:chart>
    <c:autoTitleDeleted val="0"/>
    <c:plotArea>
      <c:layout>
        <c:manualLayout>
          <c:layoutTarget val="inner"/>
          <c:xMode val="edge"/>
          <c:yMode val="edge"/>
          <c:x val="0.12014655172413793"/>
          <c:y val="0.055972222222222222"/>
          <c:w val="0.753992017879949"/>
          <c:h val="0.8608570282881306"/>
        </c:manualLayout>
      </c:layout>
      <c:doughnutChart>
        <c:varyColors val="1"/>
        <c:ser>
          <c:idx val="0"/>
          <c:order val="0"/>
          <c:dPt>
            <c:idx val="0"/>
            <c:bubble3D val="0"/>
            <c:spPr>
              <a:solidFill>
                <a:schemeClr val="accent1"/>
              </a:solidFill>
              <a:ln w="19050">
                <a:solidFill>
                  <a:schemeClr val="lt1"/>
                </a:solidFill>
              </a:ln>
              <a:effectLst/>
            </c:spPr>
            <c:extLst>
              <c:ext xmlns:c16="http://schemas.microsoft.com/office/drawing/2014/chart" uri="{C3380CC4-5D6E-409C-BE32-E72D297353CC}">
                <c16:uniqueId val="{00000001-B90A-4364-A0C4-0684F5AE87E5}"/>
              </c:ext>
            </c:extLst>
          </c:dPt>
          <c:dPt>
            <c:idx val="1"/>
            <c:bubble3D val="0"/>
            <c:spPr>
              <a:solidFill>
                <a:srgbClr val="FFC000"/>
              </a:solidFill>
              <a:ln w="19050">
                <a:solidFill>
                  <a:schemeClr val="lt1"/>
                </a:solidFill>
              </a:ln>
              <a:effectLst/>
            </c:spPr>
            <c:extLst>
              <c:ext xmlns:c16="http://schemas.microsoft.com/office/drawing/2014/chart" uri="{C3380CC4-5D6E-409C-BE32-E72D297353CC}">
                <c16:uniqueId val="{00000003-B90A-4364-A0C4-0684F5AE87E5}"/>
              </c:ext>
            </c:extLst>
          </c:dPt>
          <c:dPt>
            <c:idx val="2"/>
            <c:bubble3D val="0"/>
            <c:spPr>
              <a:solidFill>
                <a:srgbClr val="002060"/>
              </a:solidFill>
              <a:ln w="19050">
                <a:solidFill>
                  <a:schemeClr val="lt1"/>
                </a:solidFill>
              </a:ln>
              <a:effectLst/>
            </c:spPr>
            <c:extLst>
              <c:ext xmlns:c16="http://schemas.microsoft.com/office/drawing/2014/chart" uri="{C3380CC4-5D6E-409C-BE32-E72D297353CC}">
                <c16:uniqueId val="{00000005-B90A-4364-A0C4-0684F5AE87E5}"/>
              </c:ext>
            </c:extLst>
          </c:dPt>
          <c:dPt>
            <c:idx val="3"/>
            <c:bubble3D val="0"/>
            <c:spPr>
              <a:solidFill>
                <a:schemeClr val="accent4"/>
              </a:solidFill>
              <a:ln w="19050">
                <a:solidFill>
                  <a:schemeClr val="lt1"/>
                </a:solidFill>
              </a:ln>
              <a:effectLst/>
            </c:spPr>
            <c:extLst>
              <c:ext xmlns:c16="http://schemas.microsoft.com/office/drawing/2014/chart" uri="{C3380CC4-5D6E-409C-BE32-E72D297353CC}">
                <c16:uniqueId val="{00000007-B90A-4364-A0C4-0684F5AE87E5}"/>
              </c:ext>
            </c:extLst>
          </c:dPt>
          <c:dPt>
            <c:idx val="4"/>
            <c:bubble3D val="0"/>
            <c:spPr>
              <a:solidFill>
                <a:schemeClr val="accent5"/>
              </a:solidFill>
              <a:ln w="19050">
                <a:solidFill>
                  <a:schemeClr val="lt1"/>
                </a:solidFill>
              </a:ln>
              <a:effectLst/>
            </c:spPr>
            <c:extLst>
              <c:ext xmlns:c16="http://schemas.microsoft.com/office/drawing/2014/chart" uri="{C3380CC4-5D6E-409C-BE32-E72D297353CC}">
                <c16:uniqueId val="{00000009-B90A-4364-A0C4-0684F5AE87E5}"/>
              </c:ext>
            </c:extLst>
          </c:dPt>
          <c:dPt>
            <c:idx val="5"/>
            <c:bubble3D val="0"/>
            <c:spPr>
              <a:solidFill>
                <a:schemeClr val="accent6"/>
              </a:solidFill>
              <a:ln w="19050">
                <a:solidFill>
                  <a:schemeClr val="lt1"/>
                </a:solidFill>
              </a:ln>
              <a:effectLst/>
            </c:spPr>
            <c:extLst>
              <c:ext xmlns:c16="http://schemas.microsoft.com/office/drawing/2014/chart" uri="{C3380CC4-5D6E-409C-BE32-E72D297353CC}">
                <c16:uniqueId val="{0000000B-B90A-4364-A0C4-0684F5AE87E5}"/>
              </c:ext>
            </c:extLst>
          </c:dPt>
          <c:dPt>
            <c:idx val="6"/>
            <c:bubble3D val="0"/>
            <c:spPr>
              <a:solidFill>
                <a:schemeClr val="accent1">
                  <a:lumMod val="60000"/>
                </a:schemeClr>
              </a:solidFill>
              <a:ln w="19050">
                <a:solidFill>
                  <a:schemeClr val="lt1"/>
                </a:solidFill>
              </a:ln>
              <a:effectLst/>
            </c:spPr>
            <c:extLst>
              <c:ext xmlns:c16="http://schemas.microsoft.com/office/drawing/2014/chart" uri="{C3380CC4-5D6E-409C-BE32-E72D297353CC}">
                <c16:uniqueId val="{0000000D-B90A-4364-A0C4-0684F5AE87E5}"/>
              </c:ext>
            </c:extLst>
          </c:dPt>
          <c:dLbls>
            <c:numFmt formatCode="\x\x\%" sourceLinked="0"/>
            <c:spPr>
              <a:noFill/>
              <a:ln>
                <a:noFill/>
              </a:ln>
              <a:effectLst/>
            </c:spPr>
            <c:txPr>
              <a:bodyPr rot="0" spcFirstLastPara="1" vertOverflow="ellipsis" vert="horz" wrap="square" lIns="38100" tIns="19050" rIns="38100" bIns="19050" anchor="ctr" anchorCtr="1">
                <a:spAutoFit/>
              </a:bodyPr>
              <a:lstStyle/>
              <a:p>
                <a:pPr>
                  <a:defRPr sz="1200" b="0" i="0" u="none" strike="noStrike" kern="1200" baseline="0">
                    <a:solidFill>
                      <a:schemeClr val="bg1"/>
                    </a:solidFill>
                    <a:latin typeface="Calibri" panose="020F0502020204030204" pitchFamily="34" charset="0"/>
                    <a:ea typeface="+mn-ea"/>
                    <a:cs typeface="Calibri" panose="020F0502020204030204" pitchFamily="34" charset="0"/>
                  </a:defRPr>
                </a:pPr>
                <a:endParaRPr lang="zh-CN"/>
              </a:p>
            </c:txPr>
            <c:showLegendKey val="0"/>
            <c:showVal val="0"/>
            <c:showCatName val="0"/>
            <c:showSerName val="0"/>
            <c:showPercent val="1"/>
            <c:showBubbleSize val="0"/>
            <c:showLeaderLines val="0"/>
            <c:extLst>
              <c:ext xmlns:c15="http://schemas.microsoft.com/office/drawing/2012/chart" uri="{CE6537A1-D6FC-4f65-9D91-7224C49458BB}"/>
            </c:extLst>
          </c:dLbls>
          <c:cat>
            <c:strRef>
              <c:f>qyr!$B$326:$B$331</c:f>
              <c:strCache>
                <c:ptCount val="6"/>
                <c:pt idx="0">
                  <c:v>Company one</c:v>
                </c:pt>
                <c:pt idx="1">
                  <c:v>Company two</c:v>
                </c:pt>
                <c:pt idx="2">
                  <c:v>Company three</c:v>
                </c:pt>
                <c:pt idx="3">
                  <c:v>Company four</c:v>
                </c:pt>
                <c:pt idx="4">
                  <c:v>Company five</c:v>
                </c:pt>
                <c:pt idx="5">
                  <c:v>Company six</c:v>
                </c:pt>
              </c:strCache>
            </c:strRef>
          </c:cat>
          <c:val>
            <c:numRef>
              <c:f>qyr!$C$326:$C$331</c:f>
              <c:numCache>
                <c:formatCode>_ * #,##0_ ;_ * \-#,##0_ ;_ * "-"??_ ;_ @_ </c:formatCode>
                <c:ptCount val="6"/>
                <c:pt idx="0">
                  <c:v>93.9203875</c:v>
                </c:pt>
                <c:pt idx="1">
                  <c:v>75.3443</c:v>
                </c:pt>
                <c:pt idx="2">
                  <c:v>59.152325000000005</c:v>
                </c:pt>
                <c:pt idx="3">
                  <c:v>46.799999999999976</c:v>
                </c:pt>
                <c:pt idx="4">
                  <c:v>38.999999999999957</c:v>
                </c:pt>
                <c:pt idx="5">
                  <c:v>28.17611625</c:v>
                </c:pt>
              </c:numCache>
            </c:numRef>
          </c:val>
          <c:extLst>
            <c:ext xmlns:c16="http://schemas.microsoft.com/office/drawing/2014/chart" uri="{C3380CC4-5D6E-409C-BE32-E72D297353CC}">
              <c16:uniqueId val="{0000000E-B90A-4364-A0C4-0684F5AE87E5}"/>
            </c:ext>
          </c:extLst>
        </c:ser>
        <c:dLbls>
          <c:showLegendKey val="0"/>
          <c:showVal val="0"/>
          <c:showCatName val="0"/>
          <c:showSerName val="0"/>
          <c:showPercent val="0"/>
          <c:showBubbleSize val="0"/>
          <c:showLeaderLines val="0"/>
        </c:dLbls>
        <c:firstSliceAng val="50"/>
        <c:holeSize val="45"/>
      </c:doughnutChart>
      <c:spPr>
        <a:noFill/>
        <a:ln>
          <a:noFill/>
        </a:ln>
        <a:effectLst/>
      </c:spPr>
    </c:plotArea>
    <c:plotVisOnly val="1"/>
    <c:dispBlanksAs val="gap"/>
    <c:showDLblsOverMax val="0"/>
    <c:extLst>
      <c:ext xmlns:c="http://schemas.openxmlformats.org/drawingml/2006/chart" xmlns:c16r3="http://schemas.microsoft.com/office/drawing/2017/03/chart" uri="{56B9EC1D-385E-4148-901F-78D8002777C0}">
        <c16r3:dataDisplayOptions16>
          <c16r3:dispNaAsBlank val="1"/>
        </c16r3:dataDisplayOptions16>
      </c:ext>
    </c:extLst>
  </c:chart>
  <c:spPr>
    <a:solidFill>
      <a:schemeClr val="bg1"/>
    </a:solidFill>
    <a:ln w="9525">
      <a:noFill/>
      <a:round/>
    </a:ln>
    <a:effectLst/>
  </c:spPr>
  <c:txPr>
    <a:bodyPr/>
    <a:lstStyle/>
    <a:p>
      <a:pPr>
        <a:defRPr/>
      </a:pPr>
      <a:endParaRPr lang="zh-CN"/>
    </a:p>
  </c:txPr>
  <c:externalData r:id="rId1">
    <c:autoUpdate val="0"/>
  </c:externalData>
</c:chartSpace>
</file>

<file path=word/drawings/drawing1.xml><?xml version="1.0" encoding="utf-8"?>
<c:userShapes xmlns:c="http://schemas.openxmlformats.org/drawingml/2006/chart" xmlns:a="http://schemas.openxmlformats.org/drawingml/2006/main">
  <cdr:relSizeAnchor xmlns:cdr="http://schemas.openxmlformats.org/drawingml/2006/chartDrawing">
    <cdr:from>
      <cdr:x>0.48247</cdr:x>
      <cdr:y>0.32746</cdr:y>
    </cdr:from>
    <cdr:to>
      <cdr:x>0.51753</cdr:x>
      <cdr:y>0.65343</cdr:y>
    </cdr:to>
    <cdr:sp>
      <cdr:nvSpPr>
        <cdr:cNvPr id="3" name="矩形 2"/>
        <cdr:cNvSpPr/>
      </cdr:nvSpPr>
      <cdr:spPr>
        <a:xfrm>
          <a:off x="2542835" y="941910"/>
          <a:ext cx="184731" cy="937629"/>
        </a:xfrm>
        <a:prstGeom prst="rect">
          <a:avLst/>
        </a:prstGeom>
        <a:noFill/>
      </cdr:spPr>
      <cdr:txBody>
        <a:bodyPr wrap="none" lIns="91440" tIns="45720" rIns="91440" bIns="45720">
          <a:spAutoFit/>
          <a:scene3d>
            <a:camera prst="orthographicFront"/>
            <a:lightRig rig="soft" dir="tl">
              <a:rot lat="0" lon="0" rev="0"/>
            </a:lightRig>
          </a:scene3d>
          <a:sp3d contourW="25400" prstMaterial="matte">
            <a:bevelT w="25400" h="55880" prst="artDeco"/>
            <a:contourClr>
              <a:schemeClr val="accent2">
                <a:tint val="20000"/>
              </a:schemeClr>
            </a:contourClr>
          </a:sp3d>
        </a:bodyPr>
        <a:lstStyle/>
        <a:p>
          <a:pPr algn="ctr"/>
          <a:endParaRPr lang="zh-CN" altLang="en-US" sz="5400" b="1" cap="none" spc="50">
            <a:ln w="11430"/>
            <a:gradFill rotWithShape="1">
              <a:gsLst>
                <a:gs pos="25000">
                  <a:schemeClr val="accent2">
                    <a:satMod val="155000"/>
                  </a:schemeClr>
                </a:gs>
                <a:gs pos="100000">
                  <a:schemeClr val="accent2">
                    <a:shade val="45000"/>
                    <a:satMod val="165000"/>
                  </a:schemeClr>
                </a:gs>
              </a:gsLst>
              <a:lin ang="5400000" scaled="0"/>
            </a:gradFill>
            <a:effectLst>
              <a:outerShdw blurRad="76200" dist="50800" dir="5400000" sx="100000" sy="100000" kx="0" ky="0" algn="tl" rotWithShape="0">
                <a:srgbClr val="000000">
                  <a:alpha val="65000"/>
                </a:srgbClr>
              </a:outerShdw>
            </a:effectLst>
          </a:endParaRPr>
        </a:p>
      </cdr:txBody>
    </cdr:sp>
  </cdr:relSizeAnchor>
</c:userShapes>
</file>

<file path=word/drawings/drawing2.xml><?xml version="1.0" encoding="utf-8"?>
<c:userShapes xmlns:c="http://schemas.openxmlformats.org/drawingml/2006/chart" xmlns:a="http://schemas.openxmlformats.org/drawingml/2006/main">
  <cdr:relSizeAnchor xmlns:cdr="http://schemas.openxmlformats.org/drawingml/2006/chartDrawing">
    <cdr:from>
      <cdr:x>0.48247</cdr:x>
      <cdr:y>0.32746</cdr:y>
    </cdr:from>
    <cdr:to>
      <cdr:x>0.51753</cdr:x>
      <cdr:y>0.65343</cdr:y>
    </cdr:to>
    <cdr:sp>
      <cdr:nvSpPr>
        <cdr:cNvPr id="770233915" name="矩形 2"/>
        <cdr:cNvSpPr/>
      </cdr:nvSpPr>
      <cdr:spPr>
        <a:xfrm>
          <a:off x="2542835" y="941910"/>
          <a:ext cx="184731" cy="937629"/>
        </a:xfrm>
        <a:prstGeom prst="rect">
          <a:avLst/>
        </a:prstGeom>
        <a:noFill/>
      </cdr:spPr>
      <cdr:txBody>
        <a:bodyPr wrap="none" lIns="91440" tIns="45720" rIns="91440" bIns="45720">
          <a:spAutoFit/>
          <a:scene3d>
            <a:camera prst="orthographicFront"/>
            <a:lightRig rig="soft" dir="tl">
              <a:rot lat="0" lon="0" rev="0"/>
            </a:lightRig>
          </a:scene3d>
          <a:sp3d contourW="25400" prstMaterial="matte">
            <a:bevelT w="25400" h="55880" prst="artDeco"/>
            <a:contourClr>
              <a:schemeClr val="accent2">
                <a:tint val="20000"/>
              </a:schemeClr>
            </a:contourClr>
          </a:sp3d>
        </a:bodyPr>
        <a:lstStyle/>
        <a:p>
          <a:pPr algn="ctr"/>
          <a:endParaRPr lang="zh-CN" altLang="en-US" sz="5400" b="1" cap="none" spc="50">
            <a:ln w="11430"/>
            <a:gradFill rotWithShape="1">
              <a:gsLst>
                <a:gs pos="25000">
                  <a:schemeClr val="accent2">
                    <a:satMod val="155000"/>
                  </a:schemeClr>
                </a:gs>
                <a:gs pos="100000">
                  <a:schemeClr val="accent2">
                    <a:shade val="45000"/>
                    <a:satMod val="165000"/>
                  </a:schemeClr>
                </a:gs>
              </a:gsLst>
              <a:lin ang="5400000" scaled="0"/>
            </a:gradFill>
            <a:effectLst>
              <a:outerShdw blurRad="76200" dist="50800" dir="5400000" sx="100000" sy="100000" kx="0" ky="0" algn="tl" rotWithShape="0">
                <a:srgbClr val="000000">
                  <a:alpha val="65000"/>
                </a:srgbClr>
              </a:outerShdw>
            </a:effectLst>
          </a:endParaRPr>
        </a:p>
      </cdr:txBody>
    </cdr:sp>
  </cdr:relSizeAnchor>
</c:userShapes>
</file>

<file path=word/drawings/drawing3.xml><?xml version="1.0" encoding="utf-8"?>
<c:userShapes xmlns:c="http://schemas.openxmlformats.org/drawingml/2006/chart" xmlns:a="http://schemas.openxmlformats.org/drawingml/2006/main">
  <cdr:relSizeAnchor xmlns:cdr="http://schemas.openxmlformats.org/drawingml/2006/chartDrawing">
    <cdr:from>
      <cdr:x>0.48247</cdr:x>
      <cdr:y>0.32746</cdr:y>
    </cdr:from>
    <cdr:to>
      <cdr:x>0.51753</cdr:x>
      <cdr:y>0.65343</cdr:y>
    </cdr:to>
    <cdr:sp>
      <cdr:nvSpPr>
        <cdr:cNvPr id="173818285" name="矩形 2"/>
        <cdr:cNvSpPr/>
      </cdr:nvSpPr>
      <cdr:spPr>
        <a:xfrm>
          <a:off x="2542835" y="941910"/>
          <a:ext cx="184731" cy="937629"/>
        </a:xfrm>
        <a:prstGeom prst="rect">
          <a:avLst/>
        </a:prstGeom>
        <a:noFill/>
      </cdr:spPr>
      <cdr:txBody>
        <a:bodyPr wrap="none" lIns="91440" tIns="45720" rIns="91440" bIns="45720">
          <a:spAutoFit/>
          <a:scene3d>
            <a:camera prst="orthographicFront"/>
            <a:lightRig rig="soft" dir="tl">
              <a:rot lat="0" lon="0" rev="0"/>
            </a:lightRig>
          </a:scene3d>
          <a:sp3d contourW="25400" prstMaterial="matte">
            <a:bevelT w="25400" h="55880" prst="artDeco"/>
            <a:contourClr>
              <a:schemeClr val="accent2">
                <a:tint val="20000"/>
              </a:schemeClr>
            </a:contourClr>
          </a:sp3d>
        </a:bodyPr>
        <a:lstStyle/>
        <a:p>
          <a:pPr algn="ctr"/>
          <a:endParaRPr lang="zh-CN" altLang="en-US" sz="5400" b="1" cap="none" spc="50">
            <a:ln w="11430"/>
            <a:gradFill rotWithShape="1">
              <a:gsLst>
                <a:gs pos="25000">
                  <a:schemeClr val="accent2">
                    <a:satMod val="155000"/>
                  </a:schemeClr>
                </a:gs>
                <a:gs pos="100000">
                  <a:schemeClr val="accent2">
                    <a:shade val="45000"/>
                    <a:satMod val="165000"/>
                  </a:schemeClr>
                </a:gs>
              </a:gsLst>
              <a:lin ang="5400000" scaled="0"/>
            </a:gradFill>
            <a:effectLst>
              <a:outerShdw blurRad="76200" dist="50800" dir="5400000" sx="100000" sy="100000" kx="0" ky="0" algn="tl" rotWithShape="0">
                <a:srgbClr val="000000">
                  <a:alpha val="65000"/>
                </a:srgbClr>
              </a:outerShdw>
            </a:effectLst>
          </a:endParaRPr>
        </a:p>
      </cdr:txBody>
    </cdr:sp>
  </cdr:relSizeAnchor>
</c:userShapes>
</file>

<file path=word/drawings/drawing4.xml><?xml version="1.0" encoding="utf-8"?>
<c:userShapes xmlns:c="http://schemas.openxmlformats.org/drawingml/2006/chart" xmlns:a="http://schemas.openxmlformats.org/drawingml/2006/main">
  <cdr:relSizeAnchor xmlns:cdr="http://schemas.openxmlformats.org/drawingml/2006/chartDrawing">
    <cdr:from>
      <cdr:x>0.48247</cdr:x>
      <cdr:y>0.32746</cdr:y>
    </cdr:from>
    <cdr:to>
      <cdr:x>0.51753</cdr:x>
      <cdr:y>0.65343</cdr:y>
    </cdr:to>
    <cdr:sp>
      <cdr:nvSpPr>
        <cdr:cNvPr id="1874624102" name="矩形 2"/>
        <cdr:cNvSpPr/>
      </cdr:nvSpPr>
      <cdr:spPr>
        <a:xfrm>
          <a:off x="2542835" y="941910"/>
          <a:ext cx="184731" cy="937629"/>
        </a:xfrm>
        <a:prstGeom prst="rect">
          <a:avLst/>
        </a:prstGeom>
        <a:noFill/>
      </cdr:spPr>
      <cdr:txBody>
        <a:bodyPr wrap="none" lIns="91440" tIns="45720" rIns="91440" bIns="45720">
          <a:spAutoFit/>
          <a:scene3d>
            <a:camera prst="orthographicFront"/>
            <a:lightRig rig="soft" dir="tl">
              <a:rot lat="0" lon="0" rev="0"/>
            </a:lightRig>
          </a:scene3d>
          <a:sp3d contourW="25400" prstMaterial="matte">
            <a:bevelT w="25400" h="55880" prst="artDeco"/>
            <a:contourClr>
              <a:schemeClr val="accent2">
                <a:tint val="20000"/>
              </a:schemeClr>
            </a:contourClr>
          </a:sp3d>
        </a:bodyPr>
        <a:lstStyle/>
        <a:p>
          <a:pPr algn="ctr"/>
          <a:endParaRPr lang="zh-CN" altLang="en-US" sz="5400" b="1" cap="none" spc="50">
            <a:ln w="11430"/>
            <a:gradFill rotWithShape="1">
              <a:gsLst>
                <a:gs pos="25000">
                  <a:schemeClr val="accent2">
                    <a:satMod val="155000"/>
                  </a:schemeClr>
                </a:gs>
                <a:gs pos="100000">
                  <a:schemeClr val="accent2">
                    <a:shade val="45000"/>
                    <a:satMod val="165000"/>
                  </a:schemeClr>
                </a:gs>
              </a:gsLst>
              <a:lin ang="5400000" scaled="0"/>
            </a:gradFill>
            <a:effectLst>
              <a:outerShdw blurRad="76200" dist="50800" dir="5400000" sx="100000" sy="100000" kx="0" ky="0" algn="tl" rotWithShape="0">
                <a:srgbClr val="000000">
                  <a:alpha val="65000"/>
                </a:srgbClr>
              </a:outerShdw>
            </a:effectLst>
          </a:endParaRPr>
        </a:p>
      </cdr:txBody>
    </cdr:sp>
  </cdr:relSizeAnchor>
</c:userShapes>
</file>

<file path=word/drawings/drawing5.xml><?xml version="1.0" encoding="utf-8"?>
<c:userShapes xmlns:c="http://schemas.openxmlformats.org/drawingml/2006/chart" xmlns:a="http://schemas.openxmlformats.org/drawingml/2006/main">
  <cdr:relSizeAnchor xmlns:cdr="http://schemas.openxmlformats.org/drawingml/2006/chartDrawing">
    <cdr:from>
      <cdr:x>0.48247</cdr:x>
      <cdr:y>0.32746</cdr:y>
    </cdr:from>
    <cdr:to>
      <cdr:x>0.51753</cdr:x>
      <cdr:y>0.65343</cdr:y>
    </cdr:to>
    <cdr:sp>
      <cdr:nvSpPr>
        <cdr:cNvPr id="114403160" name="矩形 2"/>
        <cdr:cNvSpPr/>
      </cdr:nvSpPr>
      <cdr:spPr>
        <a:xfrm>
          <a:off x="2542835" y="941910"/>
          <a:ext cx="184731" cy="937629"/>
        </a:xfrm>
        <a:prstGeom prst="rect">
          <a:avLst/>
        </a:prstGeom>
        <a:noFill/>
      </cdr:spPr>
      <cdr:txBody>
        <a:bodyPr wrap="none" lIns="91440" tIns="45720" rIns="91440" bIns="45720">
          <a:spAutoFit/>
          <a:scene3d>
            <a:camera prst="orthographicFront"/>
            <a:lightRig rig="soft" dir="tl">
              <a:rot lat="0" lon="0" rev="0"/>
            </a:lightRig>
          </a:scene3d>
          <a:sp3d contourW="25400" prstMaterial="matte">
            <a:bevelT w="25400" h="55880" prst="artDeco"/>
            <a:contourClr>
              <a:schemeClr val="accent2">
                <a:tint val="20000"/>
              </a:schemeClr>
            </a:contourClr>
          </a:sp3d>
        </a:bodyPr>
        <a:lstStyle/>
        <a:p>
          <a:pPr algn="ctr"/>
          <a:endParaRPr lang="zh-CN" altLang="en-US" sz="5400" b="1" cap="none" spc="50">
            <a:ln w="11430"/>
            <a:gradFill rotWithShape="1">
              <a:gsLst>
                <a:gs pos="25000">
                  <a:schemeClr val="accent2">
                    <a:satMod val="155000"/>
                  </a:schemeClr>
                </a:gs>
                <a:gs pos="100000">
                  <a:schemeClr val="accent2">
                    <a:shade val="45000"/>
                    <a:satMod val="165000"/>
                  </a:schemeClr>
                </a:gs>
              </a:gsLst>
              <a:lin ang="5400000" scaled="0"/>
            </a:gradFill>
            <a:effectLst>
              <a:outerShdw blurRad="76200" dist="50800" dir="5400000" sx="100000" sy="100000" kx="0" ky="0" algn="tl" rotWithShape="0">
                <a:srgbClr val="000000">
                  <a:alpha val="65000"/>
                </a:srgbClr>
              </a:outerShdw>
            </a:effectLst>
          </a:endParaRPr>
        </a:p>
      </cdr:txBody>
    </cdr:sp>
  </cdr:relSizeAnchor>
</c:userShapes>
</file>

<file path=word/drawings/drawing6.xml><?xml version="1.0" encoding="utf-8"?>
<c:userShapes xmlns:c="http://schemas.openxmlformats.org/drawingml/2006/chart" xmlns:a="http://schemas.openxmlformats.org/drawingml/2006/main">
  <cdr:relSizeAnchor xmlns:cdr="http://schemas.openxmlformats.org/drawingml/2006/chartDrawing">
    <cdr:from>
      <cdr:x>0.48247</cdr:x>
      <cdr:y>0.32746</cdr:y>
    </cdr:from>
    <cdr:to>
      <cdr:x>0.51753</cdr:x>
      <cdr:y>0.65343</cdr:y>
    </cdr:to>
    <cdr:sp>
      <cdr:nvSpPr>
        <cdr:cNvPr id="2004056093" name="矩形 2"/>
        <cdr:cNvSpPr/>
      </cdr:nvSpPr>
      <cdr:spPr>
        <a:xfrm>
          <a:off x="2542835" y="941910"/>
          <a:ext cx="184731" cy="937629"/>
        </a:xfrm>
        <a:prstGeom prst="rect">
          <a:avLst/>
        </a:prstGeom>
        <a:noFill/>
      </cdr:spPr>
      <cdr:txBody>
        <a:bodyPr wrap="none" lIns="91440" tIns="45720" rIns="91440" bIns="45720">
          <a:spAutoFit/>
          <a:scene3d>
            <a:camera prst="orthographicFront"/>
            <a:lightRig rig="soft" dir="tl">
              <a:rot lat="0" lon="0" rev="0"/>
            </a:lightRig>
          </a:scene3d>
          <a:sp3d contourW="25400" prstMaterial="matte">
            <a:bevelT w="25400" h="55880" prst="artDeco"/>
            <a:contourClr>
              <a:schemeClr val="accent2">
                <a:tint val="20000"/>
              </a:schemeClr>
            </a:contourClr>
          </a:sp3d>
        </a:bodyPr>
        <a:lstStyle/>
        <a:p>
          <a:pPr algn="ctr"/>
          <a:endParaRPr lang="zh-CN" altLang="en-US" sz="5400" b="1" cap="none" spc="50">
            <a:ln w="11430"/>
            <a:gradFill rotWithShape="1">
              <a:gsLst>
                <a:gs pos="25000">
                  <a:schemeClr val="accent2">
                    <a:satMod val="155000"/>
                  </a:schemeClr>
                </a:gs>
                <a:gs pos="100000">
                  <a:schemeClr val="accent2">
                    <a:shade val="45000"/>
                    <a:satMod val="165000"/>
                  </a:schemeClr>
                </a:gs>
              </a:gsLst>
              <a:lin ang="5400000" scaled="0"/>
            </a:gradFill>
            <a:effectLst>
              <a:outerShdw blurRad="76200" dist="50800" dir="5400000" sx="100000" sy="100000" kx="0" ky="0" algn="tl" rotWithShape="0">
                <a:srgbClr val="000000">
                  <a:alpha val="65000"/>
                </a:srgbClr>
              </a:outerShdw>
            </a:effectLst>
          </a:endParaRPr>
        </a:p>
      </cdr:txBody>
    </cdr:sp>
  </cdr:relSizeAnchor>
</c:userShapes>
</file>

<file path=word/drawings/drawing7.xml><?xml version="1.0" encoding="utf-8"?>
<c:userShapes xmlns:c="http://schemas.openxmlformats.org/drawingml/2006/chart" xmlns:a="http://schemas.openxmlformats.org/drawingml/2006/main">
  <cdr:relSizeAnchor xmlns:cdr="http://schemas.openxmlformats.org/drawingml/2006/chartDrawing">
    <cdr:from>
      <cdr:x>0.48247</cdr:x>
      <cdr:y>0.32746</cdr:y>
    </cdr:from>
    <cdr:to>
      <cdr:x>0.51753</cdr:x>
      <cdr:y>0.65343</cdr:y>
    </cdr:to>
    <cdr:sp>
      <cdr:nvSpPr>
        <cdr:cNvPr id="1418539637" name="矩形 2"/>
        <cdr:cNvSpPr/>
      </cdr:nvSpPr>
      <cdr:spPr>
        <a:xfrm>
          <a:off x="2542835" y="941910"/>
          <a:ext cx="184731" cy="937629"/>
        </a:xfrm>
        <a:prstGeom prst="rect">
          <a:avLst/>
        </a:prstGeom>
        <a:noFill/>
      </cdr:spPr>
      <cdr:txBody>
        <a:bodyPr wrap="none" lIns="91440" tIns="45720" rIns="91440" bIns="45720">
          <a:spAutoFit/>
          <a:scene3d>
            <a:camera prst="orthographicFront"/>
            <a:lightRig rig="soft" dir="tl">
              <a:rot lat="0" lon="0" rev="0"/>
            </a:lightRig>
          </a:scene3d>
          <a:sp3d contourW="25400" prstMaterial="matte">
            <a:bevelT w="25400" h="55880" prst="artDeco"/>
            <a:contourClr>
              <a:schemeClr val="accent2">
                <a:tint val="20000"/>
              </a:schemeClr>
            </a:contourClr>
          </a:sp3d>
        </a:bodyPr>
        <a:lstStyle/>
        <a:p>
          <a:pPr algn="ctr"/>
          <a:endParaRPr lang="zh-CN" altLang="en-US" sz="5400" b="1" cap="none" spc="50">
            <a:ln w="11430"/>
            <a:gradFill rotWithShape="1">
              <a:gsLst>
                <a:gs pos="25000">
                  <a:schemeClr val="accent2">
                    <a:satMod val="155000"/>
                  </a:schemeClr>
                </a:gs>
                <a:gs pos="100000">
                  <a:schemeClr val="accent2">
                    <a:shade val="45000"/>
                    <a:satMod val="165000"/>
                  </a:schemeClr>
                </a:gs>
              </a:gsLst>
              <a:lin ang="5400000" scaled="0"/>
            </a:gradFill>
            <a:effectLst>
              <a:outerShdw blurRad="76200" dist="50800" dir="5400000" sx="100000" sy="100000" kx="0" ky="0" algn="tl" rotWithShape="0">
                <a:srgbClr val="000000">
                  <a:alpha val="65000"/>
                </a:srgbClr>
              </a:outerShdw>
            </a:effectLst>
          </a:endParaRPr>
        </a:p>
      </cdr:txBody>
    </cdr:sp>
  </cdr:relSizeAnchor>
</c:userShapes>
</file>

<file path=word/drawings/drawing8.xml><?xml version="1.0" encoding="utf-8"?>
<c:userShapes xmlns:c="http://schemas.openxmlformats.org/drawingml/2006/chart" xmlns:a="http://schemas.openxmlformats.org/drawingml/2006/main">
  <cdr:relSizeAnchor xmlns:cdr="http://schemas.openxmlformats.org/drawingml/2006/chartDrawing">
    <cdr:from>
      <cdr:x>0.48247</cdr:x>
      <cdr:y>0.32746</cdr:y>
    </cdr:from>
    <cdr:to>
      <cdr:x>0.51753</cdr:x>
      <cdr:y>0.65343</cdr:y>
    </cdr:to>
    <cdr:sp>
      <cdr:nvSpPr>
        <cdr:cNvPr id="1084264338" name="矩形 2"/>
        <cdr:cNvSpPr/>
      </cdr:nvSpPr>
      <cdr:spPr>
        <a:xfrm>
          <a:off x="2542835" y="941910"/>
          <a:ext cx="184731" cy="937629"/>
        </a:xfrm>
        <a:prstGeom prst="rect">
          <a:avLst/>
        </a:prstGeom>
        <a:noFill/>
      </cdr:spPr>
      <cdr:txBody>
        <a:bodyPr wrap="none" lIns="91440" tIns="45720" rIns="91440" bIns="45720">
          <a:spAutoFit/>
          <a:scene3d>
            <a:camera prst="orthographicFront"/>
            <a:lightRig rig="soft" dir="tl">
              <a:rot lat="0" lon="0" rev="0"/>
            </a:lightRig>
          </a:scene3d>
          <a:sp3d contourW="25400" prstMaterial="matte">
            <a:bevelT w="25400" h="55880" prst="artDeco"/>
            <a:contourClr>
              <a:schemeClr val="accent2">
                <a:tint val="20000"/>
              </a:schemeClr>
            </a:contourClr>
          </a:sp3d>
        </a:bodyPr>
        <a:lstStyle/>
        <a:p>
          <a:pPr algn="ctr"/>
          <a:endParaRPr lang="zh-CN" altLang="en-US" sz="5400" b="1" cap="none" spc="50">
            <a:ln w="11430"/>
            <a:gradFill rotWithShape="1">
              <a:gsLst>
                <a:gs pos="25000">
                  <a:schemeClr val="accent2">
                    <a:satMod val="155000"/>
                  </a:schemeClr>
                </a:gs>
                <a:gs pos="100000">
                  <a:schemeClr val="accent2">
                    <a:shade val="45000"/>
                    <a:satMod val="165000"/>
                  </a:schemeClr>
                </a:gs>
              </a:gsLst>
              <a:lin ang="5400000" scaled="0"/>
            </a:gradFill>
            <a:effectLst>
              <a:outerShdw blurRad="76200" dist="50800" dir="5400000" sx="100000" sy="100000" kx="0" ky="0" algn="tl" rotWithShape="0">
                <a:srgbClr val="000000">
                  <a:alpha val="65000"/>
                </a:srgbClr>
              </a:outerShdw>
            </a:effectLst>
          </a:endParaRPr>
        </a:p>
      </cdr:txBody>
    </cdr:sp>
  </cdr:relSizeAnchor>
</c:userShapes>
</file>

<file path=word/drawings/drawing9.xml><?xml version="1.0" encoding="utf-8"?>
<c:userShapes xmlns:c="http://schemas.openxmlformats.org/drawingml/2006/chart" xmlns:a="http://schemas.openxmlformats.org/drawingml/2006/main">
  <cdr:relSizeAnchor xmlns:cdr="http://schemas.openxmlformats.org/drawingml/2006/chartDrawing">
    <cdr:from>
      <cdr:x>0.48247</cdr:x>
      <cdr:y>0.32746</cdr:y>
    </cdr:from>
    <cdr:to>
      <cdr:x>0.51753</cdr:x>
      <cdr:y>0.65343</cdr:y>
    </cdr:to>
    <cdr:sp>
      <cdr:nvSpPr>
        <cdr:cNvPr id="523026317" name="矩形 2"/>
        <cdr:cNvSpPr/>
      </cdr:nvSpPr>
      <cdr:spPr>
        <a:xfrm>
          <a:off x="2542835" y="941910"/>
          <a:ext cx="184731" cy="937629"/>
        </a:xfrm>
        <a:prstGeom prst="rect">
          <a:avLst/>
        </a:prstGeom>
        <a:noFill/>
      </cdr:spPr>
      <cdr:txBody>
        <a:bodyPr wrap="none" lIns="91440" tIns="45720" rIns="91440" bIns="45720">
          <a:spAutoFit/>
          <a:scene3d>
            <a:camera prst="orthographicFront"/>
            <a:lightRig rig="soft" dir="tl">
              <a:rot lat="0" lon="0" rev="0"/>
            </a:lightRig>
          </a:scene3d>
          <a:sp3d contourW="25400" prstMaterial="matte">
            <a:bevelT w="25400" h="55880" prst="artDeco"/>
            <a:contourClr>
              <a:schemeClr val="accent2">
                <a:tint val="20000"/>
              </a:schemeClr>
            </a:contourClr>
          </a:sp3d>
        </a:bodyPr>
        <a:lstStyle/>
        <a:p>
          <a:pPr algn="ctr"/>
          <a:endParaRPr lang="zh-CN" altLang="en-US" sz="5400" b="1" cap="none" spc="50">
            <a:ln w="11430"/>
            <a:gradFill rotWithShape="1">
              <a:gsLst>
                <a:gs pos="25000">
                  <a:schemeClr val="accent2">
                    <a:satMod val="155000"/>
                  </a:schemeClr>
                </a:gs>
                <a:gs pos="100000">
                  <a:schemeClr val="accent2">
                    <a:shade val="45000"/>
                    <a:satMod val="165000"/>
                  </a:schemeClr>
                </a:gs>
              </a:gsLst>
              <a:lin ang="5400000" scaled="0"/>
            </a:gradFill>
            <a:effectLst>
              <a:outerShdw blurRad="76200" dist="50800" dir="5400000" sx="100000" sy="100000" kx="0" ky="0" algn="tl" rotWithShape="0">
                <a:srgbClr val="000000">
                  <a:alpha val="65000"/>
                </a:srgbClr>
              </a:outerShdw>
            </a:effectLst>
          </a:endParaRPr>
        </a:p>
      </cdr:txBody>
    </cdr:sp>
  </cdr:relSizeAnchor>
</c:userShapes>
</file>

<file path=word/drawings/drawing10.xml><?xml version="1.0" encoding="utf-8"?>
<c:userShapes xmlns:c="http://schemas.openxmlformats.org/drawingml/2006/chart" xmlns:a="http://schemas.openxmlformats.org/drawingml/2006/main">
  <cdr:relSizeAnchor xmlns:cdr="http://schemas.openxmlformats.org/drawingml/2006/chartDrawing">
    <cdr:from>
      <cdr:x>0.48247</cdr:x>
      <cdr:y>0.32746</cdr:y>
    </cdr:from>
    <cdr:to>
      <cdr:x>0.51753</cdr:x>
      <cdr:y>0.65343</cdr:y>
    </cdr:to>
    <cdr:sp>
      <cdr:nvSpPr>
        <cdr:cNvPr id="869783720" name="矩形 2"/>
        <cdr:cNvSpPr/>
      </cdr:nvSpPr>
      <cdr:spPr>
        <a:xfrm>
          <a:off x="2542835" y="941910"/>
          <a:ext cx="184731" cy="937629"/>
        </a:xfrm>
        <a:prstGeom prst="rect">
          <a:avLst/>
        </a:prstGeom>
        <a:noFill/>
      </cdr:spPr>
      <cdr:txBody>
        <a:bodyPr wrap="none" lIns="91440" tIns="45720" rIns="91440" bIns="45720">
          <a:spAutoFit/>
          <a:scene3d>
            <a:camera prst="orthographicFront"/>
            <a:lightRig rig="soft" dir="tl">
              <a:rot lat="0" lon="0" rev="0"/>
            </a:lightRig>
          </a:scene3d>
          <a:sp3d contourW="25400" prstMaterial="matte">
            <a:bevelT w="25400" h="55880" prst="artDeco"/>
            <a:contourClr>
              <a:schemeClr val="accent2">
                <a:tint val="20000"/>
              </a:schemeClr>
            </a:contourClr>
          </a:sp3d>
        </a:bodyPr>
        <a:lstStyle/>
        <a:p>
          <a:pPr algn="ctr"/>
          <a:endParaRPr lang="zh-CN" altLang="en-US" sz="5400" b="1" cap="none" spc="50">
            <a:ln w="11430"/>
            <a:gradFill rotWithShape="1">
              <a:gsLst>
                <a:gs pos="25000">
                  <a:schemeClr val="accent2">
                    <a:satMod val="155000"/>
                  </a:schemeClr>
                </a:gs>
                <a:gs pos="100000">
                  <a:schemeClr val="accent2">
                    <a:shade val="45000"/>
                    <a:satMod val="165000"/>
                  </a:schemeClr>
                </a:gs>
              </a:gsLst>
              <a:lin ang="5400000" scaled="0"/>
            </a:gradFill>
            <a:effectLst>
              <a:outerShdw blurRad="76200" dist="50800" dir="5400000" sx="100000" sy="100000" kx="0" ky="0" algn="tl" rotWithShape="0">
                <a:srgbClr val="000000">
                  <a:alpha val="65000"/>
                </a:srgbClr>
              </a:outerShdw>
            </a:effectLst>
          </a:endParaRPr>
        </a:p>
      </cdr:txBody>
    </cdr:sp>
  </cdr:relSizeAnchor>
</c:userShapes>
</file>

<file path=word/drawings/drawing11.xml><?xml version="1.0" encoding="utf-8"?>
<c:userShapes xmlns:c="http://schemas.openxmlformats.org/drawingml/2006/chart" xmlns:a="http://schemas.openxmlformats.org/drawingml/2006/main">
  <cdr:relSizeAnchor xmlns:cdr="http://schemas.openxmlformats.org/drawingml/2006/chartDrawing">
    <cdr:from>
      <cdr:x>0.48247</cdr:x>
      <cdr:y>0.32746</cdr:y>
    </cdr:from>
    <cdr:to>
      <cdr:x>0.51753</cdr:x>
      <cdr:y>0.65343</cdr:y>
    </cdr:to>
    <cdr:sp>
      <cdr:nvSpPr>
        <cdr:cNvPr id="740227488" name="矩形 2"/>
        <cdr:cNvSpPr/>
      </cdr:nvSpPr>
      <cdr:spPr>
        <a:xfrm>
          <a:off x="2542835" y="941910"/>
          <a:ext cx="184731" cy="937629"/>
        </a:xfrm>
        <a:prstGeom prst="rect">
          <a:avLst/>
        </a:prstGeom>
        <a:noFill/>
      </cdr:spPr>
      <cdr:txBody>
        <a:bodyPr wrap="none" lIns="91440" tIns="45720" rIns="91440" bIns="45720">
          <a:spAutoFit/>
          <a:scene3d>
            <a:camera prst="orthographicFront"/>
            <a:lightRig rig="soft" dir="tl">
              <a:rot lat="0" lon="0" rev="0"/>
            </a:lightRig>
          </a:scene3d>
          <a:sp3d contourW="25400" prstMaterial="matte">
            <a:bevelT w="25400" h="55880" prst="artDeco"/>
            <a:contourClr>
              <a:schemeClr val="accent2">
                <a:tint val="20000"/>
              </a:schemeClr>
            </a:contourClr>
          </a:sp3d>
        </a:bodyPr>
        <a:lstStyle/>
        <a:p>
          <a:pPr algn="ctr"/>
          <a:endParaRPr lang="zh-CN" altLang="en-US" sz="5400" b="1" cap="none" spc="50">
            <a:ln w="11430"/>
            <a:gradFill rotWithShape="1">
              <a:gsLst>
                <a:gs pos="25000">
                  <a:schemeClr val="accent2">
                    <a:satMod val="155000"/>
                  </a:schemeClr>
                </a:gs>
                <a:gs pos="100000">
                  <a:schemeClr val="accent2">
                    <a:shade val="45000"/>
                    <a:satMod val="165000"/>
                  </a:schemeClr>
                </a:gs>
              </a:gsLst>
              <a:lin ang="5400000" scaled="0"/>
            </a:gradFill>
            <a:effectLst>
              <a:outerShdw blurRad="76200" dist="50800" dir="5400000" sx="100000" sy="100000" kx="0" ky="0" algn="tl" rotWithShape="0">
                <a:srgbClr val="000000">
                  <a:alpha val="65000"/>
                </a:srgbClr>
              </a:outerShdw>
            </a:effectLst>
          </a:endParaRPr>
        </a:p>
      </cdr:txBody>
    </cdr:sp>
  </cdr:relSizeAnchor>
</c:userShapes>
</file>

<file path=word/drawings/drawing12.xml><?xml version="1.0" encoding="utf-8"?>
<c:userShapes xmlns:c="http://schemas.openxmlformats.org/drawingml/2006/chart" xmlns:a="http://schemas.openxmlformats.org/drawingml/2006/main">
  <cdr:relSizeAnchor xmlns:cdr="http://schemas.openxmlformats.org/drawingml/2006/chartDrawing">
    <cdr:from>
      <cdr:x>0.48247</cdr:x>
      <cdr:y>0.32746</cdr:y>
    </cdr:from>
    <cdr:to>
      <cdr:x>0.51753</cdr:x>
      <cdr:y>0.65343</cdr:y>
    </cdr:to>
    <cdr:sp>
      <cdr:nvSpPr>
        <cdr:cNvPr id="154411621" name="矩形 2"/>
        <cdr:cNvSpPr/>
      </cdr:nvSpPr>
      <cdr:spPr>
        <a:xfrm>
          <a:off x="2542835" y="941910"/>
          <a:ext cx="184731" cy="937629"/>
        </a:xfrm>
        <a:prstGeom prst="rect">
          <a:avLst/>
        </a:prstGeom>
        <a:noFill/>
      </cdr:spPr>
      <cdr:txBody>
        <a:bodyPr wrap="none" lIns="91440" tIns="45720" rIns="91440" bIns="45720">
          <a:spAutoFit/>
          <a:scene3d>
            <a:camera prst="orthographicFront"/>
            <a:lightRig rig="soft" dir="tl">
              <a:rot lat="0" lon="0" rev="0"/>
            </a:lightRig>
          </a:scene3d>
          <a:sp3d contourW="25400" prstMaterial="matte">
            <a:bevelT w="25400" h="55880" prst="artDeco"/>
            <a:contourClr>
              <a:schemeClr val="accent2">
                <a:tint val="20000"/>
              </a:schemeClr>
            </a:contourClr>
          </a:sp3d>
        </a:bodyPr>
        <a:lstStyle/>
        <a:p>
          <a:pPr algn="ctr"/>
          <a:endParaRPr lang="zh-CN" altLang="en-US" sz="5400" b="1" cap="none" spc="50">
            <a:ln w="11430"/>
            <a:gradFill rotWithShape="1">
              <a:gsLst>
                <a:gs pos="25000">
                  <a:schemeClr val="accent2">
                    <a:satMod val="155000"/>
                  </a:schemeClr>
                </a:gs>
                <a:gs pos="100000">
                  <a:schemeClr val="accent2">
                    <a:shade val="45000"/>
                    <a:satMod val="165000"/>
                  </a:schemeClr>
                </a:gs>
              </a:gsLst>
              <a:lin ang="5400000" scaled="0"/>
            </a:gradFill>
            <a:effectLst>
              <a:outerShdw blurRad="76200" dist="50800" dir="5400000" sx="100000" sy="100000" kx="0" ky="0" algn="tl" rotWithShape="0">
                <a:srgbClr val="000000">
                  <a:alpha val="65000"/>
                </a:srgbClr>
              </a:outerShdw>
            </a:effectLst>
          </a:endParaRPr>
        </a:p>
      </cdr:txBody>
    </cdr:sp>
  </cdr:relSizeAnchor>
</c:userShapes>
</file>

<file path=word/drawings/drawing13.xml><?xml version="1.0" encoding="utf-8"?>
<c:userShapes xmlns:c="http://schemas.openxmlformats.org/drawingml/2006/chart" xmlns:a="http://schemas.openxmlformats.org/drawingml/2006/main">
  <cdr:relSizeAnchor xmlns:cdr="http://schemas.openxmlformats.org/drawingml/2006/chartDrawing">
    <cdr:from>
      <cdr:x>0.48247</cdr:x>
      <cdr:y>0.32746</cdr:y>
    </cdr:from>
    <cdr:to>
      <cdr:x>0.51753</cdr:x>
      <cdr:y>0.65343</cdr:y>
    </cdr:to>
    <cdr:sp>
      <cdr:nvSpPr>
        <cdr:cNvPr id="91369892" name="矩形 2"/>
        <cdr:cNvSpPr/>
      </cdr:nvSpPr>
      <cdr:spPr>
        <a:xfrm>
          <a:off x="2542835" y="941910"/>
          <a:ext cx="184731" cy="937629"/>
        </a:xfrm>
        <a:prstGeom prst="rect">
          <a:avLst/>
        </a:prstGeom>
        <a:noFill/>
      </cdr:spPr>
      <cdr:txBody>
        <a:bodyPr wrap="none" lIns="91440" tIns="45720" rIns="91440" bIns="45720">
          <a:spAutoFit/>
          <a:scene3d>
            <a:camera prst="orthographicFront"/>
            <a:lightRig rig="soft" dir="tl">
              <a:rot lat="0" lon="0" rev="0"/>
            </a:lightRig>
          </a:scene3d>
          <a:sp3d contourW="25400" prstMaterial="matte">
            <a:bevelT w="25400" h="55880" prst="artDeco"/>
            <a:contourClr>
              <a:schemeClr val="accent2">
                <a:tint val="20000"/>
              </a:schemeClr>
            </a:contourClr>
          </a:sp3d>
        </a:bodyPr>
        <a:lstStyle/>
        <a:p>
          <a:pPr algn="ctr"/>
          <a:endParaRPr lang="zh-CN" altLang="en-US" sz="5400" b="1" cap="none" spc="50">
            <a:ln w="11430"/>
            <a:gradFill rotWithShape="1">
              <a:gsLst>
                <a:gs pos="25000">
                  <a:schemeClr val="accent2">
                    <a:satMod val="155000"/>
                  </a:schemeClr>
                </a:gs>
                <a:gs pos="100000">
                  <a:schemeClr val="accent2">
                    <a:shade val="45000"/>
                    <a:satMod val="165000"/>
                  </a:schemeClr>
                </a:gs>
              </a:gsLst>
              <a:lin ang="5400000" scaled="0"/>
            </a:gradFill>
            <a:effectLst>
              <a:outerShdw blurRad="76200" dist="50800" dir="5400000" sx="100000" sy="100000" kx="0" ky="0" algn="tl" rotWithShape="0">
                <a:srgbClr val="000000">
                  <a:alpha val="65000"/>
                </a:srgbClr>
              </a:outerShdw>
            </a:effectLst>
          </a:endParaRPr>
        </a:p>
      </cdr:txBody>
    </cdr:sp>
  </cdr:relSizeAnchor>
</c:userShapes>
</file>

<file path=word/drawings/drawing14.xml><?xml version="1.0" encoding="utf-8"?>
<c:userShapes xmlns:c="http://schemas.openxmlformats.org/drawingml/2006/chart" xmlns:a="http://schemas.openxmlformats.org/drawingml/2006/main">
  <cdr:relSizeAnchor xmlns:cdr="http://schemas.openxmlformats.org/drawingml/2006/chartDrawing">
    <cdr:from>
      <cdr:x>0.48247</cdr:x>
      <cdr:y>0.32746</cdr:y>
    </cdr:from>
    <cdr:to>
      <cdr:x>0.51753</cdr:x>
      <cdr:y>0.65343</cdr:y>
    </cdr:to>
    <cdr:sp>
      <cdr:nvSpPr>
        <cdr:cNvPr id="177754285" name="矩形 2"/>
        <cdr:cNvSpPr/>
      </cdr:nvSpPr>
      <cdr:spPr>
        <a:xfrm>
          <a:off x="2542835" y="941910"/>
          <a:ext cx="184731" cy="937629"/>
        </a:xfrm>
        <a:prstGeom prst="rect">
          <a:avLst/>
        </a:prstGeom>
        <a:noFill/>
      </cdr:spPr>
      <cdr:txBody>
        <a:bodyPr wrap="none" lIns="91440" tIns="45720" rIns="91440" bIns="45720">
          <a:spAutoFit/>
          <a:scene3d>
            <a:camera prst="orthographicFront"/>
            <a:lightRig rig="soft" dir="tl">
              <a:rot lat="0" lon="0" rev="0"/>
            </a:lightRig>
          </a:scene3d>
          <a:sp3d contourW="25400" prstMaterial="matte">
            <a:bevelT w="25400" h="55880" prst="artDeco"/>
            <a:contourClr>
              <a:schemeClr val="accent2">
                <a:tint val="20000"/>
              </a:schemeClr>
            </a:contourClr>
          </a:sp3d>
        </a:bodyPr>
        <a:lstStyle/>
        <a:p>
          <a:pPr algn="ctr"/>
          <a:endParaRPr lang="zh-CN" altLang="en-US" sz="5400" b="1" cap="none" spc="50">
            <a:ln w="11430"/>
            <a:gradFill rotWithShape="1">
              <a:gsLst>
                <a:gs pos="25000">
                  <a:schemeClr val="accent2">
                    <a:satMod val="155000"/>
                  </a:schemeClr>
                </a:gs>
                <a:gs pos="100000">
                  <a:schemeClr val="accent2">
                    <a:shade val="45000"/>
                    <a:satMod val="165000"/>
                  </a:schemeClr>
                </a:gs>
              </a:gsLst>
              <a:lin ang="5400000" scaled="0"/>
            </a:gradFill>
            <a:effectLst>
              <a:outerShdw blurRad="76200" dist="50800" dir="5400000" sx="100000" sy="100000" kx="0" ky="0" algn="tl" rotWithShape="0">
                <a:srgbClr val="000000">
                  <a:alpha val="65000"/>
                </a:srgbClr>
              </a:outerShdw>
            </a:effectLst>
          </a:endParaRPr>
        </a:p>
      </cdr:txBody>
    </cdr:sp>
  </cdr:relSizeAnchor>
</c:userShapes>
</file>

<file path=word/drawings/drawing15.xml><?xml version="1.0" encoding="utf-8"?>
<c:userShapes xmlns:c="http://schemas.openxmlformats.org/drawingml/2006/chart" xmlns:a="http://schemas.openxmlformats.org/drawingml/2006/main">
  <cdr:relSizeAnchor xmlns:cdr="http://schemas.openxmlformats.org/drawingml/2006/chartDrawing">
    <cdr:from>
      <cdr:x>0.48247</cdr:x>
      <cdr:y>0.32746</cdr:y>
    </cdr:from>
    <cdr:to>
      <cdr:x>0.51753</cdr:x>
      <cdr:y>0.65343</cdr:y>
    </cdr:to>
    <cdr:sp>
      <cdr:nvSpPr>
        <cdr:cNvPr id="1318043934" name="矩形 2"/>
        <cdr:cNvSpPr/>
      </cdr:nvSpPr>
      <cdr:spPr>
        <a:xfrm>
          <a:off x="2542835" y="941910"/>
          <a:ext cx="184731" cy="937629"/>
        </a:xfrm>
        <a:prstGeom prst="rect">
          <a:avLst/>
        </a:prstGeom>
        <a:noFill/>
      </cdr:spPr>
      <cdr:txBody>
        <a:bodyPr wrap="none" lIns="91440" tIns="45720" rIns="91440" bIns="45720">
          <a:spAutoFit/>
          <a:scene3d>
            <a:camera prst="orthographicFront"/>
            <a:lightRig rig="soft" dir="tl">
              <a:rot lat="0" lon="0" rev="0"/>
            </a:lightRig>
          </a:scene3d>
          <a:sp3d contourW="25400" prstMaterial="matte">
            <a:bevelT w="25400" h="55880" prst="artDeco"/>
            <a:contourClr>
              <a:schemeClr val="accent2">
                <a:tint val="20000"/>
              </a:schemeClr>
            </a:contourClr>
          </a:sp3d>
        </a:bodyPr>
        <a:lstStyle/>
        <a:p>
          <a:pPr algn="ctr"/>
          <a:endParaRPr lang="zh-CN" altLang="en-US" sz="5400" b="1" cap="none" spc="50">
            <a:ln w="11430"/>
            <a:gradFill rotWithShape="1">
              <a:gsLst>
                <a:gs pos="25000">
                  <a:schemeClr val="accent2">
                    <a:satMod val="155000"/>
                  </a:schemeClr>
                </a:gs>
                <a:gs pos="100000">
                  <a:schemeClr val="accent2">
                    <a:shade val="45000"/>
                    <a:satMod val="165000"/>
                  </a:schemeClr>
                </a:gs>
              </a:gsLst>
              <a:lin ang="5400000" scaled="0"/>
            </a:gradFill>
            <a:effectLst>
              <a:outerShdw blurRad="76200" dist="50800" dir="5400000" sx="100000" sy="100000" kx="0" ky="0" algn="tl" rotWithShape="0">
                <a:srgbClr val="000000">
                  <a:alpha val="65000"/>
                </a:srgbClr>
              </a:outerShdw>
            </a:effectLst>
          </a:endParaRPr>
        </a:p>
      </cdr:txBody>
    </cdr:sp>
  </cdr:relSizeAnchor>
</c:userShapes>
</file>

<file path=word/drawings/drawing16.xml><?xml version="1.0" encoding="utf-8"?>
<c:userShapes xmlns:c="http://schemas.openxmlformats.org/drawingml/2006/chart" xmlns:a="http://schemas.openxmlformats.org/drawingml/2006/main">
  <cdr:relSizeAnchor xmlns:cdr="http://schemas.openxmlformats.org/drawingml/2006/chartDrawing">
    <cdr:from>
      <cdr:x>0.48247</cdr:x>
      <cdr:y>0.32746</cdr:y>
    </cdr:from>
    <cdr:to>
      <cdr:x>0.51753</cdr:x>
      <cdr:y>0.65343</cdr:y>
    </cdr:to>
    <cdr:sp>
      <cdr:nvSpPr>
        <cdr:cNvPr id="414751941" name="矩形 2"/>
        <cdr:cNvSpPr/>
      </cdr:nvSpPr>
      <cdr:spPr>
        <a:xfrm>
          <a:off x="2542835" y="941910"/>
          <a:ext cx="184731" cy="937629"/>
        </a:xfrm>
        <a:prstGeom prst="rect">
          <a:avLst/>
        </a:prstGeom>
        <a:noFill/>
      </cdr:spPr>
      <cdr:txBody>
        <a:bodyPr wrap="none" lIns="91440" tIns="45720" rIns="91440" bIns="45720">
          <a:spAutoFit/>
          <a:scene3d>
            <a:camera prst="orthographicFront"/>
            <a:lightRig rig="soft" dir="tl">
              <a:rot lat="0" lon="0" rev="0"/>
            </a:lightRig>
          </a:scene3d>
          <a:sp3d contourW="25400" prstMaterial="matte">
            <a:bevelT w="25400" h="55880" prst="artDeco"/>
            <a:contourClr>
              <a:schemeClr val="accent2">
                <a:tint val="20000"/>
              </a:schemeClr>
            </a:contourClr>
          </a:sp3d>
        </a:bodyPr>
        <a:lstStyle/>
        <a:p>
          <a:pPr algn="ctr"/>
          <a:endParaRPr lang="zh-CN" altLang="en-US" sz="5400" b="1" cap="none" spc="50">
            <a:ln w="11430"/>
            <a:gradFill rotWithShape="1">
              <a:gsLst>
                <a:gs pos="25000">
                  <a:schemeClr val="accent2">
                    <a:satMod val="155000"/>
                  </a:schemeClr>
                </a:gs>
                <a:gs pos="100000">
                  <a:schemeClr val="accent2">
                    <a:shade val="45000"/>
                    <a:satMod val="165000"/>
                  </a:schemeClr>
                </a:gs>
              </a:gsLst>
              <a:lin ang="5400000" scaled="0"/>
            </a:gradFill>
            <a:effectLst>
              <a:outerShdw blurRad="76200" dist="50800" dir="5400000" sx="100000" sy="100000" kx="0" ky="0" algn="tl" rotWithShape="0">
                <a:srgbClr val="000000">
                  <a:alpha val="65000"/>
                </a:srgbClr>
              </a:outerShdw>
            </a:effectLst>
          </a:endParaRPr>
        </a:p>
      </cdr:txBody>
    </cdr:sp>
  </cdr:relSizeAnchor>
</c:userShapes>
</file>

<file path=word/theme/theme1.xml><?xml version="1.0" encoding="utf-8"?>
<a:theme xmlns:a="http://schemas.openxmlformats.org/drawingml/2006/main" name="Office 主题​​">
  <a:themeElements>
    <a:clrScheme name="自定义 26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77ACDC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<Relationships xmlns="http://schemas.openxmlformats.org/package/2006/relationships"><Relationship Id="rId1" Type="http://schemas.openxmlformats.org/officeDocument/2006/relationships/customXmlProps" Target="itemProps1.xml" 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4ACE0F94-762C-40E6-92F6-149C76009A1F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4284</TotalTime>
  <Pages>41</Pages>
  <Words>5167</Words>
  <Characters>29455</Characters>
  <Application>Microsoft Office Word</Application>
  <DocSecurity>0</DocSecurity>
  <Lines>245</Lines>
  <Paragraphs>69</Paragraphs>
  <ScaleCrop>false</ScaleCrop>
  <Company/>
  <LinksUpToDate>false</LinksUpToDate>
  <CharactersWithSpaces>34553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yangj</dc:creator>
  <cp:lastModifiedBy>Junping Yang</cp:lastModifiedBy>
  <cp:revision>5203</cp:revision>
  <cp:lastPrinted>2019-12-11T04:09:00Z</cp:lastPrinted>
  <dcterms:created xsi:type="dcterms:W3CDTF">2018-05-17T07:59:00Z</dcterms:created>
  <dcterms:modified xsi:type="dcterms:W3CDTF">2024-06-12T07:17:00Z</dcterms:modified>
</cp:coreProperties>
</file>