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53597319"/>
      <w:bookmarkStart w:id="1" w:name="_Toc438987549"/>
      <w:bookmarkStart w:id="2" w:name="_Toc481801204"/>
      <w:bookmarkStart w:id="3" w:name="OLE_LINK15"/>
      <w:bookmarkStart w:id="4" w:name="_Toc517262917"/>
      <w:bookmarkStart w:id="5" w:name="_Toc415818939"/>
      <w:bookmarkStart w:id="6" w:name="OLE_LINK24"/>
      <w:bookmarkStart w:id="7" w:name="OLE_LINK13"/>
      <w:bookmarkStart w:id="8" w:name="_Toc418070112"/>
      <w:bookmarkStart w:id="9" w:name="OLE_LINK40"/>
      <w:bookmarkStart w:id="10" w:name="_Toc415143481"/>
      <w:bookmarkStart w:id="11" w:name="_Toc415142861"/>
      <w:bookmarkStart w:id="12" w:name="OLE_LINK39"/>
      <w:r>
        <w:rPr>
          <w:lang w:eastAsia="zh-CN"/>
        </w:rPr>
        <w:t>ATM托管服务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ascii="Times New Roman" w:hAnsi="Times New Roman" w:cs="Times New Roman"/>
          <w:lang w:val="en-US" w:eastAsia="zh-CN"/>
        </w:rPr>
        <w:drawing>
          <wp:inline distT="0" distB="0" distL="0" distR="0">
            <wp:extent cx="3410585" cy="2265680"/>
            <wp:effectExtent l="0" t="0" r="0" b="127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21506" cy="2273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据QYResearch调研团队最新报告“全球ATM托管服务市场报告2023-2029”显示，预计2029年全球ATM托管服务市场规模将达到109.7亿美元，未来几年年复合增长率CAGR为6.1%。</w:t>
      </w:r>
    </w:p>
    <w:p>
      <w:pPr>
        <w:pStyle w:val="148"/>
        <w:rPr>
          <w:lang w:eastAsia="zh-CN"/>
        </w:rPr>
      </w:pPr>
      <w:r>
        <w:rPr>
          <w:lang w:eastAsia="zh-CN"/>
        </w:rPr>
        <w:t>ATM托管服务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109.7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6188710" cy="2886710"/>
            <wp:effectExtent l="0" t="0" r="2540" b="889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ATM托管服务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ATM托管服务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17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ATM托管服务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pStyle w:val="145"/>
      </w:pPr>
      <w:r>
        <w:rPr>
          <w:rFonts w:hint="eastAsia"/>
          <w:lang w:eastAsia="zh-CN"/>
        </w:rPr>
        <w:t>全球范围内ATM托管服务生产商主要包括Diebold Nixdorf、NCR Managed Services、Euronet Worldwide, Inc.、FUJITSU、Cardtronics、Fiserv, Inc. 、HYOSUNG、CMS Info Systems、AGS Transact Technologies Ltd.、Hitachi Payment Services等。2021年，全球前十强厂商占有大约45.0%的市场份额。</w:t>
      </w:r>
    </w:p>
    <w:p>
      <w:pPr>
        <w:pStyle w:val="145"/>
      </w:pP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bookmarkStart w:id="13" w:name="_GoBack"/>
      <w:r>
        <w:rPr>
          <w:rFonts w:hint="eastAsia"/>
          <w:lang w:eastAsia="zh-CN"/>
        </w:rPr>
        <w:t>2024年全球ATM托管服务行业总体规模</w:t>
      </w:r>
      <w:bookmarkEnd w:id="13"/>
      <w:r>
        <w:rPr>
          <w:rFonts w:hint="eastAsia"/>
          <w:lang w:eastAsia="zh-CN"/>
        </w:rPr>
        <w:t>、主要企业国内外市场占有率及排名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侧重研究全球ATM托管服务总体规模及主要厂商占有率和排名，主要统计指标包括ATM托管服务业务收入、市场份额及排名等，企业数据主要侧重近三年行业内主要厂商的市场销售情况。地区层面，主要分析过去五年和未来五年行业内主要地区的规模及趋势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本文主要企业名单如下，也可根据客户要求增加目标企业：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Diebold Nixdorf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NCR Managed Services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Euronet Worldwide, Inc.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FUJITSU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Cardtronics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Fiserv, Inc.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HYOSUNG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CMS Info Systems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AGS Transact Technologies Ltd.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Hitachi Payment Services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Cashlink Global System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Vocalink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Electronic Payment and Services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Financial Software &amp; Systems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QDS, Inc.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Automated Transaction Delivery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CashTrans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按照不同产品类型，包括如下几个类别：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ATM存钱和货币管理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网络管理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安全管理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突发事件管理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其他服务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按照不同应用，包括如下几个方面：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银行ATM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零售ATM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重点关注如下几个地区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北美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欧洲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中国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日本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东南亚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印度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本文正文共9章，各章节主要内容如下：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第1章：报告统计范围、所属行业、全球及中国总体规模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第2章：国内外主要企业市场占有率及排名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第3章：全球ATM托管服务主要地区市场规模及份额等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第4章：按产品类型细分，全球ATM托管服务市场规模及份额等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第5章：按应用细分，全球ATM托管服务市场规模及份额等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第6章：全球主要企业基本情况介绍，包括公司简介、ATM托管服务产品、收入及最新动态等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第7章：行业发展趋势、驱动因素、行业政策等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第8章：产业链、上下游分析、生产模式、销售模式及销售渠道分析等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第9章：报告结论</w:t>
      </w:r>
    </w:p>
    <w:p>
      <w:pPr>
        <w:pStyle w:val="145"/>
        <w:rPr>
          <w:rFonts w:hint="eastAsia"/>
          <w:lang w:eastAsia="zh-CN"/>
        </w:rPr>
      </w:pPr>
    </w:p>
    <w:sectPr>
      <w:headerReference r:id="rId6" w:type="first"/>
      <w:headerReference r:id="rId4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Yu Gothic UI Semibold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E8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98E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3ED0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946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587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D23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E34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4581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esktop\ATM%20Managed%20Services%20ATM&#25176;&#31649;&#26381;&#21153;\&#35266;&#28857;&#25968;&#25454;&#22270;&#34920;&#27169;&#26495;-&#20840;&#29699;20231017%20&#23454;&#20064;&#21516;&#23398;1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\Desktop\ATM%20Managed%20Services%20ATM&#25176;&#31649;&#26381;&#21153;\&#35266;&#28857;&#25968;&#25454;&#22270;&#34920;&#27169;&#26495;-&#20840;&#29699;20231017%20&#23454;&#20064;&#21516;&#23398;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5711.93</c:v>
                </c:pt>
                <c:pt idx="1">
                  <c:v>7214.72</c:v>
                </c:pt>
                <c:pt idx="2">
                  <c:v>10970.5818509465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17"/>
                <c:pt idx="0">
                  <c:v>CashTrans</c:v>
                </c:pt>
                <c:pt idx="1">
                  <c:v>Automated Transaction Delivery</c:v>
                </c:pt>
                <c:pt idx="2">
                  <c:v>QDS, Inc.</c:v>
                </c:pt>
                <c:pt idx="3">
                  <c:v>Financial Software &amp; Systems</c:v>
                </c:pt>
                <c:pt idx="4">
                  <c:v>Electronic Payment and Services</c:v>
                </c:pt>
                <c:pt idx="5">
                  <c:v>Vocalink</c:v>
                </c:pt>
                <c:pt idx="6">
                  <c:v>Cashlink Global System</c:v>
                </c:pt>
                <c:pt idx="7">
                  <c:v>Hitachi Payment Services</c:v>
                </c:pt>
                <c:pt idx="8">
                  <c:v>AGS Transact Technologies Ltd.</c:v>
                </c:pt>
                <c:pt idx="9">
                  <c:v>CMS Info Systems</c:v>
                </c:pt>
                <c:pt idx="10">
                  <c:v>HYOSUNG</c:v>
                </c:pt>
                <c:pt idx="11">
                  <c:v>Fiserv, Inc. </c:v>
                </c:pt>
                <c:pt idx="12">
                  <c:v>Cardtronics</c:v>
                </c:pt>
                <c:pt idx="13">
                  <c:v>FUJITSU</c:v>
                </c:pt>
                <c:pt idx="14">
                  <c:v>Euronet Worldwide, Inc.</c:v>
                </c:pt>
                <c:pt idx="15">
                  <c:v>NCR Managed Services</c:v>
                </c:pt>
                <c:pt idx="16">
                  <c:v>Diebold Nixdorf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7"/>
                <c:pt idx="0">
                  <c:v>2.35</c:v>
                </c:pt>
                <c:pt idx="1">
                  <c:v>4.49</c:v>
                </c:pt>
                <c:pt idx="2">
                  <c:v>4.96</c:v>
                </c:pt>
                <c:pt idx="3">
                  <c:v>5.3</c:v>
                </c:pt>
                <c:pt idx="4">
                  <c:v>12.9</c:v>
                </c:pt>
                <c:pt idx="5">
                  <c:v>15.36</c:v>
                </c:pt>
                <c:pt idx="6">
                  <c:v>15.96</c:v>
                </c:pt>
                <c:pt idx="7">
                  <c:v>20.92</c:v>
                </c:pt>
                <c:pt idx="8">
                  <c:v>28.42</c:v>
                </c:pt>
                <c:pt idx="9">
                  <c:v>34.15</c:v>
                </c:pt>
                <c:pt idx="10">
                  <c:v>63.13</c:v>
                </c:pt>
                <c:pt idx="11">
                  <c:v>213.26</c:v>
                </c:pt>
                <c:pt idx="12">
                  <c:v>274.54</c:v>
                </c:pt>
                <c:pt idx="13">
                  <c:v>450.17</c:v>
                </c:pt>
                <c:pt idx="14">
                  <c:v>575.29</c:v>
                </c:pt>
                <c:pt idx="15">
                  <c:v>668.83</c:v>
                </c:pt>
                <c:pt idx="16">
                  <c:v>743.16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0.53394</cdr:x>
      <cdr:y>0.18274</cdr:y>
    </cdr:from>
    <cdr:to>
      <cdr:x>0.74617</cdr:x>
      <cdr:y>0.3988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501839" y="559189"/>
          <a:ext cx="1391865" cy="661134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0.56836</cdr:x>
      <cdr:y>0.24182</cdr:y>
    </cdr:from>
    <cdr:to>
      <cdr:x>0.70387</cdr:x>
      <cdr:y>0.33499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19975039">
          <a:off x="3727583" y="739962"/>
          <a:ext cx="888734" cy="285101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6.1%</a:t>
          </a:r>
          <a:endParaRPr lang="zh-CN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0.24702</cdr:x>
      <cdr:y>0.20816</cdr:y>
    </cdr:from>
    <cdr:to>
      <cdr:x>0.36981</cdr:x>
      <cdr:y>0.69754</cdr:y>
    </cdr:to>
    <cdr:grpSp>
      <cdr:nvGrpSpPr>
        <cdr:cNvPr id="4" name="组合 3"/>
        <cdr:cNvGrpSpPr/>
      </cdr:nvGrpSpPr>
      <cdr:grpSpPr xmlns:a="http://schemas.openxmlformats.org/drawingml/2006/main">
        <a:xfrm rot="2819844">
          <a:off x="1202342" y="927291"/>
          <a:ext cx="1412698" cy="759912"/>
          <a:chOff x="3014141" y="1779723"/>
          <a:chExt cx="1170560" cy="814928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3014141" y="1818573"/>
            <a:ext cx="1170560" cy="69152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8358947">
            <a:off x="3177981" y="2099589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  <a:latin typeface="Book Antiqua" panose="02040602050305030304" pitchFamily="1" charset="0"/>
              </a:rPr>
              <a:t>6.0%</a:t>
            </a:r>
            <a:endParaRPr lang="zh-CN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C22CB1-B6D5-40B3-8DA2-04EC9977E9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162</Words>
  <Characters>927</Characters>
  <Lines>7</Lines>
  <Paragraphs>2</Paragraphs>
  <TotalTime>3</TotalTime>
  <ScaleCrop>false</ScaleCrop>
  <LinksUpToDate>false</LinksUpToDate>
  <CharactersWithSpaces>1087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2023-10-25T09:42:00Z</dcterms:created>
  <dc:creator>yangj</dc:creator>
  <cp:lastModifiedBy>鼕鼕</cp:lastModifiedBy>
  <dcterms:modified xsi:type="dcterms:W3CDTF">2023-12-22T01:42:13Z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1EA89AE5E04F42C699868710C08DEF99_13</vt:lpwstr>
  </property>
</Properties>
</file>