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5D5715">
      <w:pPr>
        <w:pStyle w:val="167"/>
        <w:rPr>
          <w:lang w:eastAsia="zh-CN"/>
        </w:rPr>
      </w:pPr>
      <w:bookmarkStart w:id="0" w:name="_Toc517262917"/>
      <w:bookmarkStart w:id="1" w:name="_Toc453597319"/>
      <w:bookmarkStart w:id="2" w:name="_Toc415818939"/>
      <w:bookmarkStart w:id="3" w:name="OLE_LINK13"/>
      <w:bookmarkStart w:id="4" w:name="_Toc481801204"/>
      <w:bookmarkStart w:id="5" w:name="OLE_LINK15"/>
      <w:bookmarkStart w:id="6" w:name="_Toc438987549"/>
      <w:bookmarkStart w:id="7" w:name="OLE_LINK24"/>
      <w:bookmarkStart w:id="8" w:name="OLE_LINK40"/>
      <w:bookmarkStart w:id="9" w:name="_Toc415142861"/>
      <w:bookmarkStart w:id="10" w:name="_Toc418070112"/>
      <w:bookmarkStart w:id="11" w:name="OLE_LINK39"/>
      <w:bookmarkStart w:id="12" w:name="_Toc415143481"/>
      <w:r>
        <w:drawing>
          <wp:inline distT="0" distB="0" distL="114300" distR="114300">
            <wp:extent cx="6187440" cy="4401820"/>
            <wp:effectExtent l="0" t="0" r="3810" b="177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87440" cy="4401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eastAsia="zh-CN"/>
        </w:rPr>
        <w:t>冷库监控系统</w:t>
      </w:r>
      <w:r>
        <w:rPr>
          <w:rFonts w:hint="eastAsia"/>
          <w:lang w:eastAsia="zh-CN"/>
        </w:rPr>
        <w:t>全球市场总体规模</w:t>
      </w:r>
    </w:p>
    <w:p w14:paraId="33A71C40">
      <w:pPr>
        <w:pStyle w:val="145"/>
        <w:rPr>
          <w:lang w:eastAsia="zh-CN"/>
        </w:rPr>
      </w:pPr>
      <w:r>
        <w:rPr>
          <w:rFonts w:hint="eastAsia"/>
          <w:lang w:eastAsia="zh-CN"/>
        </w:rPr>
        <w:t>冷库监控系统是一种用于对冷藏仓库内温度、湿度、电力状态及报警条件进行连续监测的综合解决方案。系统通过实时监控、异常报警及历史数据记录，保障食品安全、医药合规性与冷链运行稳定性。冷库监控系统的产业链包括上游的温湿度传感器、数据采集设备、通信模块、网关及电源管理单元；中游为系统集成、监控软件平台、云端连接及报警管理；下游应用覆盖食品冷藏库、医药仓储、疫苗冷链中心、农产品冷链物流园区及第三方冷链服务商，并配套安装调试、校准检测、合规报表、系统升级与技术维护等服务。2025年，全球冷库监控系统产量约为52,000套，全球平均市场价格约为每套15,000美元。该市场主要参与者的毛利率区间为35%–55%，主要来源于软件平台、系统集成及持续服务收入。2025年全球冷库监控系统产能约为7万套，表明行业具备满足冷链监控需求扩张的制造与交付能力。</w:t>
      </w:r>
    </w:p>
    <w:p w14:paraId="43E4AD38">
      <w:pPr>
        <w:pStyle w:val="145"/>
        <w:rPr>
          <w:lang w:eastAsia="zh-CN"/>
        </w:rPr>
      </w:pPr>
      <w:r>
        <w:rPr>
          <w:rFonts w:hint="eastAsia"/>
          <w:lang w:eastAsia="zh-CN"/>
        </w:rPr>
        <w:t>根据QYResearch最新调研报告显示，预计2</w:t>
      </w:r>
      <w:r>
        <w:rPr>
          <w:lang w:eastAsia="zh-CN"/>
        </w:rPr>
        <w:t>03</w:t>
      </w:r>
      <w:r>
        <w:rPr>
          <w:rFonts w:hint="eastAsia"/>
          <w:lang w:eastAsia="zh-CN"/>
        </w:rPr>
        <w:t>2年全球</w:t>
      </w:r>
      <w:r>
        <w:rPr>
          <w:lang w:eastAsia="zh-CN"/>
        </w:rPr>
        <w:t>冷库监控系统</w:t>
      </w:r>
      <w:r>
        <w:rPr>
          <w:rFonts w:hint="eastAsia"/>
          <w:lang w:eastAsia="zh-CN"/>
        </w:rPr>
        <w:t>市场规模将达到12.06亿美元，未来几年年复合增长率CAGR为6.41%。</w:t>
      </w:r>
    </w:p>
    <w:p w14:paraId="4D38E3C6">
      <w:pPr>
        <w:pStyle w:val="145"/>
        <w:rPr>
          <w:lang w:eastAsia="zh-CN"/>
        </w:rPr>
      </w:pPr>
    </w:p>
    <w:p w14:paraId="3F6C2722">
      <w:pPr>
        <w:pStyle w:val="148"/>
        <w:rPr>
          <w:lang w:eastAsia="zh-CN"/>
        </w:rPr>
      </w:pPr>
      <w:r>
        <w:rPr>
          <w:lang w:eastAsia="zh-CN"/>
        </w:rPr>
        <w:t>冷库监控系统</w:t>
      </w:r>
      <w:r>
        <w:rPr>
          <w:rFonts w:hint="eastAsia"/>
          <w:lang w:eastAsia="zh-CN"/>
        </w:rPr>
        <w:t>，全球市场总体规模</w:t>
      </w:r>
    </w:p>
    <w:p w14:paraId="33261207">
      <w:pPr>
        <w:pStyle w:val="145"/>
      </w:pPr>
      <w:r>
        <w:drawing>
          <wp:inline distT="0" distB="0" distL="0" distR="0">
            <wp:extent cx="6119495" cy="2879725"/>
            <wp:effectExtent l="0" t="0" r="0" b="0"/>
            <wp:docPr id="1050395985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548964BA"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冷库监控系统</w:t>
      </w:r>
      <w:r>
        <w:rPr>
          <w:rFonts w:hint="eastAsia"/>
          <w:lang w:eastAsia="zh-CN"/>
        </w:rPr>
        <w:t>市场研究报告2026-2032”</w:t>
      </w:r>
      <w:r>
        <w:rPr>
          <w:lang w:eastAsia="zh-CN"/>
        </w:rPr>
        <w:t>.</w:t>
      </w:r>
    </w:p>
    <w:p w14:paraId="12FD9BEF">
      <w:pPr>
        <w:pStyle w:val="145"/>
        <w:rPr>
          <w:lang w:eastAsia="zh-CN"/>
        </w:rPr>
      </w:pPr>
    </w:p>
    <w:p w14:paraId="720E31E2"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冷库监控系统</w:t>
      </w:r>
      <w:r>
        <w:rPr>
          <w:rFonts w:hint="eastAsia"/>
          <w:lang w:eastAsia="zh-CN"/>
        </w:rPr>
        <w:t>市场前10强生产商排名及市场占有率（基于2025年调研数据；目前最新数据以本公司最新调研数据为准）</w:t>
      </w:r>
    </w:p>
    <w:p w14:paraId="773AFA33">
      <w:pPr>
        <w:widowControl/>
        <w:topLinePunct w:val="0"/>
        <w:spacing w:after="0"/>
        <w:jc w:val="center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drawing>
          <wp:inline distT="0" distB="0" distL="0" distR="0">
            <wp:extent cx="3773805" cy="5993130"/>
            <wp:effectExtent l="0" t="0" r="0" b="7620"/>
            <wp:docPr id="52600942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6009421" name="图片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73805" cy="5993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A43543"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如上图表/数据，摘自QYResearch报告“全球</w:t>
      </w:r>
      <w:r>
        <w:rPr>
          <w:lang w:eastAsia="zh-CN"/>
        </w:rPr>
        <w:t>冷库监控系统</w:t>
      </w:r>
      <w:r>
        <w:rPr>
          <w:rFonts w:hint="eastAsia"/>
          <w:lang w:eastAsia="zh-CN"/>
        </w:rPr>
        <w:t>市场研究报告2026-2032”，排名基于2025数据。目前最新数据，以本公司最新调研数据为准。</w:t>
      </w:r>
    </w:p>
    <w:p w14:paraId="679A3E3B"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全球范围内，</w:t>
      </w:r>
      <w:r>
        <w:rPr>
          <w:lang w:eastAsia="zh-CN"/>
        </w:rPr>
        <w:t>冷库监控系统</w:t>
      </w:r>
      <w:r>
        <w:rPr>
          <w:rFonts w:hint="eastAsia"/>
          <w:lang w:eastAsia="zh-CN"/>
        </w:rPr>
        <w:t>主要生产商包括</w:t>
      </w:r>
      <w:r>
        <w:rPr>
          <w:lang w:eastAsia="zh-CN"/>
        </w:rPr>
        <w:t>Monnit</w:t>
      </w:r>
      <w:r>
        <w:rPr>
          <w:rFonts w:hint="eastAsia"/>
          <w:lang w:eastAsia="zh-CN"/>
        </w:rPr>
        <w:t>，</w:t>
      </w:r>
      <w:r>
        <w:rPr>
          <w:lang w:eastAsia="zh-CN"/>
        </w:rPr>
        <w:t>Elemental Machines</w:t>
      </w:r>
      <w:r>
        <w:rPr>
          <w:rFonts w:hint="eastAsia"/>
          <w:lang w:eastAsia="zh-CN"/>
        </w:rPr>
        <w:t>，</w:t>
      </w:r>
      <w:r>
        <w:rPr>
          <w:lang w:eastAsia="zh-CN"/>
        </w:rPr>
        <w:t>ELPRO</w:t>
      </w:r>
      <w:r>
        <w:rPr>
          <w:rFonts w:hint="eastAsia"/>
          <w:lang w:eastAsia="zh-CN"/>
        </w:rPr>
        <w:t>，</w:t>
      </w:r>
      <w:r>
        <w:rPr>
          <w:lang w:eastAsia="zh-CN"/>
        </w:rPr>
        <w:t>Disruptive Technologies Sensors</w:t>
      </w:r>
      <w:r>
        <w:rPr>
          <w:rFonts w:hint="eastAsia"/>
          <w:lang w:eastAsia="zh-CN"/>
        </w:rPr>
        <w:t>，</w:t>
      </w:r>
      <w:r>
        <w:rPr>
          <w:lang w:eastAsia="zh-CN"/>
        </w:rPr>
        <w:t>Paragon Robotics</w:t>
      </w:r>
      <w:r>
        <w:rPr>
          <w:rFonts w:hint="eastAsia"/>
          <w:lang w:eastAsia="zh-CN"/>
        </w:rPr>
        <w:t>等，其中前五大厂商占有大约41.05%的市场份额。</w:t>
      </w:r>
    </w:p>
    <w:p w14:paraId="096CCC31">
      <w:pPr>
        <w:widowControl/>
        <w:topLinePunct w:val="0"/>
        <w:spacing w:after="0"/>
        <w:jc w:val="left"/>
        <w:rPr>
          <w:rFonts w:cs="Arial"/>
          <w:b/>
          <w:color w:val="FF8200"/>
          <w:kern w:val="0"/>
          <w:szCs w:val="22"/>
        </w:rPr>
      </w:pPr>
      <w:r>
        <w:rPr>
          <w:rFonts w:cs="Arial"/>
          <w:b/>
          <w:color w:val="FF8200"/>
        </w:rPr>
        <w:br w:type="page"/>
      </w:r>
    </w:p>
    <w:p w14:paraId="2CB93CE1"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主要驱动因素</w:t>
      </w:r>
      <w:r>
        <w:rPr>
          <w:lang w:eastAsia="zh-CN"/>
        </w:rPr>
        <w:t>:</w:t>
      </w:r>
    </w:p>
    <w:p w14:paraId="5961582E">
      <w:pPr>
        <w:pStyle w:val="145"/>
        <w:numPr>
          <w:ilvl w:val="0"/>
          <w:numId w:val="4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食品安全与药品监管法规日益严格：国家《食品安全法》《疫苗管理法》及GSP/GMP规范强制要求冷链全程温湿度可追溯，推动冷库必须部署实时监控系统。</w:t>
      </w:r>
    </w:p>
    <w:p w14:paraId="0680D1C1">
      <w:pPr>
        <w:pStyle w:val="145"/>
        <w:numPr>
          <w:ilvl w:val="0"/>
          <w:numId w:val="4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生鲜电商与医药冷链需求爆发：社区团购、预制菜、生物制药等产业高速增长，对冷库温控精度、远程报警和数据存证提出刚性需求。</w:t>
      </w:r>
    </w:p>
    <w:p w14:paraId="5666E4F2">
      <w:pPr>
        <w:pStyle w:val="145"/>
        <w:numPr>
          <w:ilvl w:val="0"/>
          <w:numId w:val="4"/>
        </w:numPr>
        <w:rPr>
          <w:lang w:eastAsia="zh-CN"/>
        </w:rPr>
      </w:pPr>
      <w:r>
        <w:rPr>
          <w:rFonts w:hint="eastAsia"/>
          <w:lang w:eastAsia="zh-CN"/>
        </w:rPr>
        <w:t>物联网与5G技术成熟降低成本：无线传感器、云平台和AI预警算法普及，使冷库监控系统部署成本下降40%以上，中小冷库也能负担。</w:t>
      </w:r>
    </w:p>
    <w:p w14:paraId="446A06E2">
      <w:pPr>
        <w:pStyle w:val="145"/>
        <w:rPr>
          <w:lang w:eastAsia="zh-CN"/>
        </w:rPr>
      </w:pPr>
      <w:r>
        <w:rPr>
          <w:rFonts w:hint="eastAsia"/>
          <w:lang w:eastAsia="zh-CN"/>
        </w:rPr>
        <w:t>主要阻碍因素</w:t>
      </w:r>
      <w:r>
        <w:rPr>
          <w:lang w:eastAsia="zh-CN"/>
        </w:rPr>
        <w:t>:</w:t>
      </w:r>
    </w:p>
    <w:p w14:paraId="2C8F4324">
      <w:pPr>
        <w:pStyle w:val="145"/>
        <w:numPr>
          <w:ilvl w:val="0"/>
          <w:numId w:val="5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中小型冷库业主预算有限、意识薄弱：大量传统冷库仍依赖人工抄表，认为“不坏就不用装”，对数字化投入意愿低。</w:t>
      </w:r>
    </w:p>
    <w:p w14:paraId="0F0F910D">
      <w:pPr>
        <w:pStyle w:val="145"/>
        <w:numPr>
          <w:ilvl w:val="0"/>
          <w:numId w:val="5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系统兼容性与标准缺失：不同厂商设备协议不统一（如Modbus、LoRa、NB-IoT混用），难以集成到统一管理平台，增加运维复杂度。</w:t>
      </w:r>
    </w:p>
    <w:p w14:paraId="3296E651">
      <w:pPr>
        <w:pStyle w:val="145"/>
        <w:numPr>
          <w:ilvl w:val="0"/>
          <w:numId w:val="5"/>
        </w:numPr>
        <w:rPr>
          <w:lang w:eastAsia="zh-CN"/>
        </w:rPr>
      </w:pPr>
      <w:r>
        <w:rPr>
          <w:rFonts w:hint="eastAsia"/>
          <w:lang w:eastAsia="zh-CN"/>
        </w:rPr>
        <w:t>极端环境可靠性挑战：冷库长期处于-25℃以下低温、高湿环境，普通电子元器件易失效，导致传感器漂移或通信中断，影响系统稳定性。</w:t>
      </w:r>
    </w:p>
    <w:p w14:paraId="525A3671"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行业发展机遇</w:t>
      </w:r>
      <w:r>
        <w:rPr>
          <w:lang w:eastAsia="zh-CN"/>
        </w:rPr>
        <w:t>:</w:t>
      </w:r>
    </w:p>
    <w:p w14:paraId="69E770C7">
      <w:pPr>
        <w:pStyle w:val="145"/>
        <w:numPr>
          <w:ilvl w:val="0"/>
          <w:numId w:val="6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国家推进“冷链基础设施补短板”政策：农业农村部、商务部等推动产地冷库、骨干冷链基地建设，明确要求配备智能监控系统，带来百亿级市场空间。</w:t>
      </w:r>
    </w:p>
    <w:p w14:paraId="6EDE796D">
      <w:pPr>
        <w:pStyle w:val="145"/>
        <w:numPr>
          <w:ilvl w:val="0"/>
          <w:numId w:val="6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碳中和目标驱动能效管理升级：新一代冷库监控系统融合能耗监测与压缩机联动控制，帮助用户降低10%–20%电费，形成“安全+节能”双重价值。</w:t>
      </w:r>
    </w:p>
    <w:p w14:paraId="07A95001">
      <w:pPr>
        <w:pStyle w:val="145"/>
        <w:rPr>
          <w:lang w:eastAsia="zh-CN"/>
        </w:rPr>
      </w:pPr>
      <w:r>
        <w:rPr>
          <w:rFonts w:hint="eastAsia"/>
          <w:lang w:eastAsia="zh-CN"/>
        </w:rPr>
        <w:t>SaaS化与平台化服务模式兴起：厂商从卖硬件转向提供“监控+报警+合规报告”订阅服务（年费制），降低客户初始投入门槛，提升客户粘性和持续收入。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Start w:id="13" w:name="_GoBack"/>
      <w:bookmarkEnd w:id="13"/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6E0980">
    <w:pPr>
      <w:pStyle w:val="21"/>
      <w:jc w:val="center"/>
    </w:pPr>
    <w:r>
      <w:t>Copyright © QYResearch | market@qyresearch.com | www.qyresearch.com.cn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EBBC53"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 w14:paraId="65371B16"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 w14:paraId="65371B16"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 w14:paraId="02A48211">
    <w:pPr>
      <w:pStyle w:val="22"/>
      <w:pBdr>
        <w:bottom w:val="none" w:color="auto" w:sz="0" w:space="0"/>
      </w:pBdr>
      <w:jc w:val="both"/>
    </w:pPr>
  </w:p>
  <w:p w14:paraId="7C1E6558">
    <w:pPr>
      <w:pStyle w:val="22"/>
      <w:pBdr>
        <w:bottom w:val="none" w:color="auto" w:sz="0" w:space="0"/>
      </w:pBdr>
      <w:jc w:val="both"/>
    </w:pPr>
  </w:p>
  <w:p w14:paraId="3522D064">
    <w:pPr>
      <w:pStyle w:val="22"/>
      <w:pBdr>
        <w:bottom w:val="none" w:color="auto" w:sz="0" w:space="0"/>
      </w:pBdr>
      <w:jc w:val="both"/>
    </w:pPr>
  </w:p>
  <w:p w14:paraId="0E6B6DFD"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839A2F">
    <w:r>
      <w:rPr>
        <w:lang w:eastAsia="en-IN"/>
      </w:rPr>
      <w:pict>
        <v:shape id="WordPictureWatermark17776532" o:spid="_x0000_s1032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86DDD5">
    <w:r>
      <w:rPr>
        <w:lang w:eastAsia="en-IN"/>
      </w:rPr>
      <w:pict>
        <v:shape id="WordPictureWatermark17776531" o:spid="_x0000_s1031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3DC1688"/>
    <w:multiLevelType w:val="multilevel"/>
    <w:tmpl w:val="13DC1688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2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">
    <w:nsid w:val="244F193D"/>
    <w:multiLevelType w:val="multilevel"/>
    <w:tmpl w:val="244F193D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4">
    <w:nsid w:val="2BF76064"/>
    <w:multiLevelType w:val="multilevel"/>
    <w:tmpl w:val="2BF76064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5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4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48D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8A7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462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9F4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3B1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7B8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136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664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146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CA5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D72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C0E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C6C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14C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90B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30F"/>
    <w:rsid w:val="00174813"/>
    <w:rsid w:val="00174928"/>
    <w:rsid w:val="00174B47"/>
    <w:rsid w:val="00175134"/>
    <w:rsid w:val="00175245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6E10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D3F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67A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06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4FD1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3DC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9EE"/>
    <w:rsid w:val="002B1A3C"/>
    <w:rsid w:val="002B1CB6"/>
    <w:rsid w:val="002B1CDF"/>
    <w:rsid w:val="002B23E5"/>
    <w:rsid w:val="002B248B"/>
    <w:rsid w:val="002B24B5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86A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505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6BC4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05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0E4"/>
    <w:rsid w:val="003915D3"/>
    <w:rsid w:val="00391663"/>
    <w:rsid w:val="0039166F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A67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530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A5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3CA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7FE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A42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82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76C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097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78C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922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E5D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1AC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5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5A7A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75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BD4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4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3BE"/>
    <w:rsid w:val="006B2419"/>
    <w:rsid w:val="006B2590"/>
    <w:rsid w:val="006B27ED"/>
    <w:rsid w:val="006B28D0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8C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223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26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63A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5DA8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EDC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254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E94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118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59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5EA9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23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6F2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7F0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AF5"/>
    <w:rsid w:val="00991DA2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4ED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473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19A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561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A24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0D0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6E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729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04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143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2D5E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3D4F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41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69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2E7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27E95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32B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98E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0B3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6CA"/>
    <w:rsid w:val="00D01FF4"/>
    <w:rsid w:val="00D021DA"/>
    <w:rsid w:val="00D024E5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4F67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8C7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DE2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977"/>
    <w:rsid w:val="00E22C64"/>
    <w:rsid w:val="00E22CD0"/>
    <w:rsid w:val="00E22F8E"/>
    <w:rsid w:val="00E237C2"/>
    <w:rsid w:val="00E238A2"/>
    <w:rsid w:val="00E23946"/>
    <w:rsid w:val="00E23958"/>
    <w:rsid w:val="00E23D9D"/>
    <w:rsid w:val="00E23F86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374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283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1FFF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24C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6E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53E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3A84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3F9F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8D6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9F5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1A2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8B7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3C4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2BC17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uiPriority w:val="99"/>
    <w:rPr>
      <w:vertAlign w:val="superscript"/>
    </w:rPr>
  </w:style>
  <w:style w:type="character" w:styleId="70">
    <w:name w:val="Emphasis"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uiPriority w:val="99"/>
  </w:style>
  <w:style w:type="table" w:customStyle="1" w:styleId="201">
    <w:name w:val="List Table 2 Accent 5"/>
    <w:basedOn w:val="34"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4.png"/><Relationship Id="rId10" Type="http://schemas.openxmlformats.org/officeDocument/2006/relationships/chart" Target="charts/chart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1.xml"/><Relationship Id="rId3" Type="http://schemas.microsoft.com/office/2011/relationships/chartStyle" Target="style1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86187\Desktop\&#24037;&#20316;&#25991;&#20214;\&#35266;&#28857;\&#35266;&#28857;&#25968;&#25454;&#22270;&#34920;&#27169;&#26495;-&#27169;&#26495;%2020240407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zh-CN" altLang="en-US" sz="1100">
                <a:latin typeface="Book Antiqua" panose="02040602050305030304" pitchFamily="1" charset="0"/>
              </a:rPr>
              <a:t>全球市场规模（百万美元），</a:t>
            </a:r>
            <a:r>
              <a:rPr lang="en-US" altLang="zh-CN" sz="1100">
                <a:latin typeface="Book Antiqua" panose="02040602050305030304" pitchFamily="1" charset="0"/>
              </a:rPr>
              <a:t>2026 VS 2032</a:t>
            </a:r>
            <a:endParaRPr lang="en-US" altLang="zh-CN" sz="11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全球总体!$A$22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全球总体!$C$21:$D$21</c:f>
              <c:numCache>
                <c:formatCode>General</c:formatCode>
                <c:ptCount val="2"/>
                <c:pt idx="0">
                  <c:v>2026</c:v>
                </c:pt>
                <c:pt idx="1">
                  <c:v>2032</c:v>
                </c:pt>
              </c:numCache>
            </c:numRef>
          </c:cat>
          <c:val>
            <c:numRef>
              <c:f>全球总体!$C$22:$D$22</c:f>
              <c:numCache>
                <c:formatCode>General</c:formatCode>
                <c:ptCount val="2"/>
                <c:pt idx="0">
                  <c:v>830.7</c:v>
                </c:pt>
                <c:pt idx="1">
                  <c:v>1206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uri="{0b15fc19-7d7d-44ad-8c2d-2c3a37ce22c3}">
        <chartProps xmlns="https://web.wps.cn/et/2018/main" chartId="{10b6f785-78f9-44c2-b054-03db7a148d9c}"/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0.35377</cdr:x>
      <cdr:y>0.24481</cdr:y>
    </cdr:from>
    <cdr:to>
      <cdr:x>0.63686</cdr:x>
      <cdr:y>0.40021</cdr:y>
    </cdr:to>
    <cdr:grpSp>
      <cdr:nvGrpSpPr>
        <cdr:cNvPr id="2" name="组合 1"/>
        <cdr:cNvGrpSpPr/>
      </cdr:nvGrpSpPr>
      <cdr:grpSpPr xmlns:a="http://schemas.openxmlformats.org/drawingml/2006/main">
        <a:xfrm rot="614686">
          <a:off x="2164894" y="704985"/>
          <a:ext cx="1732368" cy="447509"/>
          <a:chOff x="2478742" y="1215742"/>
          <a:chExt cx="1262078" cy="485914"/>
        </a:xfrm>
      </cdr:grpSpPr>
      <cdr:cxnSp>
        <cdr:nvCxnSpPr>
          <cdr:cNvPr id="3" name="直接箭头连接符 2"/>
          <cdr:cNvCxnSpPr/>
        </cdr:nvCxnSpPr>
        <cdr:spPr xmlns:a="http://schemas.openxmlformats.org/drawingml/2006/main">
          <a:xfrm xmlns:a="http://schemas.openxmlformats.org/drawingml/2006/main" rot="20985314" flipV="1">
            <a:off x="2478742" y="1215742"/>
            <a:ext cx="1262078" cy="485914"/>
          </a:xfrm>
          <a:prstGeom xmlns:a="http://schemas.openxmlformats.org/drawingml/2006/main" prst="straightConnector1">
            <a:avLst/>
          </a:prstGeom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4" name="椭圆 3"/>
          <cdr:cNvSpPr/>
        </cdr:nvSpPr>
        <cdr:spPr xmlns:a="http://schemas.openxmlformats.org/drawingml/2006/main">
          <a:xfrm xmlns:a="http://schemas.openxmlformats.org/drawingml/2006/main" rot="20012677">
            <a:off x="2746063" y="1300316"/>
            <a:ext cx="745266" cy="281785"/>
          </a:xfrm>
          <a:prstGeom xmlns:a="http://schemas.openxmlformats.org/drawingml/2006/main" prst="ellipse">
            <a:avLst/>
          </a:prstGeom>
          <a:solidFill>
            <a:srgbClr val="FFC000"/>
          </a:solidFill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 baseline="0">
                <a:latin typeface="Book Antiqua" panose="02040602050305030304" pitchFamily="1" charset="0"/>
                <a:ea typeface="宋体" panose="02010600030101010101" charset="-122"/>
              </a:rPr>
              <a:t>6.41%</a:t>
            </a:r>
            <a:endParaRPr lang="zh-CN" baseline="0">
              <a:latin typeface="Book Antiqua" panose="02040602050305030304" pitchFamily="1" charset="0"/>
              <a:ea typeface="宋体" panose="02010600030101010101" charset="-122"/>
            </a:endParaRPr>
          </a:p>
        </cdr:txBody>
      </cdr: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  <customShpInfo spid="_x0000_s1032"/>
    <customShpInfo spid="_x0000_s103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19C77F-A8DE-416F-A2F8-FE3DCC1B32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1788</Words>
  <Characters>2077</Characters>
  <Lines>56</Lines>
  <Paragraphs>43</Paragraphs>
  <TotalTime>700</TotalTime>
  <ScaleCrop>false</ScaleCrop>
  <LinksUpToDate>false</LinksUpToDate>
  <CharactersWithSpaces>2081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鼕鼕</cp:lastModifiedBy>
  <dcterms:modified xsi:type="dcterms:W3CDTF">2026-02-05T07:35:30Z</dcterms:modified>
  <cp:revision>884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eyJoZGlkIjoiMjFmNGNlNTgxMTU0YzBhMjY3NTRmNDcyYjNlZTNhMDciLCJ1c2VySWQiOiI0MzI5MTg4NDMifQ==</vt:lpwstr>
  </property>
  <property fmtid="{D5CDD505-2E9C-101B-9397-08002B2CF9AE}" pid="3" name="KSOProductBuildVer">
    <vt:lpwstr>2052-12.1.0.24657</vt:lpwstr>
  </property>
  <property fmtid="{D5CDD505-2E9C-101B-9397-08002B2CF9AE}" pid="4" name="ICV">
    <vt:lpwstr>5FA6C119069043C6893719FD9C1120DF_12</vt:lpwstr>
  </property>
</Properties>
</file>