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481801204"/>
      <w:bookmarkStart w:id="1" w:name="_Toc418070112"/>
      <w:bookmarkStart w:id="2" w:name="_Toc415818939"/>
      <w:bookmarkStart w:id="3" w:name="_Toc453597319"/>
      <w:bookmarkStart w:id="4" w:name="_Toc438987549"/>
      <w:bookmarkStart w:id="5" w:name="OLE_LINK15"/>
      <w:bookmarkStart w:id="6" w:name="OLE_LINK13"/>
      <w:bookmarkStart w:id="7" w:name="_Toc517262917"/>
      <w:bookmarkStart w:id="8" w:name="_Toc415143481"/>
      <w:bookmarkStart w:id="9" w:name="OLE_LINK39"/>
      <w:bookmarkStart w:id="10" w:name="_Toc415142861"/>
      <w:bookmarkStart w:id="11" w:name="OLE_LINK40"/>
      <w:bookmarkStart w:id="12" w:name="OLE_LINK24"/>
      <w:r>
        <w:drawing>
          <wp:inline distT="0" distB="0" distL="114300" distR="114300">
            <wp:extent cx="6181090" cy="4450080"/>
            <wp:effectExtent l="0" t="0" r="1016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1090" cy="445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全球市场总体规模</w:t>
      </w:r>
    </w:p>
    <w:p w14:paraId="38E9F2CA">
      <w:pPr>
        <w:pStyle w:val="145"/>
        <w:rPr>
          <w:lang w:eastAsia="zh-CN"/>
        </w:rPr>
      </w:pPr>
      <w:r>
        <w:rPr>
          <w:rFonts w:hint="eastAsia"/>
          <w:lang w:eastAsia="zh-CN"/>
        </w:rPr>
        <w:t>喷雾干燥机是一种将液体或浆状物质雾化到热干燥介质（通常是空气）中，从而转化为干粉或颗粒的技术。该工艺广泛应用于各个行业，用于生产奶粉、速溶咖啡、药品、洗涤剂、陶瓷等产品。喷雾干燥的主要目的是去除液体中的水分，从而得到具有所需特性的固体产品。</w:t>
      </w:r>
    </w:p>
    <w:p w14:paraId="10A44289">
      <w:pPr>
        <w:pStyle w:val="145"/>
        <w:rPr>
          <w:rFonts w:hint="eastAsia"/>
          <w:lang w:eastAsia="zh-CN"/>
        </w:rPr>
      </w:pPr>
      <w:r>
        <w:drawing>
          <wp:inline distT="0" distB="0" distL="0" distR="0">
            <wp:extent cx="4295140" cy="2428240"/>
            <wp:effectExtent l="0" t="0" r="0" b="0"/>
            <wp:docPr id="14136363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63632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95238" cy="24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09413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根据QYResearch调研团队最新报告“全球喷雾干燥机市场报告2026-2032”显示，预计2032年全球喷雾干燥机市场规模将达到16.6亿美元，未来几年年复合增长率CAGR为4.6%。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rPr>
          <w:lang w:eastAsia="zh-CN"/>
        </w:rPr>
      </w:pPr>
      <w:r>
        <w:drawing>
          <wp:inline distT="0" distB="0" distL="0" distR="0">
            <wp:extent cx="6188710" cy="2954655"/>
            <wp:effectExtent l="0" t="0" r="2540" b="0"/>
            <wp:docPr id="68829992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市场研究报告2026-2032”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全球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强生产商排名及市场占有率（基于2025年调研数据；目前最新数据以本公司最新调研数据为准）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819650" cy="4909820"/>
            <wp:effectExtent l="4445" t="4445" r="14605" b="19685"/>
            <wp:docPr id="204658157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市场研究报告2026-2032”，排名基于2025数据。目前最新数据，以本公司最新调研数据为准。</w:t>
      </w:r>
    </w:p>
    <w:p w14:paraId="679A3E3B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根据QYResearch头部企业研究中心调研，全球范围内喷雾干燥机生产商主要包括GEA、SPX Flow、Fujisaki Electric、Dedert、SACMI、Wuxi Modern、Yamato Scientific、Buchi、Changzhou Lemar、Dahmes Stainless等。2025年，全球前五大厂商占有大约25.0%的市场份额。</w:t>
      </w:r>
    </w:p>
    <w:p w14:paraId="29E7A780">
      <w:pPr>
        <w:pStyle w:val="145"/>
        <w:rPr>
          <w:lang w:eastAsia="zh-CN"/>
        </w:rPr>
      </w:pPr>
    </w:p>
    <w:p w14:paraId="3B2E5865">
      <w:pPr>
        <w:pStyle w:val="145"/>
        <w:rPr>
          <w:lang w:eastAsia="zh-CN"/>
        </w:rPr>
      </w:pPr>
    </w:p>
    <w:p w14:paraId="3E6DE9A8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，全球市场规模，按产品类型细分</w:t>
      </w:r>
    </w:p>
    <w:p w14:paraId="19A9AF05">
      <w:pPr>
        <w:pStyle w:val="145"/>
        <w:rPr>
          <w:lang w:eastAsia="zh-CN"/>
        </w:rPr>
      </w:pPr>
      <w:r>
        <w:drawing>
          <wp:inline distT="0" distB="0" distL="0" distR="0">
            <wp:extent cx="6188710" cy="2853055"/>
            <wp:effectExtent l="0" t="0" r="2540" b="4445"/>
            <wp:docPr id="19836339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33974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C1641"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71025989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DDE815E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市场研究报告2026-2032”</w:t>
      </w:r>
      <w:r>
        <w:rPr>
          <w:lang w:eastAsia="zh-CN"/>
        </w:rPr>
        <w:t>.</w:t>
      </w:r>
    </w:p>
    <w:p w14:paraId="27D2A007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就产品类型而言，目前Pressure Spray Drying Equipment是最主要的细分产品，占据大约42.1%的份额。</w:t>
      </w:r>
    </w:p>
    <w:p w14:paraId="41C3AE68">
      <w:pPr>
        <w:pStyle w:val="145"/>
        <w:rPr>
          <w:lang w:eastAsia="zh-CN"/>
        </w:rPr>
      </w:pPr>
    </w:p>
    <w:p w14:paraId="0B069045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，全球市场规模，按应用细分</w:t>
      </w:r>
    </w:p>
    <w:p w14:paraId="0A4DB270">
      <w:pPr>
        <w:widowControl/>
        <w:topLinePunct w:val="0"/>
        <w:spacing w:after="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853055"/>
            <wp:effectExtent l="0" t="0" r="2540" b="4445"/>
            <wp:docPr id="17640318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031812" name="图片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9213C6">
      <w:pPr>
        <w:widowControl/>
        <w:topLinePunct w:val="0"/>
        <w:spacing w:after="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922270"/>
            <wp:effectExtent l="0" t="0" r="2540" b="0"/>
            <wp:docPr id="60898186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8CA65E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市场研究报告2026-2032”</w:t>
      </w:r>
      <w:r>
        <w:rPr>
          <w:lang w:eastAsia="zh-CN"/>
        </w:rPr>
        <w:t>.</w:t>
      </w:r>
    </w:p>
    <w:p w14:paraId="032E19C8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就产品应用而言，目前Food是最主要的需求来源，占据大约43.8%的份额。</w:t>
      </w:r>
    </w:p>
    <w:p w14:paraId="4B5D90DE">
      <w:pPr>
        <w:pStyle w:val="145"/>
        <w:rPr>
          <w:lang w:eastAsia="zh-CN"/>
        </w:rPr>
      </w:pPr>
    </w:p>
    <w:p w14:paraId="0CD10F4E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全球主要市场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规模</w:t>
      </w:r>
    </w:p>
    <w:p w14:paraId="4B44D8E9"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84323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1BA1E31A">
      <w:pPr>
        <w:pStyle w:val="145"/>
        <w:rPr>
          <w:rFonts w:hint="eastAsia"/>
          <w:lang w:val="en-US" w:eastAsia="zh-CN"/>
        </w:rPr>
      </w:pPr>
      <w:bookmarkStart w:id="13" w:name="_GoBack"/>
      <w:r>
        <w:drawing>
          <wp:inline distT="0" distB="0" distL="0" distR="0">
            <wp:extent cx="5908040" cy="3059430"/>
            <wp:effectExtent l="0" t="0" r="0" b="7620"/>
            <wp:docPr id="144680504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bookmarkEnd w:id="13"/>
    </w:p>
    <w:p w14:paraId="265C5B20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喷雾干燥机</w:t>
      </w:r>
      <w:r>
        <w:rPr>
          <w:rFonts w:hint="eastAsia"/>
          <w:lang w:eastAsia="zh-CN"/>
        </w:rPr>
        <w:t>市场研究报告2026-2032”</w:t>
      </w:r>
      <w:r>
        <w:rPr>
          <w:lang w:eastAsia="zh-CN"/>
        </w:rPr>
        <w:t>.</w:t>
      </w:r>
    </w:p>
    <w:p w14:paraId="3BEB8223">
      <w:pPr>
        <w:pStyle w:val="143"/>
        <w:rPr>
          <w:lang w:eastAsia="zh-CN"/>
        </w:rPr>
      </w:pPr>
    </w:p>
    <w:p w14:paraId="1B70AE3F">
      <w:pPr>
        <w:pStyle w:val="145"/>
        <w:rPr>
          <w:lang w:eastAsia="zh-CN"/>
        </w:rPr>
      </w:pPr>
    </w:p>
    <w:p w14:paraId="6AB919D2"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主要驱动因素：</w:t>
      </w:r>
    </w:p>
    <w:p w14:paraId="22FE277D">
      <w:pPr>
        <w:pStyle w:val="145"/>
        <w:rPr>
          <w:lang w:eastAsia="zh-CN"/>
        </w:rPr>
      </w:pPr>
      <w:r>
        <w:rPr>
          <w:rFonts w:hint="eastAsia"/>
          <w:lang w:eastAsia="zh-CN"/>
        </w:rPr>
        <w:t>1. 加工食品和方便食品的需求：速溶咖啡、奶粉、汤料、蛋白粉和功能性食品配料的快速增长直接推动了市场需求。</w:t>
      </w:r>
    </w:p>
    <w:p w14:paraId="5A80EEDF">
      <w:pPr>
        <w:pStyle w:val="145"/>
        <w:rPr>
          <w:lang w:eastAsia="zh-CN"/>
        </w:rPr>
      </w:pPr>
      <w:r>
        <w:rPr>
          <w:rFonts w:hint="eastAsia"/>
          <w:lang w:eastAsia="zh-CN"/>
        </w:rPr>
        <w:t>2. 制药和生物制药行业的扩张：精确的粒径和形态对于活性药物成分 (API)、辅料、益生菌和热敏性生物制剂的生产至关重要，因为这些产品的疗效和生物利用度都受到严格控制。</w:t>
      </w:r>
    </w:p>
    <w:p w14:paraId="5A207FDA">
      <w:pPr>
        <w:pStyle w:val="145"/>
        <w:rPr>
          <w:lang w:eastAsia="zh-CN"/>
        </w:rPr>
      </w:pPr>
      <w:r>
        <w:rPr>
          <w:rFonts w:hint="eastAsia"/>
          <w:lang w:eastAsia="zh-CN"/>
        </w:rPr>
        <w:t>3. 营养保健品和功能性成分的增长：消费者健康意识的提高推动了对喷雾干燥维生素、植物提取物、海洋脂质（如 Omega-3 粉末）和其他包封营养素的需求。</w:t>
      </w:r>
    </w:p>
    <w:p w14:paraId="4462B40E">
      <w:pPr>
        <w:pStyle w:val="145"/>
        <w:rPr>
          <w:lang w:eastAsia="zh-CN"/>
        </w:rPr>
      </w:pPr>
    </w:p>
    <w:p w14:paraId="67577450"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主要挑战：</w:t>
      </w:r>
    </w:p>
    <w:p w14:paraId="0BB9B6B8">
      <w:pPr>
        <w:pStyle w:val="145"/>
        <w:rPr>
          <w:lang w:eastAsia="zh-CN"/>
        </w:rPr>
      </w:pPr>
      <w:r>
        <w:rPr>
          <w:rFonts w:hint="eastAsia"/>
          <w:lang w:eastAsia="zh-CN"/>
        </w:rPr>
        <w:t>1. 高昂的资本和运营成本：喷雾干燥机，尤其是先进的配置，需要大量的初始投资和高能耗（用于加热和雾化），这会影响小型企业的投资回报率。</w:t>
      </w:r>
    </w:p>
    <w:p w14:paraId="0C46DB3C">
      <w:pPr>
        <w:pStyle w:val="145"/>
        <w:rPr>
          <w:lang w:eastAsia="zh-CN"/>
        </w:rPr>
      </w:pPr>
      <w:r>
        <w:rPr>
          <w:rFonts w:hint="eastAsia"/>
          <w:lang w:eastAsia="zh-CN"/>
        </w:rPr>
        <w:t>2. 加工热敏性材料：尽管喷雾干燥是一种快速干燥方法，但暴露于高温气体中可能会降解高度敏感的活性成分（例如，某些益生菌、挥发性香料）。参数优化非常复杂，并且取决于具体的材料。</w:t>
      </w:r>
    </w:p>
    <w:p w14:paraId="34A8B176">
      <w:pPr>
        <w:pStyle w:val="145"/>
        <w:rPr>
          <w:lang w:eastAsia="zh-CN"/>
        </w:rPr>
      </w:pPr>
      <w:r>
        <w:rPr>
          <w:rFonts w:hint="eastAsia"/>
          <w:lang w:eastAsia="zh-CN"/>
        </w:rPr>
        <w:t>3. 粘性和吸湿性产品：某些材料（例如，高糖果汁、某些聚合物）容易粘附在干燥室壁上（壁面沉积），导致停机、产量损失和潜在的火灾隐患。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6FA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9E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374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38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6FB4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119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1AD1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ABF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77F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3E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4F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3B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5FE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5E9B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4D3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8E0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97D251D"/>
    <w:rsid w:val="534D2836"/>
    <w:rsid w:val="62512D8D"/>
    <w:rsid w:val="689D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chart" Target="charts/chart6.xml"/><Relationship Id="rId17" Type="http://schemas.openxmlformats.org/officeDocument/2006/relationships/chart" Target="charts/chart5.xml"/><Relationship Id="rId16" Type="http://schemas.openxmlformats.org/officeDocument/2006/relationships/chart" Target="charts/chart4.xml"/><Relationship Id="rId15" Type="http://schemas.openxmlformats.org/officeDocument/2006/relationships/image" Target="media/image6.png"/><Relationship Id="rId14" Type="http://schemas.openxmlformats.org/officeDocument/2006/relationships/chart" Target="charts/chart3.xml"/><Relationship Id="rId13" Type="http://schemas.openxmlformats.org/officeDocument/2006/relationships/image" Target="media/image5.png"/><Relationship Id="rId12" Type="http://schemas.openxmlformats.org/officeDocument/2006/relationships/chart" Target="charts/chart2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20260120%20&#23459;&#20256;&#25991;&#26723;%20%20&#24352;&#27905;%20%201&#20010;\20260120%20Spray%20Dryer\&#35266;&#28857;&#25968;&#25454;&#22270;&#34920;&#27169;&#26495;-&#27169;&#26495;%2020240426%20&#20026;&#209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admin\Desktop\20260120%20&#23459;&#20256;&#25991;&#26723;%20%20&#24352;&#27905;%20%201&#20010;\20260120%20Spray%20Dryer\&#35266;&#28857;&#25968;&#25454;&#22270;&#34920;&#27169;&#26495;-&#27169;&#26495;%2020240426%20&#20026;&#2093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admin\Desktop\20260120%20&#23459;&#20256;&#25991;&#26723;%20%20&#24352;&#27905;%20%201&#20010;\20260120%20Spray%20Dryer\&#35266;&#28857;&#25968;&#25454;&#22270;&#34920;&#27169;&#26495;-&#27169;&#26495;%2020240426%20&#20026;&#20934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\Desktop\20260120%20&#23459;&#20256;&#25991;&#26723;%20%20&#24352;&#27905;%20%201&#20010;\20260120%20Spray%20Dryer\&#35266;&#28857;&#25968;&#25454;&#22270;&#34920;&#27169;&#26495;-&#27169;&#26495;%2020240426%20&#20026;&#20934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admin\Desktop\20260120%20&#23459;&#20256;&#25991;&#26723;%20%20&#24352;&#27905;%20%201&#20010;\20260120%20Spray%20Dryer\&#35266;&#28857;&#25968;&#25454;&#22270;&#34920;&#27169;&#26495;-&#27169;&#26495;%2020240426%20&#20026;&#20934;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esktop\20260120%20&#23459;&#20256;&#25991;&#26723;%20%20&#24352;&#27905;%20%201&#20010;\20260120%20Spray%20Dryer\&#35266;&#28857;&#25968;&#25454;&#22270;&#34920;&#27169;&#26495;-&#27169;&#26495;%2020240426%20&#20026;&#2093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en-US"/>
              <a:t>Global Market Size ($ Mn)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333680629718612"/>
          <c:y val="0.131440849673203"/>
          <c:w val="0.937283950617284"/>
          <c:h val="0.7930303921568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全球总体!$S$6:$U$6</c:f>
              <c:numCache>
                <c:formatCode>General</c:formatCode>
                <c:ptCount val="3"/>
                <c:pt idx="0">
                  <c:v>2021</c:v>
                </c:pt>
                <c:pt idx="1">
                  <c:v>2026</c:v>
                </c:pt>
                <c:pt idx="2">
                  <c:v>2032</c:v>
                </c:pt>
              </c:numCache>
            </c:numRef>
          </c:cat>
          <c:val>
            <c:numRef>
              <c:f>全球总体!$S$7:$U$7</c:f>
              <c:numCache>
                <c:formatCode>#,##0_ </c:formatCode>
                <c:ptCount val="3"/>
                <c:pt idx="0">
                  <c:v>1114.2</c:v>
                </c:pt>
                <c:pt idx="1">
                  <c:v>1268.35</c:v>
                </c:pt>
                <c:pt idx="2">
                  <c:v>1664.94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sq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89442bda-5aa2-4eb1-aa78-fc1cc300580a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全球市场主要企业排名</a:t>
            </a: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2025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企业收入!$H$2:$H$21</c:f>
              <c:strCache>
                <c:ptCount val="10"/>
                <c:pt idx="0">
                  <c:v>GEA</c:v>
                </c:pt>
                <c:pt idx="1">
                  <c:v>SPX Flow</c:v>
                </c:pt>
                <c:pt idx="2">
                  <c:v>Fujisaki Electric</c:v>
                </c:pt>
                <c:pt idx="3">
                  <c:v>Dedert</c:v>
                </c:pt>
                <c:pt idx="4">
                  <c:v>SACMI</c:v>
                </c:pt>
                <c:pt idx="5">
                  <c:v>Wuxi Modern</c:v>
                </c:pt>
                <c:pt idx="6">
                  <c:v>Yamato Scientific</c:v>
                </c:pt>
                <c:pt idx="7">
                  <c:v>Buchi</c:v>
                </c:pt>
                <c:pt idx="8">
                  <c:v>Changzhou Lemar</c:v>
                </c:pt>
                <c:pt idx="9">
                  <c:v>Dahmes Stainless</c:v>
                </c:pt>
              </c:strCache>
            </c:strRef>
          </c:cat>
          <c:val>
            <c:numRef>
              <c:f>企业收入!$I$2:$I$21</c:f>
              <c:numCache>
                <c:formatCode>0.0%</c:formatCode>
                <c:ptCount val="10"/>
                <c:pt idx="0">
                  <c:v>0.13074075614524</c:v>
                </c:pt>
                <c:pt idx="1">
                  <c:v>0.0440044919519195</c:v>
                </c:pt>
                <c:pt idx="2">
                  <c:v>0.0365095869899763</c:v>
                </c:pt>
                <c:pt idx="3">
                  <c:v>0.0190991140872603</c:v>
                </c:pt>
                <c:pt idx="4">
                  <c:v>0.0150064467828474</c:v>
                </c:pt>
                <c:pt idx="5">
                  <c:v>0.0114794326831094</c:v>
                </c:pt>
                <c:pt idx="6">
                  <c:v>0.011213242939733</c:v>
                </c:pt>
                <c:pt idx="7">
                  <c:v>0.00735349166077444</c:v>
                </c:pt>
                <c:pt idx="8">
                  <c:v>0.00630536954622967</c:v>
                </c:pt>
                <c:pt idx="9">
                  <c:v>0.00483300752817868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40"/>
        <c:overlap val="-40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03fd9a6-bebb-4ca3-b681-839c42acea9b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99878086419753"/>
          <c:y val="0.0211666666666667"/>
          <c:w val="0.936207098765432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Pressure Spray Drying Equipment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473.79</c:v>
                </c:pt>
                <c:pt idx="1">
                  <c:v>485.39</c:v>
                </c:pt>
                <c:pt idx="2">
                  <c:v>478.67</c:v>
                </c:pt>
                <c:pt idx="3">
                  <c:v>481.73</c:v>
                </c:pt>
                <c:pt idx="4">
                  <c:v>506.25</c:v>
                </c:pt>
                <c:pt idx="5">
                  <c:v>531.71</c:v>
                </c:pt>
                <c:pt idx="6">
                  <c:v>555.82</c:v>
                </c:pt>
                <c:pt idx="7">
                  <c:v>582.14</c:v>
                </c:pt>
                <c:pt idx="8">
                  <c:v>606.43</c:v>
                </c:pt>
                <c:pt idx="9">
                  <c:v>630.72</c:v>
                </c:pt>
                <c:pt idx="10">
                  <c:v>655.01</c:v>
                </c:pt>
                <c:pt idx="11">
                  <c:v>679.3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Stream Spray Drying Equipment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273.14</c:v>
                </c:pt>
                <c:pt idx="1">
                  <c:v>280.13</c:v>
                </c:pt>
                <c:pt idx="2">
                  <c:v>277.84</c:v>
                </c:pt>
                <c:pt idx="3">
                  <c:v>281.33</c:v>
                </c:pt>
                <c:pt idx="4">
                  <c:v>297.54</c:v>
                </c:pt>
                <c:pt idx="5">
                  <c:v>314.55</c:v>
                </c:pt>
                <c:pt idx="6">
                  <c:v>331.03</c:v>
                </c:pt>
                <c:pt idx="7">
                  <c:v>349.14</c:v>
                </c:pt>
                <c:pt idx="8">
                  <c:v>366.34</c:v>
                </c:pt>
                <c:pt idx="9">
                  <c:v>383.54</c:v>
                </c:pt>
                <c:pt idx="10">
                  <c:v>400.74</c:v>
                </c:pt>
                <c:pt idx="11">
                  <c:v>417.94</c:v>
                </c:pt>
              </c:numCache>
            </c:numRef>
          </c:val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>Centrifuge Spray Drying Equipment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分类!$B$4:$M$4</c:f>
              <c:numCache>
                <c:formatCode>#,##0_);[Red]\(#,##0\)</c:formatCode>
                <c:ptCount val="12"/>
                <c:pt idx="0">
                  <c:v>367.27</c:v>
                </c:pt>
                <c:pt idx="1">
                  <c:v>372.5</c:v>
                </c:pt>
                <c:pt idx="2">
                  <c:v>370.32</c:v>
                </c:pt>
                <c:pt idx="3">
                  <c:v>375.8</c:v>
                </c:pt>
                <c:pt idx="4">
                  <c:v>398.36</c:v>
                </c:pt>
                <c:pt idx="5">
                  <c:v>422.09</c:v>
                </c:pt>
                <c:pt idx="6">
                  <c:v>445.16</c:v>
                </c:pt>
                <c:pt idx="7">
                  <c:v>470.58</c:v>
                </c:pt>
                <c:pt idx="8">
                  <c:v>494.86</c:v>
                </c:pt>
                <c:pt idx="9">
                  <c:v>519.14</c:v>
                </c:pt>
                <c:pt idx="10">
                  <c:v>543.42</c:v>
                </c:pt>
                <c:pt idx="11">
                  <c:v>567.7</c:v>
                </c:pt>
              </c:numCache>
            </c:numRef>
          </c:val>
        </c:ser>
        <c:ser>
          <c:idx val="3"/>
          <c:order val="3"/>
          <c:tx>
            <c:strRef>
              <c:f>分类!$A$5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分类!$B$5:$M$5</c:f>
            </c:numRef>
          </c:val>
        </c:ser>
        <c:ser>
          <c:idx val="4"/>
          <c:order val="4"/>
          <c:tx>
            <c:strRef>
              <c:f>分类!$A$6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分类!$B$6:$M$6</c:f>
            </c:numRef>
          </c:val>
        </c:ser>
        <c:ser>
          <c:idx val="5"/>
          <c:order val="5"/>
          <c:tx>
            <c:strRef>
              <c:f>分类!$A$7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分类!$B$7:$M$7</c:f>
            </c:numRef>
          </c:val>
        </c:ser>
        <c:ser>
          <c:idx val="6"/>
          <c:order val="6"/>
          <c:tx>
            <c:strRef>
              <c:f>分类!$A$8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分类!$B$8:$M$8</c:f>
            </c:numRef>
          </c:val>
        </c:ser>
        <c:ser>
          <c:idx val="7"/>
          <c:order val="7"/>
          <c:tx>
            <c:strRef>
              <c:f>分类!$A$9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分类!$B$9:$M$9</c:f>
            </c:numRef>
          </c:val>
        </c:ser>
        <c:ser>
          <c:idx val="8"/>
          <c:order val="8"/>
          <c:tx>
            <c:strRef>
              <c:f>分类!$A$10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分类!$A$11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分类!$B$11:$M$11</c:f>
              <c:numCache>
                <c:formatCode>#,##0_);[Red]\(#,##0\)</c:formatCode>
                <c:ptCount val="12"/>
                <c:pt idx="0">
                  <c:v>1114.2</c:v>
                </c:pt>
                <c:pt idx="1">
                  <c:v>1138.02</c:v>
                </c:pt>
                <c:pt idx="2">
                  <c:v>1126.83</c:v>
                </c:pt>
                <c:pt idx="3">
                  <c:v>1138.86</c:v>
                </c:pt>
                <c:pt idx="4">
                  <c:v>1202.15</c:v>
                </c:pt>
                <c:pt idx="5">
                  <c:v>1268.35</c:v>
                </c:pt>
                <c:pt idx="6">
                  <c:v>1332.01</c:v>
                </c:pt>
                <c:pt idx="7">
                  <c:v>1401.86</c:v>
                </c:pt>
                <c:pt idx="8">
                  <c:v>1467.63</c:v>
                </c:pt>
                <c:pt idx="9">
                  <c:v>1533.4</c:v>
                </c:pt>
                <c:pt idx="10">
                  <c:v>1599.17</c:v>
                </c:pt>
                <c:pt idx="11">
                  <c:v>1664.94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518652b5-00b8-4e3b-95ae-7908ddaad7f5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Food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489.16</c:v>
                </c:pt>
                <c:pt idx="1">
                  <c:v>502.47</c:v>
                </c:pt>
                <c:pt idx="2">
                  <c:v>496.12</c:v>
                </c:pt>
                <c:pt idx="3">
                  <c:v>499.86</c:v>
                </c:pt>
                <c:pt idx="4">
                  <c:v>526.1</c:v>
                </c:pt>
                <c:pt idx="5">
                  <c:v>553.3</c:v>
                </c:pt>
                <c:pt idx="6">
                  <c:v>579.13</c:v>
                </c:pt>
                <c:pt idx="7">
                  <c:v>607.31</c:v>
                </c:pt>
                <c:pt idx="8">
                  <c:v>633.36</c:v>
                </c:pt>
                <c:pt idx="9">
                  <c:v>659.41</c:v>
                </c:pt>
                <c:pt idx="10">
                  <c:v>685.46</c:v>
                </c:pt>
                <c:pt idx="11">
                  <c:v>711.51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Pharmaceutical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256.72</c:v>
                </c:pt>
                <c:pt idx="1">
                  <c:v>262.66</c:v>
                </c:pt>
                <c:pt idx="2">
                  <c:v>263.65</c:v>
                </c:pt>
                <c:pt idx="3">
                  <c:v>270.19</c:v>
                </c:pt>
                <c:pt idx="4">
                  <c:v>289.09</c:v>
                </c:pt>
                <c:pt idx="5">
                  <c:v>309.25</c:v>
                </c:pt>
                <c:pt idx="6">
                  <c:v>329.33</c:v>
                </c:pt>
                <c:pt idx="7">
                  <c:v>351.51</c:v>
                </c:pt>
                <c:pt idx="8">
                  <c:v>373.27</c:v>
                </c:pt>
                <c:pt idx="9">
                  <c:v>395.03</c:v>
                </c:pt>
                <c:pt idx="10">
                  <c:v>416.79</c:v>
                </c:pt>
                <c:pt idx="11">
                  <c:v>438.55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Chemical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211.3</c:v>
                </c:pt>
                <c:pt idx="1">
                  <c:v>215.26</c:v>
                </c:pt>
                <c:pt idx="2">
                  <c:v>210.65</c:v>
                </c:pt>
                <c:pt idx="3">
                  <c:v>210.4</c:v>
                </c:pt>
                <c:pt idx="4">
                  <c:v>219.42</c:v>
                </c:pt>
                <c:pt idx="5">
                  <c:v>228.68</c:v>
                </c:pt>
                <c:pt idx="6">
                  <c:v>237.19</c:v>
                </c:pt>
                <c:pt idx="7">
                  <c:v>246.54</c:v>
                </c:pt>
                <c:pt idx="8">
                  <c:v>254.9</c:v>
                </c:pt>
                <c:pt idx="9">
                  <c:v>263.26</c:v>
                </c:pt>
                <c:pt idx="10">
                  <c:v>271.62</c:v>
                </c:pt>
                <c:pt idx="11">
                  <c:v>279.98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应用!$B$5:$M$5</c:f>
              <c:numCache>
                <c:formatCode>#,##0_);[Red]\(#,##0\)</c:formatCode>
                <c:ptCount val="12"/>
                <c:pt idx="0">
                  <c:v>157.02</c:v>
                </c:pt>
                <c:pt idx="1">
                  <c:v>157.63</c:v>
                </c:pt>
                <c:pt idx="2">
                  <c:v>156.41</c:v>
                </c:pt>
                <c:pt idx="3">
                  <c:v>158.41</c:v>
                </c:pt>
                <c:pt idx="4">
                  <c:v>167.54</c:v>
                </c:pt>
                <c:pt idx="5">
                  <c:v>177.12</c:v>
                </c:pt>
                <c:pt idx="6">
                  <c:v>186.36</c:v>
                </c:pt>
                <c:pt idx="7">
                  <c:v>196.5</c:v>
                </c:pt>
                <c:pt idx="8">
                  <c:v>206.1</c:v>
                </c:pt>
                <c:pt idx="9">
                  <c:v>215.7</c:v>
                </c:pt>
                <c:pt idx="10">
                  <c:v>225.3</c:v>
                </c:pt>
                <c:pt idx="11">
                  <c:v>234.9</c:v>
                </c:pt>
              </c:numCache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1114.2</c:v>
                </c:pt>
                <c:pt idx="1">
                  <c:v>1138.02</c:v>
                </c:pt>
                <c:pt idx="2">
                  <c:v>1126.83</c:v>
                </c:pt>
                <c:pt idx="3">
                  <c:v>1138.86</c:v>
                </c:pt>
                <c:pt idx="4">
                  <c:v>1202.15</c:v>
                </c:pt>
                <c:pt idx="5">
                  <c:v>1268.35</c:v>
                </c:pt>
                <c:pt idx="6">
                  <c:v>1332.01</c:v>
                </c:pt>
                <c:pt idx="7">
                  <c:v>1401.86</c:v>
                </c:pt>
                <c:pt idx="8">
                  <c:v>1467.63</c:v>
                </c:pt>
                <c:pt idx="9">
                  <c:v>1533.4</c:v>
                </c:pt>
                <c:pt idx="10">
                  <c:v>1599.17</c:v>
                </c:pt>
                <c:pt idx="11">
                  <c:v>1664.94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7205e29-f02c-437c-a3a0-b3a8dfbb7a9f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2021 VS 2025 VS 2032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'地区-消费'!$AE$1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5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APAC (ex. China)</c:v>
                </c:pt>
                <c:pt idx="4">
                  <c:v>MEA and Latin America</c:v>
                </c:pt>
              </c:strCache>
            </c:strRef>
          </c:cat>
          <c:val>
            <c:numRef>
              <c:f>'地区-消费'!$AE$2:$AE$10</c:f>
              <c:numCache>
                <c:formatCode>#,##0_);[Red]\(#,##0\)</c:formatCode>
                <c:ptCount val="5"/>
                <c:pt idx="0">
                  <c:v>293.91</c:v>
                </c:pt>
                <c:pt idx="1">
                  <c:v>391.56</c:v>
                </c:pt>
                <c:pt idx="2">
                  <c:v>154.46</c:v>
                </c:pt>
                <c:pt idx="3">
                  <c:v>195.58</c:v>
                </c:pt>
                <c:pt idx="4">
                  <c:v>78.69</c:v>
                </c:pt>
              </c:numCache>
            </c:numRef>
          </c:val>
        </c:ser>
        <c:ser>
          <c:idx val="1"/>
          <c:order val="1"/>
          <c:tx>
            <c:strRef>
              <c:f>'地区-消费'!$AF$1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5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APAC (ex. China)</c:v>
                </c:pt>
                <c:pt idx="4">
                  <c:v>MEA and Latin America</c:v>
                </c:pt>
              </c:strCache>
            </c:strRef>
          </c:cat>
          <c:val>
            <c:numRef>
              <c:f>'地区-消费'!$AF$2:$AF$10</c:f>
              <c:numCache>
                <c:formatCode>#,##0_);[Red]\(#,##0\)</c:formatCode>
                <c:ptCount val="5"/>
                <c:pt idx="0">
                  <c:v>322.63</c:v>
                </c:pt>
                <c:pt idx="1">
                  <c:v>410</c:v>
                </c:pt>
                <c:pt idx="2">
                  <c:v>171.94</c:v>
                </c:pt>
                <c:pt idx="3">
                  <c:v>213.15</c:v>
                </c:pt>
                <c:pt idx="4">
                  <c:v>84.43</c:v>
                </c:pt>
              </c:numCache>
            </c:numRef>
          </c:val>
        </c:ser>
        <c:ser>
          <c:idx val="2"/>
          <c:order val="2"/>
          <c:tx>
            <c:strRef>
              <c:f>'地区-消费'!$AG$1</c:f>
              <c:strCache>
                <c:ptCount val="1"/>
                <c:pt idx="0">
                  <c:v>2032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'地区-消费'!$AD$2:$AD$10</c:f>
              <c:strCache>
                <c:ptCount val="5"/>
                <c:pt idx="0">
                  <c:v>North America</c:v>
                </c:pt>
                <c:pt idx="1">
                  <c:v>Europe</c:v>
                </c:pt>
                <c:pt idx="2">
                  <c:v>China</c:v>
                </c:pt>
                <c:pt idx="3">
                  <c:v>APAC (ex. China)</c:v>
                </c:pt>
                <c:pt idx="4">
                  <c:v>MEA and Latin America</c:v>
                </c:pt>
              </c:strCache>
            </c:strRef>
          </c:cat>
          <c:val>
            <c:numRef>
              <c:f>'地区-消费'!$AG$2:$AG$10</c:f>
              <c:numCache>
                <c:formatCode>#,##0_);[Red]\(#,##0\)</c:formatCode>
                <c:ptCount val="5"/>
                <c:pt idx="0">
                  <c:v>443.53</c:v>
                </c:pt>
                <c:pt idx="1">
                  <c:v>556.01</c:v>
                </c:pt>
                <c:pt idx="2">
                  <c:v>245.52</c:v>
                </c:pt>
                <c:pt idx="3">
                  <c:v>295.25</c:v>
                </c:pt>
                <c:pt idx="4">
                  <c:v>124.63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b283ce93-f695-49fc-b78a-b11d6b8ac4cd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293.91</c:v>
                </c:pt>
                <c:pt idx="1">
                  <c:v>308.41</c:v>
                </c:pt>
                <c:pt idx="2">
                  <c:v>304.29</c:v>
                </c:pt>
                <c:pt idx="3">
                  <c:v>306.02</c:v>
                </c:pt>
                <c:pt idx="4">
                  <c:v>322.63</c:v>
                </c:pt>
                <c:pt idx="5">
                  <c:v>340.04</c:v>
                </c:pt>
                <c:pt idx="6">
                  <c:v>356.67</c:v>
                </c:pt>
                <c:pt idx="7">
                  <c:v>374.89</c:v>
                </c:pt>
                <c:pt idx="8">
                  <c:v>392.05</c:v>
                </c:pt>
                <c:pt idx="9">
                  <c:v>409.21</c:v>
                </c:pt>
                <c:pt idx="10">
                  <c:v>426.37</c:v>
                </c:pt>
                <c:pt idx="11">
                  <c:v>443.53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391.56</c:v>
                </c:pt>
                <c:pt idx="1">
                  <c:v>389.02</c:v>
                </c:pt>
                <c:pt idx="2">
                  <c:v>385.39</c:v>
                </c:pt>
                <c:pt idx="3">
                  <c:v>390.34</c:v>
                </c:pt>
                <c:pt idx="4">
                  <c:v>410</c:v>
                </c:pt>
                <c:pt idx="5">
                  <c:v>430.93</c:v>
                </c:pt>
                <c:pt idx="6">
                  <c:v>451.04</c:v>
                </c:pt>
                <c:pt idx="7">
                  <c:v>473.17</c:v>
                </c:pt>
                <c:pt idx="8">
                  <c:v>493.88</c:v>
                </c:pt>
                <c:pt idx="9">
                  <c:v>514.59</c:v>
                </c:pt>
                <c:pt idx="10">
                  <c:v>535.3</c:v>
                </c:pt>
                <c:pt idx="11">
                  <c:v>556.01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China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154.46</c:v>
                </c:pt>
                <c:pt idx="1">
                  <c:v>158.88</c:v>
                </c:pt>
                <c:pt idx="2">
                  <c:v>158.49</c:v>
                </c:pt>
                <c:pt idx="3">
                  <c:v>161.28</c:v>
                </c:pt>
                <c:pt idx="4">
                  <c:v>171.94</c:v>
                </c:pt>
                <c:pt idx="5">
                  <c:v>182.55</c:v>
                </c:pt>
                <c:pt idx="6">
                  <c:v>192.88</c:v>
                </c:pt>
                <c:pt idx="7">
                  <c:v>203.84</c:v>
                </c:pt>
                <c:pt idx="8">
                  <c:v>214.26</c:v>
                </c:pt>
                <c:pt idx="9">
                  <c:v>224.68</c:v>
                </c:pt>
                <c:pt idx="10">
                  <c:v>235.1</c:v>
                </c:pt>
                <c:pt idx="11">
                  <c:v>245.52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APAC (ex. China)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195.58</c:v>
                </c:pt>
                <c:pt idx="1">
                  <c:v>201.29</c:v>
                </c:pt>
                <c:pt idx="2">
                  <c:v>199.45</c:v>
                </c:pt>
                <c:pt idx="3">
                  <c:v>201.58</c:v>
                </c:pt>
                <c:pt idx="4">
                  <c:v>213.15</c:v>
                </c:pt>
                <c:pt idx="5">
                  <c:v>225.07</c:v>
                </c:pt>
                <c:pt idx="6">
                  <c:v>236.47</c:v>
                </c:pt>
                <c:pt idx="7">
                  <c:v>248.81</c:v>
                </c:pt>
                <c:pt idx="8">
                  <c:v>260.42</c:v>
                </c:pt>
                <c:pt idx="9">
                  <c:v>272.03</c:v>
                </c:pt>
                <c:pt idx="10">
                  <c:v>283.64</c:v>
                </c:pt>
                <c:pt idx="11">
                  <c:v>295.25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MEA and Latin America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'地区-消费'!$B$6:$M$6</c:f>
              <c:numCache>
                <c:formatCode>#,##0_);[Red]\(#,##0\)</c:formatCode>
                <c:ptCount val="12"/>
                <c:pt idx="0">
                  <c:v>78.69</c:v>
                </c:pt>
                <c:pt idx="1">
                  <c:v>80.42</c:v>
                </c:pt>
                <c:pt idx="2">
                  <c:v>79.21</c:v>
                </c:pt>
                <c:pt idx="3">
                  <c:v>79.64</c:v>
                </c:pt>
                <c:pt idx="4">
                  <c:v>84.43</c:v>
                </c:pt>
                <c:pt idx="5">
                  <c:v>89.76</c:v>
                </c:pt>
                <c:pt idx="6">
                  <c:v>94.95</c:v>
                </c:pt>
                <c:pt idx="7">
                  <c:v>101.15</c:v>
                </c:pt>
                <c:pt idx="8">
                  <c:v>107.02</c:v>
                </c:pt>
                <c:pt idx="9">
                  <c:v>112.89</c:v>
                </c:pt>
                <c:pt idx="10">
                  <c:v>118.76</c:v>
                </c:pt>
                <c:pt idx="11">
                  <c:v>124.63</c:v>
                </c:pt>
              </c:numCache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'地区-消费'!$B$7:$M$7</c:f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'地区-消费'!$A$11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  <c:pt idx="5">
                  <c:v>2026</c:v>
                </c:pt>
                <c:pt idx="6">
                  <c:v>2027</c:v>
                </c:pt>
                <c:pt idx="7">
                  <c:v>2028</c:v>
                </c:pt>
                <c:pt idx="8">
                  <c:v>2029</c:v>
                </c:pt>
                <c:pt idx="9">
                  <c:v>2030</c:v>
                </c:pt>
                <c:pt idx="10">
                  <c:v>2031</c:v>
                </c:pt>
                <c:pt idx="11">
                  <c:v>2032</c:v>
                </c:pt>
              </c:numCache>
            </c:numRef>
          </c:cat>
          <c:val>
            <c:numRef>
              <c:f>'地区-消费'!$B$11:$M$11</c:f>
              <c:numCache>
                <c:formatCode>#,##0_);[Red]\(#,##0\)</c:formatCode>
                <c:ptCount val="12"/>
                <c:pt idx="0">
                  <c:v>1114.2</c:v>
                </c:pt>
                <c:pt idx="1">
                  <c:v>1138.02</c:v>
                </c:pt>
                <c:pt idx="2">
                  <c:v>1126.83</c:v>
                </c:pt>
                <c:pt idx="3">
                  <c:v>1138.86</c:v>
                </c:pt>
                <c:pt idx="4">
                  <c:v>1202.15</c:v>
                </c:pt>
                <c:pt idx="5">
                  <c:v>1268.35</c:v>
                </c:pt>
                <c:pt idx="6">
                  <c:v>1332.01</c:v>
                </c:pt>
                <c:pt idx="7">
                  <c:v>1401.86</c:v>
                </c:pt>
                <c:pt idx="8">
                  <c:v>1467.63</c:v>
                </c:pt>
                <c:pt idx="9">
                  <c:v>1533.4</c:v>
                </c:pt>
                <c:pt idx="10">
                  <c:v>1599.17</c:v>
                </c:pt>
                <c:pt idx="11">
                  <c:v>1664.94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1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70540392-d056-4f85-b1b7-7578fd4a90a4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1011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noFill/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0.60793</cdr:x>
      <cdr:y>0.27494</cdr:y>
    </cdr:from>
    <cdr:to>
      <cdr:x>0.7304</cdr:x>
      <cdr:y>0.38082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1480000">
          <a:off x="3895614" y="841307"/>
          <a:ext cx="784800" cy="324000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8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0.27574</cdr:x>
      <cdr:y>0.47252</cdr:y>
    </cdr:from>
    <cdr:to>
      <cdr:x>0.39821</cdr:x>
      <cdr:y>0.57891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1480000">
          <a:off x="1766911" y="1445911"/>
          <a:ext cx="784824" cy="325542"/>
        </a:xfrm>
        <a:prstGeom xmlns:a="http://schemas.openxmlformats.org/drawingml/2006/main" prst="ellipse">
          <a:avLst/>
        </a:prstGeom>
        <a:solidFill>
          <a:srgbClr val="FFC000"/>
        </a:solidFill>
        <a:ln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900" baseline="0">
            <a:solidFill>
              <a:srgbClr val="002060"/>
            </a:solidFill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0C60EE-3146-4124-8D98-94119350E5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1630</Words>
  <Characters>1980</Characters>
  <Lines>14</Lines>
  <Paragraphs>4</Paragraphs>
  <TotalTime>675</TotalTime>
  <ScaleCrop>false</ScaleCrop>
  <LinksUpToDate>false</LinksUpToDate>
  <CharactersWithSpaces>1998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2026-02-05T09:12:25Z</dcterms:modified>
  <cp:revision>883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6844598498CF4B339B82EB4485740A26_12</vt:lpwstr>
  </property>
</Properties>
</file>