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5D5715">
      <w:pPr>
        <w:pStyle w:val="167"/>
        <w:rPr>
          <w:lang w:eastAsia="zh-CN"/>
        </w:rPr>
      </w:pPr>
      <w:bookmarkStart w:id="0" w:name="_Toc438987549"/>
      <w:bookmarkStart w:id="1" w:name="_Toc517262917"/>
      <w:bookmarkStart w:id="2" w:name="_Toc481801204"/>
      <w:bookmarkStart w:id="3" w:name="OLE_LINK15"/>
      <w:bookmarkStart w:id="4" w:name="OLE_LINK13"/>
      <w:bookmarkStart w:id="5" w:name="_Toc415818939"/>
      <w:bookmarkStart w:id="6" w:name="_Toc453597319"/>
      <w:bookmarkStart w:id="7" w:name="_Toc415143481"/>
      <w:bookmarkStart w:id="8" w:name="_Toc418070112"/>
      <w:bookmarkStart w:id="9" w:name="OLE_LINK24"/>
      <w:bookmarkStart w:id="10" w:name="_Toc415142861"/>
      <w:bookmarkStart w:id="11" w:name="OLE_LINK40"/>
      <w:bookmarkStart w:id="12" w:name="OLE_LINK39"/>
      <w:r>
        <w:drawing>
          <wp:inline distT="0" distB="0" distL="114300" distR="114300">
            <wp:extent cx="6182995" cy="4488815"/>
            <wp:effectExtent l="0" t="0" r="8255" b="698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9"/>
                    <a:stretch>
                      <a:fillRect/>
                    </a:stretch>
                  </pic:blipFill>
                  <pic:spPr>
                    <a:xfrm>
                      <a:off x="0" y="0"/>
                      <a:ext cx="6182995" cy="4488815"/>
                    </a:xfrm>
                    <a:prstGeom prst="rect">
                      <a:avLst/>
                    </a:prstGeom>
                    <a:noFill/>
                    <a:ln>
                      <a:noFill/>
                    </a:ln>
                  </pic:spPr>
                </pic:pic>
              </a:graphicData>
            </a:graphic>
          </wp:inline>
        </w:drawing>
      </w:r>
      <w:r>
        <w:rPr>
          <w:lang w:eastAsia="zh-CN"/>
        </w:rPr>
        <w:t>电池电芯温度传感器</w:t>
      </w:r>
      <w:r>
        <w:rPr>
          <w:rFonts w:hint="eastAsia"/>
          <w:lang w:eastAsia="zh-CN"/>
        </w:rPr>
        <w:t>全球市场总体规模</w:t>
      </w:r>
    </w:p>
    <w:p w14:paraId="2DB3DEDC">
      <w:pPr>
        <w:pStyle w:val="145"/>
        <w:rPr>
          <w:lang w:eastAsia="zh-CN"/>
        </w:rPr>
      </w:pPr>
      <w:r>
        <w:rPr>
          <w:rFonts w:hint="eastAsia"/>
          <w:lang w:eastAsia="zh-CN"/>
        </w:rPr>
        <w:t>电池电芯温度传感器是一种用于实时监测单体电芯温度的精密传感元件，是电池管理系统中的关键组件，可有效防止热失控、优化充放电效率并延长电池使用寿命。该类传感器广泛应用于电动汽车、消费电子及固定式储能系统中的锂离子电池。其产业链上游包括半导体材料、热敏电阻、芯片基板及封装材料；中游涵盖传感器制造、标定、封装与模块化集成；下游应用涉及新能源汽车、电池模组、储能系统、消费电子及工业电源领域，并配套系统集成与售后服务。</w:t>
      </w:r>
    </w:p>
    <w:p w14:paraId="43E4AD38">
      <w:pPr>
        <w:pStyle w:val="145"/>
        <w:rPr>
          <w:lang w:eastAsia="zh-CN"/>
        </w:rPr>
      </w:pPr>
      <w:r>
        <w:rPr>
          <w:rFonts w:hint="eastAsia"/>
          <w:lang w:eastAsia="zh-CN"/>
        </w:rPr>
        <w:t>根据QYResearch最新调研报告显示，预计2</w:t>
      </w:r>
      <w:r>
        <w:rPr>
          <w:lang w:eastAsia="zh-CN"/>
        </w:rPr>
        <w:t>03</w:t>
      </w:r>
      <w:r>
        <w:rPr>
          <w:rFonts w:hint="eastAsia"/>
          <w:lang w:eastAsia="zh-CN"/>
        </w:rPr>
        <w:t>2年全球</w:t>
      </w:r>
      <w:r>
        <w:rPr>
          <w:lang w:eastAsia="zh-CN"/>
        </w:rPr>
        <w:t>电池电芯温度传感器</w:t>
      </w:r>
      <w:r>
        <w:rPr>
          <w:rFonts w:hint="eastAsia"/>
          <w:lang w:eastAsia="zh-CN"/>
        </w:rPr>
        <w:t>市场规模将达到34.24亿美元，未来几年年复合增长率CAGR为8.99%。</w:t>
      </w:r>
    </w:p>
    <w:p w14:paraId="4D38E3C6">
      <w:pPr>
        <w:pStyle w:val="145"/>
        <w:rPr>
          <w:lang w:eastAsia="zh-CN"/>
        </w:rPr>
      </w:pPr>
    </w:p>
    <w:p w14:paraId="3F6C2722">
      <w:pPr>
        <w:pStyle w:val="148"/>
        <w:rPr>
          <w:lang w:eastAsia="zh-CN"/>
        </w:rPr>
      </w:pPr>
      <w:r>
        <w:rPr>
          <w:lang w:eastAsia="zh-CN"/>
        </w:rPr>
        <w:t>电池电芯温度传感器</w:t>
      </w:r>
      <w:r>
        <w:rPr>
          <w:rFonts w:hint="eastAsia"/>
          <w:lang w:eastAsia="zh-CN"/>
        </w:rPr>
        <w:t>，全球市场总体规模</w:t>
      </w:r>
    </w:p>
    <w:p w14:paraId="33261207">
      <w:pPr>
        <w:pStyle w:val="145"/>
      </w:pPr>
      <w:r>
        <w:drawing>
          <wp:inline distT="0" distB="0" distL="0" distR="0">
            <wp:extent cx="6120765" cy="2877820"/>
            <wp:effectExtent l="0" t="0" r="0" b="0"/>
            <wp:docPr id="86636272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6362729" name="图片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6120765" cy="2877820"/>
                    </a:xfrm>
                    <a:prstGeom prst="rect">
                      <a:avLst/>
                    </a:prstGeom>
                    <a:noFill/>
                  </pic:spPr>
                </pic:pic>
              </a:graphicData>
            </a:graphic>
          </wp:inline>
        </w:drawing>
      </w:r>
    </w:p>
    <w:p w14:paraId="548964BA">
      <w:pPr>
        <w:pStyle w:val="143"/>
        <w:rPr>
          <w:lang w:eastAsia="zh-CN"/>
        </w:rPr>
      </w:pPr>
      <w:r>
        <w:rPr>
          <w:rFonts w:hint="eastAsia"/>
          <w:lang w:eastAsia="zh-CN"/>
        </w:rPr>
        <w:t>如上图表/数据，摘自QYResearch最新报告“全球</w:t>
      </w:r>
      <w:r>
        <w:rPr>
          <w:lang w:eastAsia="zh-CN"/>
        </w:rPr>
        <w:t>电池电芯温度传感器</w:t>
      </w:r>
      <w:r>
        <w:rPr>
          <w:rFonts w:hint="eastAsia"/>
          <w:lang w:eastAsia="zh-CN"/>
        </w:rPr>
        <w:t>市场研究报告2026-2032”</w:t>
      </w:r>
      <w:r>
        <w:rPr>
          <w:lang w:eastAsia="zh-CN"/>
        </w:rPr>
        <w:t>.</w:t>
      </w:r>
    </w:p>
    <w:p w14:paraId="12FD9BEF">
      <w:pPr>
        <w:pStyle w:val="145"/>
        <w:rPr>
          <w:lang w:eastAsia="zh-CN"/>
        </w:rPr>
      </w:pPr>
    </w:p>
    <w:p w14:paraId="720E31E2">
      <w:pPr>
        <w:pStyle w:val="148"/>
        <w:rPr>
          <w:lang w:eastAsia="zh-CN"/>
        </w:rPr>
      </w:pPr>
      <w:r>
        <w:rPr>
          <w:rFonts w:hint="eastAsia"/>
          <w:lang w:eastAsia="zh-CN"/>
        </w:rPr>
        <w:t>全球</w:t>
      </w:r>
      <w:r>
        <w:rPr>
          <w:lang w:eastAsia="zh-CN"/>
        </w:rPr>
        <w:t>电池电芯温度传感器</w:t>
      </w:r>
      <w:r>
        <w:rPr>
          <w:rFonts w:hint="eastAsia"/>
          <w:lang w:eastAsia="zh-CN"/>
        </w:rPr>
        <w:t>市场前14强生产商排名及市场占有率（基于2025年调研数据；目前最新数据以本公司最新调研数据为准）</w:t>
      </w:r>
    </w:p>
    <w:p w14:paraId="773AFA33">
      <w:pPr>
        <w:widowControl/>
        <w:topLinePunct w:val="0"/>
        <w:spacing w:after="0"/>
        <w:jc w:val="center"/>
        <w:rPr>
          <w:rFonts w:hint="eastAsia" w:ascii="宋体" w:hAnsi="宋体" w:cs="宋体"/>
          <w:kern w:val="0"/>
          <w:sz w:val="24"/>
          <w:szCs w:val="24"/>
        </w:rPr>
      </w:pPr>
      <w:r>
        <w:rPr>
          <w:rFonts w:hint="eastAsia" w:ascii="宋体" w:hAnsi="宋体" w:cs="宋体"/>
          <w:kern w:val="0"/>
          <w:sz w:val="24"/>
          <w:szCs w:val="24"/>
        </w:rPr>
        <w:drawing>
          <wp:inline distT="0" distB="0" distL="0" distR="0">
            <wp:extent cx="4015740" cy="6377305"/>
            <wp:effectExtent l="0" t="0" r="3810" b="4445"/>
            <wp:docPr id="148180091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1800916" name="图片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4015740" cy="6377305"/>
                    </a:xfrm>
                    <a:prstGeom prst="rect">
                      <a:avLst/>
                    </a:prstGeom>
                    <a:noFill/>
                  </pic:spPr>
                </pic:pic>
              </a:graphicData>
            </a:graphic>
          </wp:inline>
        </w:drawing>
      </w:r>
      <w:bookmarkStart w:id="13" w:name="_GoBack"/>
      <w:bookmarkEnd w:id="13"/>
    </w:p>
    <w:p w14:paraId="04A43543">
      <w:pPr>
        <w:pStyle w:val="143"/>
        <w:rPr>
          <w:lang w:eastAsia="zh-CN"/>
        </w:rPr>
      </w:pPr>
      <w:r>
        <w:rPr>
          <w:rFonts w:hint="eastAsia"/>
          <w:lang w:eastAsia="zh-CN"/>
        </w:rPr>
        <w:t>如上图表/数据，摘自QYResearch报告“全球</w:t>
      </w:r>
      <w:r>
        <w:rPr>
          <w:lang w:eastAsia="zh-CN"/>
        </w:rPr>
        <w:t>电池电芯温度传感器</w:t>
      </w:r>
      <w:r>
        <w:rPr>
          <w:rFonts w:hint="eastAsia"/>
          <w:lang w:eastAsia="zh-CN"/>
        </w:rPr>
        <w:t>市场研究报告2026-2032”，排名基于2025数据。目前最新数据，以本公司最新调研数据为准。</w:t>
      </w:r>
    </w:p>
    <w:p w14:paraId="679A3E3B">
      <w:pPr>
        <w:pStyle w:val="145"/>
        <w:rPr>
          <w:rFonts w:hint="eastAsia"/>
          <w:lang w:eastAsia="zh-CN"/>
        </w:rPr>
      </w:pPr>
      <w:r>
        <w:rPr>
          <w:rFonts w:hint="eastAsia"/>
          <w:lang w:eastAsia="zh-CN"/>
        </w:rPr>
        <w:t>全球范围内，</w:t>
      </w:r>
      <w:r>
        <w:rPr>
          <w:lang w:eastAsia="zh-CN"/>
        </w:rPr>
        <w:t>电池电芯温度传感器</w:t>
      </w:r>
      <w:r>
        <w:rPr>
          <w:rFonts w:hint="eastAsia"/>
          <w:lang w:eastAsia="zh-CN"/>
        </w:rPr>
        <w:t>主要生产商包括TDK，Murata，Infineon Technologies，NXP Semiconductors，ams OSRAM等，其中前五大厂商占有大约36.88%的市场份额。</w:t>
      </w:r>
    </w:p>
    <w:p w14:paraId="71B264D1">
      <w:pPr>
        <w:widowControl/>
        <w:topLinePunct w:val="0"/>
        <w:spacing w:after="0"/>
        <w:jc w:val="left"/>
        <w:rPr>
          <w:rFonts w:cs="Arial"/>
          <w:b/>
          <w:color w:val="FF8200"/>
          <w:kern w:val="0"/>
          <w:szCs w:val="22"/>
        </w:rPr>
      </w:pPr>
      <w:r>
        <w:rPr>
          <w:rFonts w:cs="Arial"/>
          <w:b/>
          <w:color w:val="FF8200"/>
        </w:rPr>
        <w:br w:type="page"/>
      </w:r>
    </w:p>
    <w:p w14:paraId="418CECD8">
      <w:pPr>
        <w:pStyle w:val="145"/>
        <w:rPr>
          <w:lang w:eastAsia="zh-CN"/>
        </w:rPr>
      </w:pPr>
      <w:r>
        <w:rPr>
          <w:rFonts w:hint="eastAsia"/>
          <w:lang w:eastAsia="zh-CN"/>
        </w:rPr>
        <w:t>主要驱动因素</w:t>
      </w:r>
      <w:r>
        <w:rPr>
          <w:lang w:eastAsia="zh-CN"/>
        </w:rPr>
        <w:t>:</w:t>
      </w:r>
    </w:p>
    <w:p w14:paraId="30A049C1">
      <w:pPr>
        <w:pStyle w:val="145"/>
        <w:numPr>
          <w:ilvl w:val="0"/>
          <w:numId w:val="4"/>
        </w:numPr>
        <w:rPr>
          <w:rFonts w:hint="eastAsia"/>
          <w:lang w:eastAsia="zh-CN"/>
        </w:rPr>
      </w:pPr>
      <w:r>
        <w:rPr>
          <w:rFonts w:hint="eastAsia"/>
          <w:lang w:eastAsia="zh-CN"/>
        </w:rPr>
        <w:t>动力电池安全监管趋严：全球新能源汽车及储能安全事故频发，各国强制要求对电芯级温度进行实时、高精度监控（如UN ECE R100、GB 38031），推动每颗电芯或模组必须集成温度传感器。</w:t>
      </w:r>
    </w:p>
    <w:p w14:paraId="103A33CD">
      <w:pPr>
        <w:pStyle w:val="145"/>
        <w:numPr>
          <w:ilvl w:val="0"/>
          <w:numId w:val="4"/>
        </w:numPr>
        <w:rPr>
          <w:rFonts w:hint="eastAsia"/>
          <w:lang w:eastAsia="zh-CN"/>
        </w:rPr>
      </w:pPr>
      <w:r>
        <w:rPr>
          <w:rFonts w:hint="eastAsia"/>
          <w:lang w:eastAsia="zh-CN"/>
        </w:rPr>
        <w:t>高能量密度电池普及：三元高镍、硅碳负极、4680大圆柱等新型电池热敏感性更高，对温度监测的响应速度、精度（±0.5℃以内）和可靠性提出更高要求，拉动高端传感器需求。</w:t>
      </w:r>
    </w:p>
    <w:p w14:paraId="5666E4F2">
      <w:pPr>
        <w:pStyle w:val="145"/>
        <w:numPr>
          <w:ilvl w:val="0"/>
          <w:numId w:val="4"/>
        </w:numPr>
        <w:rPr>
          <w:lang w:eastAsia="zh-CN"/>
        </w:rPr>
      </w:pPr>
      <w:r>
        <w:rPr>
          <w:rFonts w:hint="eastAsia"/>
          <w:lang w:eastAsia="zh-CN"/>
        </w:rPr>
        <w:t>BMS智能化升级：电池管理系统向“云端+边缘”协同架构演进，电芯温度数据成为AI热失控预警模型的核心输入，驱动传感器从“单点监测”向“多点分布式+数字化输出”转型。</w:t>
      </w:r>
    </w:p>
    <w:p w14:paraId="446A06E2">
      <w:pPr>
        <w:pStyle w:val="145"/>
        <w:rPr>
          <w:lang w:eastAsia="zh-CN"/>
        </w:rPr>
      </w:pPr>
      <w:r>
        <w:rPr>
          <w:rFonts w:hint="eastAsia"/>
          <w:lang w:eastAsia="zh-CN"/>
        </w:rPr>
        <w:t>主要阻碍因素</w:t>
      </w:r>
      <w:r>
        <w:rPr>
          <w:lang w:eastAsia="zh-CN"/>
        </w:rPr>
        <w:t>:</w:t>
      </w:r>
    </w:p>
    <w:p w14:paraId="1B3F2D54">
      <w:pPr>
        <w:pStyle w:val="145"/>
        <w:numPr>
          <w:ilvl w:val="0"/>
          <w:numId w:val="5"/>
        </w:numPr>
        <w:rPr>
          <w:rFonts w:hint="eastAsia"/>
          <w:lang w:eastAsia="zh-CN"/>
        </w:rPr>
      </w:pPr>
      <w:r>
        <w:rPr>
          <w:rFonts w:hint="eastAsia"/>
          <w:lang w:eastAsia="zh-CN"/>
        </w:rPr>
        <w:t>成本压力与价格竞争激烈：整车厂持续压降电池包成本，温度传感器单价被压缩至几元人民币，中小企业利润微薄，难以投入高精度技术研发。</w:t>
      </w:r>
    </w:p>
    <w:p w14:paraId="61BAA4CA">
      <w:pPr>
        <w:pStyle w:val="145"/>
        <w:numPr>
          <w:ilvl w:val="0"/>
          <w:numId w:val="5"/>
        </w:numPr>
        <w:rPr>
          <w:rFonts w:hint="eastAsia"/>
          <w:lang w:eastAsia="zh-CN"/>
        </w:rPr>
      </w:pPr>
      <w:r>
        <w:rPr>
          <w:rFonts w:hint="eastAsia"/>
          <w:lang w:eastAsia="zh-CN"/>
        </w:rPr>
        <w:t>长期可靠性验证周期长：车规级传感器需通过AEC-Q200认证及10年以上寿命测试，国产厂商在材料稳定性、封装工艺（如耐电解液腐蚀）方面仍存短板。</w:t>
      </w:r>
    </w:p>
    <w:p w14:paraId="3296E651">
      <w:pPr>
        <w:pStyle w:val="145"/>
        <w:numPr>
          <w:ilvl w:val="0"/>
          <w:numId w:val="5"/>
        </w:numPr>
        <w:rPr>
          <w:lang w:eastAsia="zh-CN"/>
        </w:rPr>
      </w:pPr>
      <w:r>
        <w:rPr>
          <w:rFonts w:hint="eastAsia"/>
          <w:lang w:eastAsia="zh-CN"/>
        </w:rPr>
        <w:t>标准化程度低：不同电池结构（方壳/软包/圆柱）、布置方式（表面贴装/嵌入极耳）导致传感器形态、接口、安装工艺差异大，难以实现平台化设计。</w:t>
      </w:r>
    </w:p>
    <w:p w14:paraId="620E7F93">
      <w:pPr>
        <w:pStyle w:val="145"/>
        <w:rPr>
          <w:lang w:eastAsia="zh-CN"/>
        </w:rPr>
      </w:pPr>
      <w:r>
        <w:rPr>
          <w:rFonts w:hint="eastAsia"/>
          <w:lang w:eastAsia="zh-CN"/>
        </w:rPr>
        <w:t>行业发展机遇</w:t>
      </w:r>
      <w:r>
        <w:rPr>
          <w:lang w:eastAsia="zh-CN"/>
        </w:rPr>
        <w:t>:</w:t>
      </w:r>
    </w:p>
    <w:p w14:paraId="02B9CC2C">
      <w:pPr>
        <w:pStyle w:val="145"/>
        <w:numPr>
          <w:ilvl w:val="0"/>
          <w:numId w:val="6"/>
        </w:numPr>
        <w:rPr>
          <w:rFonts w:hint="eastAsia"/>
          <w:lang w:eastAsia="zh-CN"/>
        </w:rPr>
      </w:pPr>
      <w:r>
        <w:rPr>
          <w:rFonts w:hint="eastAsia"/>
          <w:lang w:eastAsia="zh-CN"/>
        </w:rPr>
        <w:t>固态电池与新体系催生新需求：固态电池工作温度范围更宽（-30℃~120℃+），传统NTC难以覆盖，推动薄膜型、光纤式、无线无源等新型温度传感技术产业化。</w:t>
      </w:r>
    </w:p>
    <w:p w14:paraId="2CDA6B0F">
      <w:pPr>
        <w:pStyle w:val="145"/>
        <w:numPr>
          <w:ilvl w:val="0"/>
          <w:numId w:val="6"/>
        </w:numPr>
        <w:rPr>
          <w:rFonts w:hint="eastAsia"/>
          <w:lang w:eastAsia="zh-CN"/>
        </w:rPr>
      </w:pPr>
      <w:r>
        <w:rPr>
          <w:rFonts w:hint="eastAsia"/>
          <w:lang w:eastAsia="zh-CN"/>
        </w:rPr>
        <w:t>国产替代窗口打开：宁德时代、比亚迪、国轩高科等头部电池厂加速供应链本土化，为具备车规认证能力的国内传感器企业提供上车机会。</w:t>
      </w:r>
    </w:p>
    <w:p w14:paraId="07A95001">
      <w:pPr>
        <w:pStyle w:val="145"/>
        <w:rPr>
          <w:lang w:eastAsia="zh-CN"/>
        </w:rPr>
      </w:pPr>
      <w:r>
        <w:rPr>
          <w:rFonts w:hint="eastAsia"/>
          <w:lang w:eastAsia="zh-CN"/>
        </w:rPr>
        <w:t>多功能集成趋势：温度-电压-压力多参数融合传感成为下一代方向，单一传感器可同时采集多项状态数据，提升空间利用率与系统效率，开辟高附加值市场。</w:t>
      </w:r>
      <w:bookmarkEnd w:id="0"/>
      <w:bookmarkEnd w:id="1"/>
      <w:bookmarkEnd w:id="2"/>
      <w:bookmarkEnd w:id="3"/>
      <w:bookmarkEnd w:id="4"/>
      <w:bookmarkEnd w:id="5"/>
      <w:bookmarkEnd w:id="6"/>
      <w:bookmarkEnd w:id="7"/>
      <w:bookmarkEnd w:id="8"/>
      <w:bookmarkEnd w:id="9"/>
      <w:bookmarkEnd w:id="10"/>
      <w:bookmarkEnd w:id="11"/>
      <w:bookmarkEnd w:id="12"/>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Frutiger">
    <w:altName w:val="Cambria"/>
    <w:panose1 w:val="00000000000000000000"/>
    <w:charset w:val="00"/>
    <w:family w:val="roman"/>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Arial Unicode MS">
    <w:altName w:val="Arial"/>
    <w:panose1 w:val="020B0604020202020204"/>
    <w:charset w:val="00"/>
    <w:family w:val="roman"/>
    <w:pitch w:val="default"/>
    <w:sig w:usb0="00000000" w:usb1="00000000" w:usb2="00000000" w:usb3="00000000" w:csb0="00000001"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Arial">
    <w:panose1 w:val="020B0604020202020204"/>
    <w:charset w:val="00"/>
    <w:family w:val="swiss"/>
    <w:pitch w:val="default"/>
    <w:sig w:usb0="E0002EFF" w:usb1="C000785B" w:usb2="00000009" w:usb3="00000000" w:csb0="400001FF" w:csb1="FFFF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6E0980">
    <w:pPr>
      <w:pStyle w:val="21"/>
      <w:jc w:val="center"/>
    </w:pPr>
    <w:r>
      <w:t>Copyright © QYResearch | market@qyresearch.com | 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EBBC53">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14:paraId="02A48211">
    <w:pPr>
      <w:pStyle w:val="22"/>
      <w:pBdr>
        <w:bottom w:val="none" w:color="auto" w:sz="0" w:space="0"/>
      </w:pBdr>
      <w:jc w:val="both"/>
    </w:pPr>
  </w:p>
  <w:p w14:paraId="7C1E6558">
    <w:pPr>
      <w:pStyle w:val="22"/>
      <w:pBdr>
        <w:bottom w:val="none" w:color="auto" w:sz="0" w:space="0"/>
      </w:pBdr>
      <w:jc w:val="both"/>
    </w:pPr>
  </w:p>
  <w:p w14:paraId="3522D064">
    <w:pPr>
      <w:pStyle w:val="22"/>
      <w:pBdr>
        <w:bottom w:val="none" w:color="auto" w:sz="0" w:space="0"/>
      </w:pBdr>
      <w:jc w:val="both"/>
    </w:pPr>
  </w:p>
  <w:p w14:paraId="0E6B6DFD">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839A2F">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6DDD5">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5A0788B"/>
    <w:multiLevelType w:val="multilevel"/>
    <w:tmpl w:val="05A0788B"/>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
    <w:nsid w:val="0D924345"/>
    <w:multiLevelType w:val="multilevel"/>
    <w:tmpl w:val="0D924345"/>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3">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4">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abstractNum w:abstractNumId="5">
    <w:nsid w:val="7B596402"/>
    <w:multiLevelType w:val="multilevel"/>
    <w:tmpl w:val="7B596402"/>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4"/>
  </w:num>
  <w:num w:numId="2">
    <w:abstractNumId w:val="2"/>
  </w:num>
  <w:num w:numId="3">
    <w:abstractNumId w:val="3"/>
  </w:num>
  <w:num w:numId="4">
    <w:abstractNumId w:val="0"/>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2E5"/>
    <w:rsid w:val="0000037A"/>
    <w:rsid w:val="0000040F"/>
    <w:rsid w:val="00000507"/>
    <w:rsid w:val="0000064D"/>
    <w:rsid w:val="00000877"/>
    <w:rsid w:val="00000A89"/>
    <w:rsid w:val="00000CBB"/>
    <w:rsid w:val="0000148D"/>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8A7"/>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462"/>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9F4"/>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3B1"/>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7B8"/>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136"/>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664"/>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146"/>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CA5"/>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D72"/>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C0E"/>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C6C"/>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14C"/>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30F"/>
    <w:rsid w:val="00174813"/>
    <w:rsid w:val="00174928"/>
    <w:rsid w:val="00174B47"/>
    <w:rsid w:val="00175134"/>
    <w:rsid w:val="00175245"/>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6E10"/>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D3F"/>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67A"/>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06"/>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4FD1"/>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3DC"/>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9EE"/>
    <w:rsid w:val="002B1A3C"/>
    <w:rsid w:val="002B1CB6"/>
    <w:rsid w:val="002B1CDF"/>
    <w:rsid w:val="002B23E5"/>
    <w:rsid w:val="002B248B"/>
    <w:rsid w:val="002B24B5"/>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86A"/>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505"/>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6BC4"/>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05"/>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0E4"/>
    <w:rsid w:val="003915D3"/>
    <w:rsid w:val="00391663"/>
    <w:rsid w:val="0039166F"/>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A67"/>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530"/>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A5"/>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3CA"/>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7FE"/>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A42"/>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82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76C"/>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922"/>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E5D"/>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1AC"/>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5"/>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5A7A"/>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75"/>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BD4"/>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4"/>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3BE"/>
    <w:rsid w:val="006B2419"/>
    <w:rsid w:val="006B2590"/>
    <w:rsid w:val="006B27ED"/>
    <w:rsid w:val="006B28D0"/>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8C"/>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223"/>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26"/>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63A"/>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5DA8"/>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EDC"/>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254"/>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E94"/>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118"/>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59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5EA9"/>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23"/>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6F2"/>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7F0"/>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AF5"/>
    <w:rsid w:val="00991DA2"/>
    <w:rsid w:val="00991F7D"/>
    <w:rsid w:val="009920F9"/>
    <w:rsid w:val="00992271"/>
    <w:rsid w:val="009922D6"/>
    <w:rsid w:val="009922FF"/>
    <w:rsid w:val="009924F7"/>
    <w:rsid w:val="0099257C"/>
    <w:rsid w:val="009926E7"/>
    <w:rsid w:val="00992EC2"/>
    <w:rsid w:val="00993111"/>
    <w:rsid w:val="009934ED"/>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473"/>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19A"/>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561"/>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A24"/>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2C3"/>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0D0"/>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535"/>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729"/>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04"/>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143"/>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3D4F"/>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41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69"/>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2E7"/>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27E95"/>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32B"/>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5FE"/>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98E"/>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0B3"/>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6CA"/>
    <w:rsid w:val="00D01FF4"/>
    <w:rsid w:val="00D021DA"/>
    <w:rsid w:val="00D024E5"/>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4F67"/>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DE2"/>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3F86"/>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374"/>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283"/>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1FFF"/>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24C"/>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6E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53E"/>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3A84"/>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3F9F"/>
    <w:rsid w:val="00F74053"/>
    <w:rsid w:val="00F7426F"/>
    <w:rsid w:val="00F7430B"/>
    <w:rsid w:val="00F74407"/>
    <w:rsid w:val="00F7442A"/>
    <w:rsid w:val="00F74A49"/>
    <w:rsid w:val="00F74FAF"/>
    <w:rsid w:val="00F75106"/>
    <w:rsid w:val="00F7524D"/>
    <w:rsid w:val="00F7550A"/>
    <w:rsid w:val="00F7557B"/>
    <w:rsid w:val="00F75813"/>
    <w:rsid w:val="00F7583F"/>
    <w:rsid w:val="00F758D6"/>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9F5"/>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1A2"/>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8B7"/>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3C4"/>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30327C41"/>
    <w:rsid w:val="55F653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unhideWhenUsed="0" w:uiPriority="0" w:semiHidden="0" w:name="Table Colorful 2"/>
    <w:lsdException w:uiPriority="99" w:name="Table Colorful 3"/>
    <w:lsdException w:uiPriority="99" w:name="Table Columns 1"/>
    <w:lsdException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qFormat/>
    <w:uiPriority w:val="99"/>
    <w:rPr>
      <w:color w:val="0000FF"/>
      <w:u w:val="single"/>
    </w:rPr>
  </w:style>
  <w:style w:type="character" w:styleId="72">
    <w:name w:val="annotation referenc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qFormat/>
    <w:uiPriority w:val="99"/>
    <w:rPr>
      <w:sz w:val="18"/>
      <w:szCs w:val="18"/>
    </w:rPr>
  </w:style>
  <w:style w:type="character" w:customStyle="1" w:styleId="75">
    <w:name w:val="标题 1 字符"/>
    <w:basedOn w:val="67"/>
    <w:qFormat/>
    <w:uiPriority w:val="9"/>
    <w:rPr>
      <w:rFonts w:ascii="Times New Roman" w:hAnsi="Times New Roman" w:eastAsia="Times New Roman" w:cs="Times New Roman"/>
      <w:b/>
      <w:bCs/>
      <w:kern w:val="44"/>
      <w:sz w:val="44"/>
      <w:szCs w:val="44"/>
    </w:rPr>
  </w:style>
  <w:style w:type="character" w:customStyle="1" w:styleId="76">
    <w:name w:val="标题 2 字符"/>
    <w:basedOn w:val="67"/>
    <w:uiPriority w:val="9"/>
    <w:rPr>
      <w:rFonts w:asciiTheme="majorHAnsi" w:hAnsiTheme="majorHAnsi" w:eastAsiaTheme="majorEastAsia" w:cstheme="majorBidi"/>
      <w:b/>
      <w:bCs/>
      <w:sz w:val="32"/>
      <w:szCs w:val="32"/>
    </w:rPr>
  </w:style>
  <w:style w:type="character" w:customStyle="1" w:styleId="77">
    <w:name w:val="标题 3 字符"/>
    <w:basedOn w:val="67"/>
    <w:qFormat/>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qFormat/>
    <w:uiPriority w:val="9"/>
    <w:rPr>
      <w:rFonts w:ascii="Times New Roman" w:hAnsi="Times New Roman" w:eastAsia="Times New Roman" w:cs="Times New Roman"/>
      <w:b/>
      <w:bCs/>
      <w:sz w:val="28"/>
      <w:szCs w:val="28"/>
    </w:rPr>
  </w:style>
  <w:style w:type="character" w:customStyle="1" w:styleId="80">
    <w:name w:val="标题 6 字符"/>
    <w:basedOn w:val="67"/>
    <w:uiPriority w:val="9"/>
    <w:rPr>
      <w:rFonts w:asciiTheme="majorHAnsi" w:hAnsiTheme="majorHAnsi" w:eastAsiaTheme="majorEastAsia" w:cstheme="majorBidi"/>
      <w:b/>
      <w:bCs/>
      <w:sz w:val="24"/>
      <w:szCs w:val="24"/>
    </w:rPr>
  </w:style>
  <w:style w:type="character" w:customStyle="1" w:styleId="81">
    <w:name w:val="标题 1 字符1"/>
    <w:link w:val="2"/>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qFormat/>
    <w:uiPriority w:val="9"/>
    <w:rPr>
      <w:rFonts w:ascii="Frutiger" w:hAnsi="Frutiger" w:eastAsia="宋体"/>
      <w:b/>
      <w:bCs/>
      <w:sz w:val="26"/>
      <w:szCs w:val="26"/>
      <w:lang w:val="zh-CN" w:eastAsia="zh-CN"/>
    </w:rPr>
  </w:style>
  <w:style w:type="character" w:customStyle="1" w:styleId="85">
    <w:name w:val="标题 5 字符1"/>
    <w:link w:val="6"/>
    <w:qFormat/>
    <w:uiPriority w:val="9"/>
    <w:rPr>
      <w:rFonts w:ascii="Frutiger" w:hAnsi="Frutiger" w:eastAsia="宋体"/>
      <w:b/>
      <w:bCs/>
      <w:sz w:val="28"/>
      <w:szCs w:val="28"/>
    </w:rPr>
  </w:style>
  <w:style w:type="character" w:customStyle="1" w:styleId="86">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qFormat/>
    <w:uiPriority w:val="0"/>
    <w:rPr>
      <w:rFonts w:ascii="Arial Unicode MS" w:hAnsi="Arial Unicode MS" w:eastAsia="微软雅黑"/>
      <w:kern w:val="2"/>
      <w:sz w:val="18"/>
      <w:szCs w:val="22"/>
    </w:rPr>
  </w:style>
  <w:style w:type="character" w:customStyle="1" w:styleId="90">
    <w:name w:val="页脚 Char"/>
    <w:uiPriority w:val="99"/>
    <w:rPr>
      <w:rFonts w:ascii="Arial Unicode MS" w:hAnsi="Arial Unicode MS" w:eastAsia="微软雅黑"/>
      <w:kern w:val="2"/>
      <w:sz w:val="18"/>
      <w:szCs w:val="22"/>
    </w:rPr>
  </w:style>
  <w:style w:type="character" w:customStyle="1" w:styleId="91">
    <w:name w:val="文档结构图 字符1"/>
    <w:link w:val="11"/>
    <w:qFormat/>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qFormat/>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TOC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Info spid="_x0000_s1032"/>
    <customShpInfo spid="_x0000_s103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19C77F-A8DE-416F-A2F8-FE3DCC1B32E5}">
  <ds:schemaRefs/>
</ds:datastoreItem>
</file>

<file path=docProps/app.xml><?xml version="1.0" encoding="utf-8"?>
<Properties xmlns="http://schemas.openxmlformats.org/officeDocument/2006/extended-properties" xmlns:vt="http://schemas.openxmlformats.org/officeDocument/2006/docPropsVTypes">
  <Template>Normal</Template>
  <Pages>4</Pages>
  <Words>1747</Words>
  <Characters>2001</Characters>
  <Lines>54</Lines>
  <Paragraphs>41</Paragraphs>
  <TotalTime>12</TotalTime>
  <ScaleCrop>false</ScaleCrop>
  <LinksUpToDate>false</LinksUpToDate>
  <CharactersWithSpaces>2007</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鼕鼕</cp:lastModifiedBy>
  <dcterms:modified xsi:type="dcterms:W3CDTF">2026-01-07T09:08:47Z</dcterms:modified>
  <cp:revision>883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eyJoZGlkIjoiMjFmNGNlNTgxMTU0YzBhMjY3NTRmNDcyYjNlZTNhMDciLCJ1c2VySWQiOiI0MzI5MTg4NDMifQ==</vt:lpwstr>
  </property>
  <property fmtid="{D5CDD505-2E9C-101B-9397-08002B2CF9AE}" pid="3" name="KSOProductBuildVer">
    <vt:lpwstr>2052-12.1.0.24034</vt:lpwstr>
  </property>
  <property fmtid="{D5CDD505-2E9C-101B-9397-08002B2CF9AE}" pid="4" name="ICV">
    <vt:lpwstr>255B6A75F5B4446B96D3E68E3EA0EF92_12</vt:lpwstr>
  </property>
</Properties>
</file>