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9" w:name="_GoBack"/>
      <w:bookmarkStart w:id="0" w:name="OLE_LINK24"/>
      <w:bookmarkStart w:id="1" w:name="_Toc481801204"/>
      <w:bookmarkStart w:id="2" w:name="_Toc517262917"/>
      <w:bookmarkStart w:id="3" w:name="OLE_LINK15"/>
      <w:bookmarkStart w:id="4" w:name="_Toc415818939"/>
      <w:bookmarkStart w:id="5" w:name="OLE_LINK40"/>
      <w:bookmarkStart w:id="6" w:name="OLE_LINK39"/>
      <w:bookmarkStart w:id="7" w:name="_Toc418070112"/>
      <w:bookmarkStart w:id="8" w:name="_Toc415143481"/>
      <w:bookmarkStart w:id="9" w:name="_Toc438987549"/>
      <w:bookmarkStart w:id="10" w:name="_Toc415142861"/>
      <w:bookmarkStart w:id="11" w:name="_Toc453597319"/>
      <w:bookmarkStart w:id="12" w:name="OLE_LINK13"/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据QYResearch调研团队最新报告“全球透明质酸皮肤填充剂市场报告2023-2029”显示，预计2029年全球透明质酸皮肤填充剂市场规模将达到89.1亿美元，未来几年年复合增长率CAGR为12.0%。</w:t>
      </w:r>
    </w:p>
    <w:p>
      <w:pPr>
        <w:pStyle w:val="148"/>
        <w:rPr>
          <w:lang w:eastAsia="zh-CN"/>
        </w:rPr>
      </w:pP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936875"/>
            <wp:effectExtent l="0" t="0" r="2540" b="0"/>
            <wp:docPr id="293087936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18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572000" cy="4399915"/>
            <wp:effectExtent l="0" t="0" r="0" b="635"/>
            <wp:docPr id="92271521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市场研究报告2023-2029，排名基于2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</w:pPr>
      <w:r>
        <w:rPr>
          <w:rFonts w:hint="eastAsia"/>
          <w:lang w:eastAsia="zh-CN"/>
        </w:rPr>
        <w:t>根据QYResearch头部企业研究中心调研，全球范围内透明质酸皮肤填充剂生产商主要包括AbbVie、Galderma、LG Life Sciences、Beijing IMEIK、Merz、Bloomage BioTechnology、HUGEL、Medytox、Teoxane、Croma-Pharma GmbH等。2022年，全球前五大厂商占有大约77.0%的市场份额。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，全球市场规模，按产品类型细分，Single-phase Product处于主导地位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86903087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就产品类型而言，目前Single-phase Product是最主要的细分产品，占据大约71.8%的份额。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，全球市场规模，按应用细分，Specialty &amp; Dermatology Clinics是最大的下游市场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0"/>
            <wp:docPr id="133517479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5"/>
      </w:pP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就产品应用而言，目前Specialty &amp; Dermatology Clinics是最主要的需求来源，占据大约55.4%的份额。</w:t>
      </w:r>
    </w:p>
    <w:p>
      <w:pPr>
        <w:pStyle w:val="145"/>
        <w:rPr>
          <w:lang w:val="en-US" w:eastAsia="zh-CN"/>
        </w:rPr>
      </w:pP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62060836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透明质酸皮肤填充剂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1. 重点和潜力区域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由于日本、中国、韩国、泰国、澳大利亚和印度等国家对化妆品和美容产品的强劲需求，预计亚太地区将在未来几年实现最快的增长。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随着社交媒体影响力的不断增强，以及人们对美容微创手术和美容药物治疗的认识不断增强，这种需求预计将会增加。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此外，以较低的成本获得这些产品可能会刺激区域市场。</w:t>
      </w:r>
    </w:p>
    <w:p>
      <w:pPr>
        <w:pStyle w:val="145"/>
        <w:rPr>
          <w:lang w:eastAsia="zh-CN"/>
        </w:rPr>
      </w:pP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2、政策支持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2022 年 2 月，艾伯维 (AbbVie) 宣布 FDA 批准 Juvederm Volbella XC 用于改善 21 岁以上成人眶下空洞。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2022 年 8 月，艾伯维 (AbbVie) 宣布 FDA 批准 Juvederm Volux XC 用于改善 21 岁以上、中度至重度下颌线清晰度丧失的成年人的下颌线清晰度。</w:t>
      </w:r>
    </w:p>
    <w:p>
      <w:pPr>
        <w:pStyle w:val="145"/>
        <w:rPr>
          <w:lang w:eastAsia="zh-CN"/>
        </w:rPr>
      </w:pP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3、下游行业需求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非手术用品受到越来越多消费者的青睐。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与手术医疗美容服务相比，非手术医疗美容服务因其安全性高、恢复时间短、价格大众化而受到越来越多消费者的青睐。 目前，注射型真皮填充剂已成为最受欢迎的医疗美容产品。 非手术医疗美容服务以更低的成本、更低的风险满足了消费者对美丽的追求，迎来了黄金发展期。</w:t>
      </w:r>
    </w:p>
    <w:p>
      <w:pPr>
        <w:pStyle w:val="145"/>
        <w:rPr>
          <w:lang w:eastAsia="zh-CN"/>
        </w:rPr>
      </w:pP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bookmarkEnd w:id="19"/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90"/>
    <w:bookmarkStart w:id="14" w:name="_Hlk149300687"/>
    <w:bookmarkStart w:id="15" w:name="_Hlk149300689"/>
    <w:bookmarkStart w:id="16" w:name="_Hlk149300692"/>
    <w:bookmarkStart w:id="17" w:name="_Hlk149300688"/>
    <w:bookmarkStart w:id="18" w:name="_Hlk149300691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E5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9B9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1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826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AAD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chart" Target="charts/chart5.xml"/><Relationship Id="rId12" Type="http://schemas.openxmlformats.org/officeDocument/2006/relationships/chart" Target="charts/chart4.xml"/><Relationship Id="rId11" Type="http://schemas.openxmlformats.org/officeDocument/2006/relationships/chart" Target="charts/chart3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5.xml"/><Relationship Id="rId3" Type="http://schemas.microsoft.com/office/2011/relationships/chartStyle" Target="style5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F:\286.&#30446;&#24405;&#12289;&#33410;&#36873;\&#35266;&#28857;&#25991;&#20214;\10.Hyaluronic%20Acid%20Based%20Dermal%20Fillers&#36879;&#26126;&#36136;&#37240;&#30495;&#30382;&#22635;&#20805;&#21058;\&#35266;&#28857;&#25968;&#25454;&#22270;&#34920;&#27169;&#26495;-&#27169;&#26495;%2020231220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F:\286.&#30446;&#24405;&#12289;&#33410;&#36873;\&#35266;&#28857;&#25991;&#20214;\10.Hyaluronic%20Acid%20Based%20Dermal%20Fillers&#36879;&#26126;&#36136;&#37240;&#30495;&#30382;&#22635;&#20805;&#21058;\&#35266;&#28857;&#25968;&#25454;&#22270;&#34920;&#27169;&#26495;-&#27169;&#26495;%2020231220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F:\286.&#30446;&#24405;&#12289;&#33410;&#36873;\&#35266;&#28857;&#25991;&#20214;\10.Hyaluronic%20Acid%20Based%20Dermal%20Fillers&#36879;&#26126;&#36136;&#37240;&#30495;&#30382;&#22635;&#20805;&#21058;\&#35266;&#28857;&#25968;&#25454;&#22270;&#34920;&#27169;&#26495;-&#27169;&#26495;%2020231220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F:\286.&#30446;&#24405;&#12289;&#33410;&#36873;\&#35266;&#28857;&#25991;&#20214;\10.Hyaluronic%20Acid%20Based%20Dermal%20Fillers&#36879;&#26126;&#36136;&#37240;&#30495;&#30382;&#22635;&#20805;&#21058;\&#35266;&#28857;&#25968;&#25454;&#22270;&#34920;&#27169;&#26495;-&#27169;&#26495;%2020231220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F:\286.&#30446;&#24405;&#12289;&#33410;&#36873;\&#35266;&#28857;&#25991;&#20214;\10.Hyaluronic%20Acid%20Based%20Dermal%20Fillers&#36879;&#26126;&#36136;&#37240;&#30495;&#30382;&#22635;&#20805;&#21058;\&#35266;&#28857;&#25968;&#25454;&#22270;&#34920;&#27169;&#26495;-&#27169;&#26495;%202023122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2612.31</c:v>
                </c:pt>
                <c:pt idx="1">
                  <c:v>3893.27</c:v>
                </c:pt>
                <c:pt idx="2">
                  <c:v>8913.91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企业排序!$F$2:$F$30</c:f>
              <c:strCache>
                <c:ptCount val="18"/>
                <c:pt idx="0">
                  <c:v>Jingjia Medical Technology</c:v>
                </c:pt>
                <c:pt idx="1">
                  <c:v>SciVision Biotech</c:v>
                </c:pt>
                <c:pt idx="2">
                  <c:v>Prollenium</c:v>
                </c:pt>
                <c:pt idx="3">
                  <c:v>BioPlus</c:v>
                </c:pt>
                <c:pt idx="4">
                  <c:v>Sinclair</c:v>
                </c:pt>
                <c:pt idx="5">
                  <c:v>HUGEL</c:v>
                </c:pt>
                <c:pt idx="6">
                  <c:v>Elravie (Humedix)</c:v>
                </c:pt>
                <c:pt idx="7">
                  <c:v>Haohai Biological Technology</c:v>
                </c:pt>
                <c:pt idx="8">
                  <c:v>Croma-Pharma GmbH</c:v>
                </c:pt>
                <c:pt idx="9">
                  <c:v>Cleviel (PharmaResearch)</c:v>
                </c:pt>
                <c:pt idx="10">
                  <c:v>Medytox</c:v>
                </c:pt>
                <c:pt idx="11">
                  <c:v>Teoxane</c:v>
                </c:pt>
                <c:pt idx="12">
                  <c:v>Bloomage BioTechnology</c:v>
                </c:pt>
                <c:pt idx="13">
                  <c:v>Merz</c:v>
                </c:pt>
                <c:pt idx="14">
                  <c:v>Beijing IMEIK</c:v>
                </c:pt>
                <c:pt idx="15">
                  <c:v>LG Life Sciences</c:v>
                </c:pt>
                <c:pt idx="16">
                  <c:v>Galderma</c:v>
                </c:pt>
                <c:pt idx="17">
                  <c:v>AbbVie</c:v>
                </c:pt>
              </c:strCache>
            </c:strRef>
          </c:cat>
          <c:val>
            <c:numRef>
              <c:f>企业排序!$G$2:$G$30</c:f>
              <c:numCache>
                <c:formatCode>#,##0.00_ </c:formatCode>
                <c:ptCount val="18"/>
                <c:pt idx="0">
                  <c:v>12.81</c:v>
                </c:pt>
                <c:pt idx="1">
                  <c:v>17.78</c:v>
                </c:pt>
                <c:pt idx="2">
                  <c:v>18.02</c:v>
                </c:pt>
                <c:pt idx="3">
                  <c:v>18.39</c:v>
                </c:pt>
                <c:pt idx="4">
                  <c:v>20.59</c:v>
                </c:pt>
                <c:pt idx="5">
                  <c:v>35.64</c:v>
                </c:pt>
                <c:pt idx="6">
                  <c:v>41.88</c:v>
                </c:pt>
                <c:pt idx="7">
                  <c:v>48.68</c:v>
                </c:pt>
                <c:pt idx="8">
                  <c:v>70.46</c:v>
                </c:pt>
                <c:pt idx="9">
                  <c:v>71.64</c:v>
                </c:pt>
                <c:pt idx="10">
                  <c:v>79.69</c:v>
                </c:pt>
                <c:pt idx="11">
                  <c:v>80.19</c:v>
                </c:pt>
                <c:pt idx="12">
                  <c:v>102.06</c:v>
                </c:pt>
                <c:pt idx="13">
                  <c:v>168.28</c:v>
                </c:pt>
                <c:pt idx="14">
                  <c:v>287.3</c:v>
                </c:pt>
                <c:pt idx="15">
                  <c:v>550.9</c:v>
                </c:pt>
                <c:pt idx="16">
                  <c:v>572.85</c:v>
                </c:pt>
                <c:pt idx="17">
                  <c:v>1428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分类!$R$2</c:f>
              <c:strCache>
                <c:ptCount val="1"/>
                <c:pt idx="0">
                  <c:v>Single-phase Product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分类!$S$2:$AD$2</c:f>
              <c:numCache>
                <c:formatCode>0.0%</c:formatCode>
                <c:ptCount val="12"/>
                <c:pt idx="0">
                  <c:v>0.726789699537957</c:v>
                </c:pt>
                <c:pt idx="1">
                  <c:v>0.724327494470864</c:v>
                </c:pt>
                <c:pt idx="2">
                  <c:v>0.721417063769909</c:v>
                </c:pt>
                <c:pt idx="3">
                  <c:v>0.719798790667428</c:v>
                </c:pt>
                <c:pt idx="4">
                  <c:v>0.717992844061676</c:v>
                </c:pt>
                <c:pt idx="5">
                  <c:v>0.714474885541916</c:v>
                </c:pt>
                <c:pt idx="6">
                  <c:v>0.711557192597486</c:v>
                </c:pt>
                <c:pt idx="7">
                  <c:v>0.710237694548769</c:v>
                </c:pt>
                <c:pt idx="8">
                  <c:v>0.709370854836467</c:v>
                </c:pt>
                <c:pt idx="9">
                  <c:v>0.710011559366776</c:v>
                </c:pt>
                <c:pt idx="10">
                  <c:v>0.710947106406358</c:v>
                </c:pt>
                <c:pt idx="11">
                  <c:v>0.708255972968091</c:v>
                </c:pt>
              </c:numCache>
            </c:numRef>
          </c:val>
        </c:ser>
        <c:ser>
          <c:idx val="1"/>
          <c:order val="1"/>
          <c:tx>
            <c:strRef>
              <c:f>分类!$R$3</c:f>
              <c:strCache>
                <c:ptCount val="1"/>
                <c:pt idx="0">
                  <c:v>Duplex Product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分类!$S$3:$AD$3</c:f>
              <c:numCache>
                <c:formatCode>0.0%</c:formatCode>
                <c:ptCount val="12"/>
                <c:pt idx="0">
                  <c:v>0.273210300462043</c:v>
                </c:pt>
                <c:pt idx="1">
                  <c:v>0.275672505529137</c:v>
                </c:pt>
                <c:pt idx="2">
                  <c:v>0.278582936230091</c:v>
                </c:pt>
                <c:pt idx="3">
                  <c:v>0.280201209332572</c:v>
                </c:pt>
                <c:pt idx="4">
                  <c:v>0.282007155938324</c:v>
                </c:pt>
                <c:pt idx="5">
                  <c:v>0.285525114458084</c:v>
                </c:pt>
                <c:pt idx="6">
                  <c:v>0.288442807402514</c:v>
                </c:pt>
                <c:pt idx="7">
                  <c:v>0.289762305451231</c:v>
                </c:pt>
                <c:pt idx="8">
                  <c:v>0.290629145163533</c:v>
                </c:pt>
                <c:pt idx="9">
                  <c:v>0.289988440633224</c:v>
                </c:pt>
                <c:pt idx="10">
                  <c:v>0.289052893593642</c:v>
                </c:pt>
                <c:pt idx="11">
                  <c:v>0.291744027031909</c:v>
                </c:pt>
              </c:numCache>
            </c:numRef>
          </c:val>
        </c:ser>
        <c:ser>
          <c:idx val="2"/>
          <c:order val="2"/>
          <c:tx>
            <c:strRef>
              <c:f>分类!$R$4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分类!$S$4:$AD$4</c:f>
            </c:numRef>
          </c:val>
        </c:ser>
        <c:ser>
          <c:idx val="3"/>
          <c:order val="3"/>
          <c:tx>
            <c:strRef>
              <c:f>分类!$R$5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分类!$S$5:$AD$5</c:f>
            </c:numRef>
          </c:val>
        </c:ser>
        <c:ser>
          <c:idx val="4"/>
          <c:order val="4"/>
          <c:tx>
            <c:strRef>
              <c:f>分类!$R$6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分类!$S$6:$AD$6</c:f>
            </c:numRef>
          </c:val>
        </c:ser>
        <c:ser>
          <c:idx val="5"/>
          <c:order val="5"/>
          <c:tx>
            <c:strRef>
              <c:f>分类!$R$7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分类!$S$7:$AD$7</c:f>
            </c:numRef>
          </c:val>
        </c:ser>
        <c:ser>
          <c:idx val="6"/>
          <c:order val="6"/>
          <c:tx>
            <c:strRef>
              <c:f>分类!$R$8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分类!$S$8:$AD$8</c:f>
            </c:numRef>
          </c:val>
        </c:ser>
        <c:ser>
          <c:idx val="7"/>
          <c:order val="7"/>
          <c:tx>
            <c:strRef>
              <c:f>分类!$R$9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分类!$S$9:$AD$9</c:f>
            </c:numRef>
          </c:val>
        </c:ser>
        <c:ser>
          <c:idx val="8"/>
          <c:order val="8"/>
          <c:tx>
            <c:strRef>
              <c:f>分类!$R$10</c:f>
              <c:strCache>
                <c:ptCount val="1"/>
                <c:pt idx="0">
                  <c:v>0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分类!$S$1:$AD$1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分类!$S$10:$AD$10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Specialty &amp; Dermatology Clinics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1434.64</c:v>
                </c:pt>
                <c:pt idx="1">
                  <c:v>1558.11</c:v>
                </c:pt>
                <c:pt idx="2">
                  <c:v>1617.79</c:v>
                </c:pt>
                <c:pt idx="3">
                  <c:v>2027.54</c:v>
                </c:pt>
                <c:pt idx="4">
                  <c:v>2156.88</c:v>
                </c:pt>
                <c:pt idx="5">
                  <c:v>2533.99</c:v>
                </c:pt>
                <c:pt idx="6">
                  <c:v>3012.52</c:v>
                </c:pt>
                <c:pt idx="7">
                  <c:v>3415.69</c:v>
                </c:pt>
                <c:pt idx="8">
                  <c:v>3774.64</c:v>
                </c:pt>
                <c:pt idx="9">
                  <c:v>4154.33</c:v>
                </c:pt>
                <c:pt idx="10">
                  <c:v>4566.19</c:v>
                </c:pt>
                <c:pt idx="11">
                  <c:v>5093.67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Hospitals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1008.85</c:v>
                </c:pt>
                <c:pt idx="1">
                  <c:v>1093.1</c:v>
                </c:pt>
                <c:pt idx="2">
                  <c:v>1135.64</c:v>
                </c:pt>
                <c:pt idx="3">
                  <c:v>1419.29</c:v>
                </c:pt>
                <c:pt idx="4">
                  <c:v>1520.51</c:v>
                </c:pt>
                <c:pt idx="5">
                  <c:v>1758.59</c:v>
                </c:pt>
                <c:pt idx="6">
                  <c:v>2090.87</c:v>
                </c:pt>
                <c:pt idx="7">
                  <c:v>2387.41</c:v>
                </c:pt>
                <c:pt idx="8">
                  <c:v>2620.24</c:v>
                </c:pt>
                <c:pt idx="9">
                  <c:v>2851.95</c:v>
                </c:pt>
                <c:pt idx="10">
                  <c:v>3125.43</c:v>
                </c:pt>
                <c:pt idx="11">
                  <c:v>3454.86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Others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168.82</c:v>
                </c:pt>
                <c:pt idx="1">
                  <c:v>179.25</c:v>
                </c:pt>
                <c:pt idx="2">
                  <c:v>188.71</c:v>
                </c:pt>
                <c:pt idx="3">
                  <c:v>213.04</c:v>
                </c:pt>
                <c:pt idx="4">
                  <c:v>215.88</c:v>
                </c:pt>
                <c:pt idx="5">
                  <c:v>230.91</c:v>
                </c:pt>
                <c:pt idx="6">
                  <c:v>255.87</c:v>
                </c:pt>
                <c:pt idx="7">
                  <c:v>275.71</c:v>
                </c:pt>
                <c:pt idx="8">
                  <c:v>292.13</c:v>
                </c:pt>
                <c:pt idx="9">
                  <c:v>312.46</c:v>
                </c:pt>
                <c:pt idx="10">
                  <c:v>335.25</c:v>
                </c:pt>
                <c:pt idx="11">
                  <c:v>365.38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应用!$B$5:$M$5</c:f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693.840000000001</c:v>
                </c:pt>
                <c:pt idx="1">
                  <c:v>752.01</c:v>
                </c:pt>
                <c:pt idx="2">
                  <c:v>794.17</c:v>
                </c:pt>
                <c:pt idx="3">
                  <c:v>1007.06</c:v>
                </c:pt>
                <c:pt idx="4">
                  <c:v>1099.51</c:v>
                </c:pt>
                <c:pt idx="5">
                  <c:v>1299.22</c:v>
                </c:pt>
                <c:pt idx="6">
                  <c:v>1580.21</c:v>
                </c:pt>
                <c:pt idx="7">
                  <c:v>1818.22</c:v>
                </c:pt>
                <c:pt idx="8">
                  <c:v>2014.92</c:v>
                </c:pt>
                <c:pt idx="9">
                  <c:v>2222.12</c:v>
                </c:pt>
                <c:pt idx="10">
                  <c:v>2469.32</c:v>
                </c:pt>
                <c:pt idx="11">
                  <c:v>2769.43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968.25</c:v>
                </c:pt>
                <c:pt idx="1">
                  <c:v>1047.91</c:v>
                </c:pt>
                <c:pt idx="2">
                  <c:v>1082.86</c:v>
                </c:pt>
                <c:pt idx="3">
                  <c:v>1345.54</c:v>
                </c:pt>
                <c:pt idx="4">
                  <c:v>1423.84</c:v>
                </c:pt>
                <c:pt idx="5">
                  <c:v>1661.19</c:v>
                </c:pt>
                <c:pt idx="6">
                  <c:v>1948.73</c:v>
                </c:pt>
                <c:pt idx="7">
                  <c:v>2196.1</c:v>
                </c:pt>
                <c:pt idx="8">
                  <c:v>2406.87</c:v>
                </c:pt>
                <c:pt idx="9">
                  <c:v>2624.73</c:v>
                </c:pt>
                <c:pt idx="10">
                  <c:v>2872.94</c:v>
                </c:pt>
                <c:pt idx="11">
                  <c:v>3171.19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835.37</c:v>
                </c:pt>
                <c:pt idx="1">
                  <c:v>909.93</c:v>
                </c:pt>
                <c:pt idx="2">
                  <c:v>943.43</c:v>
                </c:pt>
                <c:pt idx="3">
                  <c:v>1165.01</c:v>
                </c:pt>
                <c:pt idx="4">
                  <c:v>1221.78</c:v>
                </c:pt>
                <c:pt idx="5">
                  <c:v>1398.64</c:v>
                </c:pt>
                <c:pt idx="6">
                  <c:v>1647.02</c:v>
                </c:pt>
                <c:pt idx="7">
                  <c:v>1864.91</c:v>
                </c:pt>
                <c:pt idx="8">
                  <c:v>2049.35</c:v>
                </c:pt>
                <c:pt idx="9">
                  <c:v>2240.05</c:v>
                </c:pt>
                <c:pt idx="10">
                  <c:v>2435.63</c:v>
                </c:pt>
                <c:pt idx="11">
                  <c:v>2702.18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South America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45.59</c:v>
                </c:pt>
                <c:pt idx="1">
                  <c:v>47.84</c:v>
                </c:pt>
                <c:pt idx="2">
                  <c:v>48.17</c:v>
                </c:pt>
                <c:pt idx="3">
                  <c:v>54.81</c:v>
                </c:pt>
                <c:pt idx="4">
                  <c:v>56.21</c:v>
                </c:pt>
                <c:pt idx="5">
                  <c:v>61.67</c:v>
                </c:pt>
                <c:pt idx="6">
                  <c:v>68.43</c:v>
                </c:pt>
                <c:pt idx="7">
                  <c:v>74.23</c:v>
                </c:pt>
                <c:pt idx="8">
                  <c:v>80.59</c:v>
                </c:pt>
                <c:pt idx="9">
                  <c:v>86.58</c:v>
                </c:pt>
                <c:pt idx="10">
                  <c:v>92.3</c:v>
                </c:pt>
                <c:pt idx="11">
                  <c:v>99.9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Middle East and Africa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'地区-消费'!$B$6:$M$6</c:f>
              <c:numCache>
                <c:formatCode>#,##0_);[Red]\(#,##0\)</c:formatCode>
                <c:ptCount val="12"/>
                <c:pt idx="0">
                  <c:v>69.26</c:v>
                </c:pt>
                <c:pt idx="1">
                  <c:v>72.77</c:v>
                </c:pt>
                <c:pt idx="2">
                  <c:v>73.51</c:v>
                </c:pt>
                <c:pt idx="3">
                  <c:v>87.45</c:v>
                </c:pt>
                <c:pt idx="4">
                  <c:v>91.93</c:v>
                </c:pt>
                <c:pt idx="5">
                  <c:v>102.77</c:v>
                </c:pt>
                <c:pt idx="6">
                  <c:v>114.87</c:v>
                </c:pt>
                <c:pt idx="7">
                  <c:v>125.35</c:v>
                </c:pt>
                <c:pt idx="8">
                  <c:v>135.28</c:v>
                </c:pt>
                <c:pt idx="9">
                  <c:v>145.26</c:v>
                </c:pt>
                <c:pt idx="10">
                  <c:v>156.68</c:v>
                </c:pt>
                <c:pt idx="11">
                  <c:v>171.21</c:v>
                </c:pt>
              </c:numCache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'地区-消费'!$B$7:$M$7</c:f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'地区-消费'!$B$8:$M$8</c:f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'地区-消费'!$B$9:$M$9</c:f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0.55078</cdr:x>
      <cdr:y>0.17175</cdr:y>
    </cdr:from>
    <cdr:to>
      <cdr:x>0.73063</cdr:x>
      <cdr:y>0.51232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408618" y="504408"/>
          <a:ext cx="1113039" cy="1000212"/>
          <a:chOff x="2859058" y="1061399"/>
          <a:chExt cx="759437" cy="821673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59058" y="1061399"/>
            <a:ext cx="759437" cy="821673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649119">
            <a:off x="2885602" y="1427757"/>
            <a:ext cx="619687" cy="185800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12.0%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0.23328</cdr:x>
      <cdr:y>0.47975</cdr:y>
    </cdr:from>
    <cdr:to>
      <cdr:x>0.43042</cdr:x>
      <cdr:y>0.743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43702" y="1408966"/>
          <a:ext cx="1220042" cy="773132"/>
          <a:chOff x="3065378" y="1615187"/>
          <a:chExt cx="1010935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65378" y="1822248"/>
            <a:ext cx="1010935" cy="46480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584799">
            <a:off x="3135135" y="1935053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10.5%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297</Words>
  <Characters>1697</Characters>
  <Lines>14</Lines>
  <Paragraphs>3</Paragraphs>
  <TotalTime>671</TotalTime>
  <ScaleCrop>false</ScaleCrop>
  <LinksUpToDate>false</LinksUpToDate>
  <CharactersWithSpaces>1991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2024-02-18T06:46:10Z</dcterms:modified>
  <cp:revision>813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65B0B9DA8C65467D877775595F253BC1_13</vt:lpwstr>
  </property>
</Properties>
</file>