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OLE_LINK13"/>
      <w:bookmarkStart w:id="2" w:name="_Toc418070112"/>
      <w:bookmarkStart w:id="3" w:name="_Toc453597319"/>
      <w:bookmarkStart w:id="4" w:name="_Toc481801204"/>
      <w:bookmarkStart w:id="5" w:name="OLE_LINK15"/>
      <w:bookmarkStart w:id="6" w:name="_Toc438987549"/>
      <w:bookmarkStart w:id="7" w:name="_Toc415818939"/>
      <w:bookmarkStart w:id="8" w:name="_Toc415143481"/>
      <w:bookmarkStart w:id="9" w:name="OLE_LINK24"/>
      <w:bookmarkStart w:id="10" w:name="_Toc415142861"/>
      <w:bookmarkStart w:id="11" w:name="OLE_LINK40"/>
      <w:bookmarkStart w:id="12" w:name="OLE_LINK39"/>
      <w:r>
        <w:rPr>
          <w:lang w:eastAsia="zh-CN"/>
        </w:rPr>
        <w:t>静电感应离子发生器</w:t>
      </w:r>
      <w:r>
        <w:rPr>
          <w:rFonts w:hint="eastAsia"/>
          <w:lang w:eastAsia="zh-CN"/>
        </w:rPr>
        <w:t>产品定义</w:t>
      </w:r>
    </w:p>
    <w:p>
      <w:pPr>
        <w:pStyle w:val="145"/>
        <w:rPr>
          <w:lang w:eastAsia="zh-CN"/>
        </w:rPr>
      </w:pPr>
      <w:r>
        <w:rPr>
          <w:rFonts w:hint="eastAsia"/>
          <w:lang w:eastAsia="zh-CN"/>
        </w:rPr>
        <w:t>静电感应离子发生器其工作原理是：高压发生器和放电电极在放电电极和接地电极之间产生强电场，空气分子被电离，放电电极尖端交替 产生正离子和负离子。 当风将大量正负离子吹到物体表面时来中和静电，或者直接将静电消除器靠近物体表面来中和静电。</w:t>
      </w:r>
    </w:p>
    <w:p>
      <w:pPr>
        <w:pStyle w:val="145"/>
        <w:rPr>
          <w:rFonts w:hint="eastAsia"/>
          <w:lang w:eastAsia="zh-CN"/>
        </w:rPr>
      </w:pPr>
    </w:p>
    <w:p>
      <w:pPr>
        <w:pStyle w:val="167"/>
        <w:rPr>
          <w:lang w:eastAsia="zh-CN"/>
        </w:rPr>
      </w:pPr>
      <w:r>
        <w:rPr>
          <w:lang w:eastAsia="zh-CN"/>
        </w:rPr>
        <w:t>静电感应离子发生器</w:t>
      </w:r>
      <w:r>
        <w:rPr>
          <w:rFonts w:hint="eastAsia"/>
          <w:lang w:eastAsia="zh-CN"/>
        </w:rPr>
        <w:t>产品图片</w:t>
      </w:r>
    </w:p>
    <w:p>
      <w:pPr>
        <w:pStyle w:val="143"/>
        <w:rPr>
          <w:lang w:eastAsia="zh-CN"/>
        </w:rPr>
      </w:pPr>
      <w:r>
        <w:rPr>
          <w:lang w:val="en-US" w:eastAsia="zh-CN"/>
        </w:rPr>
        <w:drawing>
          <wp:inline distT="0" distB="0" distL="0" distR="0">
            <wp:extent cx="4010025" cy="16097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4010025" cy="1609725"/>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静电感应离子发生器</w:t>
      </w:r>
      <w:r>
        <w:rPr>
          <w:rFonts w:hint="eastAsia"/>
          <w:lang w:eastAsia="zh-CN"/>
        </w:rPr>
        <w:t>市场研究报告2023-2029</w:t>
      </w:r>
      <w:r>
        <w:rPr>
          <w:lang w:eastAsia="zh-CN"/>
        </w:rPr>
        <w:t>.</w:t>
      </w:r>
    </w:p>
    <w:p>
      <w:pPr>
        <w:pStyle w:val="167"/>
        <w:rPr>
          <w:lang w:eastAsia="zh-CN"/>
        </w:rPr>
      </w:pPr>
      <w:r>
        <w:rPr>
          <w:lang w:eastAsia="zh-CN"/>
        </w:rPr>
        <w:t>静电感应离子发生器</w:t>
      </w:r>
      <w:r>
        <w:rPr>
          <w:rFonts w:hint="eastAsia"/>
          <w:lang w:eastAsia="zh-CN"/>
        </w:rPr>
        <w:t>全球市场总体规模</w:t>
      </w:r>
    </w:p>
    <w:p>
      <w:pPr>
        <w:pStyle w:val="145"/>
        <w:rPr>
          <w:lang w:eastAsia="zh-CN"/>
        </w:rPr>
      </w:pPr>
    </w:p>
    <w:p>
      <w:pPr>
        <w:pStyle w:val="145"/>
        <w:rPr>
          <w:lang w:eastAsia="zh-CN"/>
        </w:rPr>
      </w:pPr>
      <w:r>
        <w:rPr>
          <w:rFonts w:hint="eastAsia"/>
          <w:lang w:eastAsia="zh-CN"/>
        </w:rPr>
        <w:t>据QYResearch调研团队最新报告“全球静电感应离子发生器市场报告2023-2029”显示，预计2029年全球静电感应离子发生器市场规模将达到6.6亿美元，未来几年年复合增长率CAGR为5.6%。</w:t>
      </w:r>
    </w:p>
    <w:p>
      <w:pPr>
        <w:pStyle w:val="148"/>
        <w:rPr>
          <w:lang w:eastAsia="zh-CN"/>
        </w:rPr>
      </w:pPr>
      <w:r>
        <w:rPr>
          <w:lang w:eastAsia="zh-CN"/>
        </w:rPr>
        <w:t>静电感应离子发生器</w:t>
      </w:r>
      <w:r>
        <w:rPr>
          <w:rFonts w:hint="eastAsia"/>
          <w:lang w:eastAsia="zh-CN"/>
        </w:rPr>
        <w:t>，全球市场总体规模</w:t>
      </w:r>
    </w:p>
    <w:p>
      <w:pPr>
        <w:pStyle w:val="145"/>
      </w:pPr>
      <w:r>
        <w:rPr>
          <w:lang w:val="en-US" w:eastAsia="zh-CN"/>
        </w:rPr>
        <w:drawing>
          <wp:inline distT="0" distB="0" distL="0" distR="0">
            <wp:extent cx="6188710" cy="293941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88710" cy="2939454"/>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静电感应离子发生器</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静电感应离子发生器</w:t>
      </w:r>
      <w:r>
        <w:rPr>
          <w:rFonts w:hint="eastAsia"/>
          <w:lang w:eastAsia="zh-CN"/>
        </w:rPr>
        <w:t>市场前</w:t>
      </w:r>
      <w:r>
        <w:rPr>
          <w:lang w:eastAsia="zh-CN"/>
        </w:rPr>
        <w:t>20</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如上图表/数据，摘自QYResearch报告“全球</w:t>
      </w:r>
      <w:r>
        <w:rPr>
          <w:lang w:eastAsia="zh-CN"/>
        </w:rPr>
        <w:t>静电感应离子发生器</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rPr>
        <w:t>全球范围内</w:t>
      </w:r>
      <w:r>
        <w:rPr>
          <w:lang w:eastAsia="zh-CN"/>
        </w:rPr>
        <w:t>静电感应离子发生器</w:t>
      </w:r>
      <w:r>
        <w:rPr>
          <w:rFonts w:hint="eastAsia"/>
        </w:rPr>
        <w:t>生产商主要包括KEYENCE、Simco-Ion、SMC、Panasonic、OMRON、Shishido Electrostatic、Sunje HI-TEK CO.,Ltd、Meech International、KASUGA DENKI、VESSEL等。</w:t>
      </w:r>
      <w:r>
        <w:rPr>
          <w:rFonts w:hint="eastAsia"/>
          <w:lang w:eastAsia="zh-CN"/>
        </w:rPr>
        <w:t>2022年，全球前五大厂商占有大约40.0%的市场份额。目前，全球核心厂商主要分布在欧美，日本，中国等。</w:t>
      </w:r>
    </w:p>
    <w:p>
      <w:pPr>
        <w:pStyle w:val="145"/>
        <w:rPr>
          <w:rFonts w:hint="eastAsia"/>
          <w:lang w:eastAsia="zh-CN"/>
        </w:rPr>
      </w:pPr>
    </w:p>
    <w:p>
      <w:pPr>
        <w:pStyle w:val="148"/>
        <w:rPr>
          <w:lang w:eastAsia="zh-CN"/>
        </w:rPr>
      </w:pPr>
      <w:r>
        <w:rPr>
          <w:lang w:eastAsia="zh-CN"/>
        </w:rPr>
        <w:t>静电感应离子发生器</w:t>
      </w:r>
      <w:r>
        <w:rPr>
          <w:rFonts w:hint="eastAsia"/>
          <w:lang w:eastAsia="zh-CN"/>
        </w:rPr>
        <w:t>，全球市场规模，按产品类型细分，离子棒处于主导地位</w:t>
      </w:r>
    </w:p>
    <w:p>
      <w:pPr>
        <w:pStyle w:val="145"/>
        <w:rPr>
          <w:lang w:eastAsia="zh-CN"/>
        </w:rPr>
      </w:pPr>
      <w:r>
        <w:rPr>
          <w:lang w:val="en-US" w:eastAsia="zh-CN"/>
        </w:rPr>
        <w:drawing>
          <wp:inline distT="0" distB="0" distL="0" distR="0">
            <wp:extent cx="5382260" cy="2449830"/>
            <wp:effectExtent l="0" t="0" r="889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395938" cy="2455942"/>
                    </a:xfrm>
                    <a:prstGeom prst="rect">
                      <a:avLst/>
                    </a:prstGeom>
                    <a:noFill/>
                  </pic:spPr>
                </pic:pic>
              </a:graphicData>
            </a:graphic>
          </wp:inline>
        </w:drawing>
      </w:r>
    </w:p>
    <w:p>
      <w:pPr>
        <w:pStyle w:val="145"/>
        <w:rPr>
          <w:lang w:eastAsia="zh-CN"/>
        </w:rPr>
      </w:pPr>
      <w:r>
        <w:rPr>
          <w:lang w:val="en-US" w:eastAsia="zh-CN"/>
        </w:rPr>
        <w:drawing>
          <wp:inline distT="0" distB="0" distL="0" distR="0">
            <wp:extent cx="5469255" cy="2587625"/>
            <wp:effectExtent l="0" t="0" r="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485721" cy="2595586"/>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静电感应离子发生器</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就产品类型而言，目前离子棒型是最主要的细分产品，占据大约27.0%的份额。</w:t>
      </w:r>
    </w:p>
    <w:p>
      <w:pPr>
        <w:pStyle w:val="145"/>
        <w:rPr>
          <w:lang w:eastAsia="zh-CN"/>
        </w:rPr>
      </w:pPr>
    </w:p>
    <w:p>
      <w:pPr>
        <w:pStyle w:val="148"/>
        <w:rPr>
          <w:lang w:eastAsia="zh-CN"/>
        </w:rPr>
      </w:pPr>
      <w:r>
        <w:rPr>
          <w:lang w:eastAsia="zh-CN"/>
        </w:rPr>
        <w:t>静电感应离子发生器</w:t>
      </w:r>
      <w:r>
        <w:rPr>
          <w:rFonts w:hint="eastAsia"/>
          <w:lang w:eastAsia="zh-CN"/>
        </w:rPr>
        <w:t>，全球市场规模，按应用细分，电子信息制造是最大的下游市场，占有</w:t>
      </w:r>
      <w:r>
        <w:rPr>
          <w:lang w:eastAsia="zh-CN"/>
        </w:rPr>
        <w:t>30.2</w:t>
      </w:r>
      <w:r>
        <w:rPr>
          <w:rFonts w:hint="eastAsia"/>
          <w:lang w:eastAsia="zh-CN"/>
        </w:rPr>
        <w:t>%份额。</w:t>
      </w:r>
    </w:p>
    <w:p>
      <w:pPr>
        <w:pStyle w:val="145"/>
        <w:rPr>
          <w:lang w:eastAsia="zh-CN"/>
        </w:rPr>
      </w:pPr>
      <w:r>
        <w:rPr>
          <w:lang w:val="en-US" w:eastAsia="zh-CN"/>
        </w:rPr>
        <w:drawing>
          <wp:inline distT="0" distB="0" distL="0" distR="0">
            <wp:extent cx="5848350" cy="2696210"/>
            <wp:effectExtent l="0" t="0" r="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866386" cy="2704541"/>
                    </a:xfrm>
                    <a:prstGeom prst="rect">
                      <a:avLst/>
                    </a:prstGeom>
                    <a:noFill/>
                  </pic:spPr>
                </pic:pic>
              </a:graphicData>
            </a:graphic>
          </wp:inline>
        </w:drawing>
      </w:r>
    </w:p>
    <w:p>
      <w:pPr>
        <w:pStyle w:val="145"/>
        <w:rPr>
          <w:rFonts w:hint="eastAsia"/>
          <w:lang w:eastAsia="zh-CN"/>
        </w:rPr>
      </w:pPr>
      <w:r>
        <w:rPr>
          <w:lang w:val="en-US" w:eastAsia="zh-CN"/>
        </w:rPr>
        <w:drawing>
          <wp:inline distT="0" distB="0" distL="0" distR="0">
            <wp:extent cx="5695950" cy="26898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731561" cy="2706852"/>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静电感应离子发生器</w:t>
      </w:r>
      <w:r>
        <w:rPr>
          <w:rFonts w:hint="eastAsia"/>
          <w:lang w:eastAsia="zh-CN"/>
        </w:rPr>
        <w:t>市场研究报告2023-2029</w:t>
      </w:r>
      <w:r>
        <w:rPr>
          <w:lang w:eastAsia="zh-CN"/>
        </w:rPr>
        <w:t>.</w:t>
      </w:r>
    </w:p>
    <w:p>
      <w:pPr>
        <w:pStyle w:val="145"/>
        <w:rPr>
          <w:rFonts w:hint="eastAsia"/>
          <w:lang w:eastAsia="zh-CN"/>
        </w:rPr>
      </w:pPr>
      <w:r>
        <w:rPr>
          <w:rFonts w:hint="eastAsia"/>
          <w:lang w:eastAsia="zh-CN"/>
        </w:rPr>
        <w:t>就产品应用而言，目前电子信息制造是最主要的需求来源，占据大约30.2%的份额。</w:t>
      </w:r>
    </w:p>
    <w:p>
      <w:pPr>
        <w:pStyle w:val="143"/>
        <w:rPr>
          <w:lang w:eastAsia="zh-CN"/>
        </w:rPr>
      </w:pPr>
    </w:p>
    <w:p>
      <w:pPr>
        <w:pStyle w:val="145"/>
        <w:rPr>
          <w:b/>
          <w:lang w:eastAsia="zh-CN"/>
        </w:rPr>
      </w:pPr>
      <w:r>
        <w:rPr>
          <w:rFonts w:hint="eastAsia"/>
          <w:b/>
          <w:lang w:eastAsia="zh-CN"/>
        </w:rPr>
        <w:t>主要驱动因素</w:t>
      </w:r>
      <w:r>
        <w:rPr>
          <w:b/>
          <w:lang w:eastAsia="zh-CN"/>
        </w:rPr>
        <w:t>:</w:t>
      </w:r>
    </w:p>
    <w:p>
      <w:pPr>
        <w:pStyle w:val="145"/>
        <w:rPr>
          <w:lang w:eastAsia="zh-CN"/>
        </w:rPr>
      </w:pPr>
      <w:r>
        <w:rPr>
          <w:rFonts w:hint="eastAsia"/>
          <w:lang w:eastAsia="zh-CN"/>
        </w:rPr>
        <w:t>随着电子半导体、印刷、塑料、汽车、食品医药等各个下游应用领域生产厂家对静电控制认知的不断提高以及保证安全生产减少返工的需求，大大刺激了行业发展。</w:t>
      </w:r>
    </w:p>
    <w:p>
      <w:pPr>
        <w:pStyle w:val="145"/>
        <w:rPr>
          <w:lang w:eastAsia="zh-CN"/>
        </w:rPr>
      </w:pPr>
      <w:r>
        <w:rPr>
          <w:rFonts w:hint="eastAsia"/>
          <w:lang w:eastAsia="zh-CN"/>
        </w:rPr>
        <w:t>全球各个地区和国家关于电子半导体行业的鼓励政策陆续出台，间接为静电消除器行业发展带来利好。</w:t>
      </w:r>
    </w:p>
    <w:p>
      <w:pPr>
        <w:pStyle w:val="145"/>
        <w:rPr>
          <w:b/>
          <w:lang w:eastAsia="zh-CN"/>
        </w:rPr>
      </w:pPr>
      <w:r>
        <w:rPr>
          <w:rFonts w:hint="eastAsia"/>
          <w:b/>
          <w:lang w:eastAsia="zh-CN"/>
        </w:rPr>
        <w:t>主要阻碍因素</w:t>
      </w:r>
      <w:r>
        <w:rPr>
          <w:b/>
          <w:lang w:eastAsia="zh-CN"/>
        </w:rPr>
        <w:t>:</w:t>
      </w:r>
    </w:p>
    <w:p>
      <w:pPr>
        <w:pStyle w:val="145"/>
        <w:rPr>
          <w:lang w:eastAsia="zh-CN"/>
        </w:rPr>
      </w:pPr>
      <w:r>
        <w:rPr>
          <w:rFonts w:hint="eastAsia"/>
          <w:lang w:eastAsia="zh-CN"/>
        </w:rPr>
        <w:t>行业内出现恶性竞争，部分厂商以价换量进而搅乱市场正常秩序</w:t>
      </w:r>
    </w:p>
    <w:p>
      <w:pPr>
        <w:pStyle w:val="145"/>
        <w:rPr>
          <w:lang w:eastAsia="zh-CN"/>
        </w:rPr>
      </w:pPr>
      <w:r>
        <w:rPr>
          <w:rFonts w:hint="eastAsia"/>
          <w:lang w:eastAsia="zh-CN"/>
        </w:rPr>
        <w:t>在部分行业，缺乏对静电中和的好处认知以及对防静电的安全意识不足会在一定程度上阻碍市场增长，让潜在客户了解静电荷控制的重要性至关重要。</w:t>
      </w:r>
    </w:p>
    <w:p>
      <w:pPr>
        <w:pStyle w:val="145"/>
        <w:rPr>
          <w:b/>
          <w:lang w:eastAsia="zh-CN"/>
        </w:rPr>
      </w:pPr>
      <w:r>
        <w:rPr>
          <w:rFonts w:hint="eastAsia"/>
          <w:b/>
          <w:lang w:eastAsia="zh-CN"/>
        </w:rPr>
        <w:t>行业发展机遇</w:t>
      </w:r>
      <w:r>
        <w:rPr>
          <w:b/>
          <w:lang w:eastAsia="zh-CN"/>
        </w:rPr>
        <w:t>:</w:t>
      </w:r>
    </w:p>
    <w:p>
      <w:pPr>
        <w:pStyle w:val="145"/>
        <w:rPr>
          <w:lang w:eastAsia="zh-CN"/>
        </w:rPr>
      </w:pPr>
      <w:r>
        <w:rPr>
          <w:rFonts w:hint="eastAsia"/>
          <w:lang w:eastAsia="zh-CN"/>
        </w:rPr>
        <w:t>随着制造和生产过程自动化趋势的不断发展，对能够最大限度地减少静电干扰并保持效率的设备的需求不断增加。</w:t>
      </w:r>
    </w:p>
    <w:p>
      <w:pPr>
        <w:pStyle w:val="145"/>
        <w:rPr>
          <w:lang w:eastAsia="zh-CN"/>
        </w:rPr>
      </w:pPr>
      <w:r>
        <w:rPr>
          <w:rFonts w:hint="eastAsia"/>
          <w:lang w:eastAsia="zh-CN"/>
        </w:rPr>
        <w:t>不断发展的安全、清洁和产品质量的行业标准和法规推动了对静电中和设备的需求，各行业都需要遵守这些规定，以尽量减少与静电荷相关的风险。</w:t>
      </w:r>
    </w:p>
    <w:p>
      <w:pPr>
        <w:pStyle w:val="167"/>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36"/>
        <w:gridCol w:w="78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trPr>
        <w:tc>
          <w:tcPr>
            <w:tcW w:w="880" w:type="pct"/>
            <w:vMerge w:val="restart"/>
          </w:tcPr>
          <w:p>
            <w:pPr>
              <w:rPr>
                <w:rFonts w:cs="Times New Roman"/>
                <w:kern w:val="0"/>
                <w:sz w:val="20"/>
                <w:szCs w:val="20"/>
              </w:rPr>
            </w:pPr>
            <w:r>
              <w:rPr>
                <w:rFonts w:cs="Tahoma"/>
                <w:kern w:val="0"/>
                <w:sz w:val="20"/>
                <w:szCs w:val="20"/>
              </w:rPr>
              <w:drawing>
                <wp:inline distT="0" distB="0" distL="0" distR="0">
                  <wp:extent cx="1217295" cy="1276350"/>
                  <wp:effectExtent l="0" t="0" r="1905" b="0"/>
                  <wp:docPr id="30" name="图片 30" descr="C:\Users\18010\AppData\Local\Temp\WeChat Files\b8a4299d9f62bbf4fb3d69afb4c0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Users\18010\AppData\Local\Temp\WeChat Files\b8a4299d9f62bbf4fb3d69afb4c0673.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217742" cy="1276819"/>
                          </a:xfrm>
                          <a:prstGeom prst="rect">
                            <a:avLst/>
                          </a:prstGeom>
                          <a:noFill/>
                          <a:ln>
                            <a:noFill/>
                          </a:ln>
                        </pic:spPr>
                      </pic:pic>
                    </a:graphicData>
                  </a:graphic>
                </wp:inline>
              </w:drawing>
            </w:r>
          </w:p>
        </w:tc>
        <w:tc>
          <w:tcPr>
            <w:tcW w:w="4120" w:type="pct"/>
            <w:vAlign w:val="center"/>
          </w:tcPr>
          <w:p>
            <w:pPr>
              <w:rPr>
                <w:rFonts w:cs="Times New Roman"/>
                <w:kern w:val="0"/>
                <w:sz w:val="20"/>
                <w:szCs w:val="20"/>
              </w:rPr>
            </w:pPr>
            <w:r>
              <w:rPr>
                <w:rFonts w:hint="eastAsia" w:cs="Times New Roman"/>
                <w:kern w:val="0"/>
                <w:sz w:val="20"/>
                <w:szCs w:val="20"/>
              </w:rPr>
              <w:t>王鑫鑫</w:t>
            </w:r>
            <w:r>
              <w:rPr>
                <w:rFonts w:cs="Times New Roman"/>
                <w:kern w:val="0"/>
                <w:sz w:val="20"/>
                <w:szCs w:val="20"/>
              </w:rPr>
              <w:t xml:space="preserve"> – </w:t>
            </w:r>
            <w:r>
              <w:rPr>
                <w:rFonts w:hint="eastAsia" w:cs="Times New Roman"/>
                <w:kern w:val="0"/>
                <w:sz w:val="20"/>
                <w:szCs w:val="20"/>
              </w:rPr>
              <w:t>本文主要分析师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 w:hRule="atLeast"/>
        </w:trPr>
        <w:tc>
          <w:tcPr>
            <w:tcW w:w="880" w:type="pct"/>
            <w:vMerge w:val="continue"/>
          </w:tcPr>
          <w:p>
            <w:pPr>
              <w:rPr>
                <w:rFonts w:cs="Times New Roman"/>
                <w:kern w:val="0"/>
                <w:sz w:val="20"/>
                <w:szCs w:val="20"/>
              </w:rPr>
            </w:pPr>
          </w:p>
        </w:tc>
        <w:tc>
          <w:tcPr>
            <w:tcW w:w="4120" w:type="pct"/>
            <w:vAlign w:val="center"/>
          </w:tcPr>
          <w:p>
            <w:pPr>
              <w:rPr>
                <w:rFonts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2" w:hRule="atLeast"/>
        </w:trPr>
        <w:tc>
          <w:tcPr>
            <w:tcW w:w="880" w:type="pct"/>
            <w:vMerge w:val="continue"/>
          </w:tcPr>
          <w:p>
            <w:pPr>
              <w:rPr>
                <w:rFonts w:cs="Times New Roman"/>
                <w:kern w:val="0"/>
                <w:sz w:val="20"/>
                <w:szCs w:val="20"/>
              </w:rPr>
            </w:pPr>
          </w:p>
        </w:tc>
        <w:tc>
          <w:tcPr>
            <w:tcW w:w="4120" w:type="pct"/>
            <w:vAlign w:val="center"/>
          </w:tcPr>
          <w:p>
            <w:pPr>
              <w:rPr>
                <w:rFonts w:cs="Times New Roman"/>
                <w:kern w:val="0"/>
                <w:sz w:val="20"/>
                <w:szCs w:val="20"/>
              </w:rPr>
            </w:pPr>
            <w:r>
              <w:rPr>
                <w:rFonts w:hint="eastAsia" w:cs="Times New Roman"/>
                <w:kern w:val="0"/>
                <w:sz w:val="20"/>
                <w:szCs w:val="20"/>
              </w:rPr>
              <w:t>作为一名在机械设备和先进制造行业沉浸多年的分析师，长期的工作经验和专业技能使我对该行业的市场趋势和发展动态有着敏锐的洞察力，能通过数据分析发现潜在的市场机会和威胁，为企业的战略决策提供数据支持。</w:t>
            </w:r>
          </w:p>
          <w:p>
            <w:pPr>
              <w:rPr>
                <w:rFonts w:cs="Times New Roman"/>
                <w:kern w:val="0"/>
                <w:sz w:val="20"/>
                <w:szCs w:val="20"/>
              </w:rPr>
            </w:pPr>
            <w:r>
              <w:rPr>
                <w:rFonts w:hint="eastAsia" w:cs="Times New Roman"/>
                <w:kern w:val="0"/>
                <w:sz w:val="20"/>
                <w:szCs w:val="20"/>
              </w:rPr>
              <w:t>在分析方法上，综合运用各种数据分析方法和模型，如描述性统计、聚类分析等等。在数据来源上，主要关注各种公开数据来源和行业报告，同时也会重点通过实地调查和电话访谈等手段获取最新实时数据，并通过多重验证的方法全面地了解市场情况，为分析结果提供更可靠的依据。</w:t>
            </w:r>
          </w:p>
        </w:tc>
      </w:tr>
    </w:tbl>
    <w:p>
      <w:pPr>
        <w:pStyle w:val="145"/>
        <w:rPr>
          <w:lang w:eastAsia="zh-CN"/>
        </w:rPr>
      </w:pPr>
      <w:bookmarkStart w:id="13" w:name="_GoBack"/>
      <w:bookmarkEnd w:id="13"/>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C8"/>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0D66"/>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5F5"/>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466"/>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5E68"/>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716"/>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9E6"/>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31"/>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4B2"/>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A90"/>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D4"/>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6F94"/>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BF0"/>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74A"/>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4EB3"/>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6B4C"/>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28A"/>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61C"/>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0AB6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9.jpe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chart" Target="charts/chart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1&#24037;&#20316;\1.&#30446;&#24405;\&#35266;&#28857;&#25991;&#20214;\11&#26376;\9.&#38745;&#30005;&#31163;&#23376;&#21457;&#29983;&#22120;\&#35266;&#28857;&#25968;&#25454;&#38745;&#30005;&#25972;&#21512;&#35774;&#2279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ysClr val="windowText" lastClr="000000"/>
                </a:solidFill>
                <a:latin typeface="+mn-lt"/>
                <a:ea typeface="+mn-ea"/>
                <a:cs typeface="+mn-cs"/>
              </a:defRPr>
            </a:pPr>
            <a:r>
              <a:rPr lang="zh-CN"/>
              <a:t>全球市场主要企业排名</a:t>
            </a:r>
            <a:endParaRPr lang="en-US"/>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Pt>
            <c:idx val="20"/>
            <c:invertIfNegative val="0"/>
            <c:bubble3D val="0"/>
            <c:spPr>
              <a:solidFill>
                <a:schemeClr val="accent3">
                  <a:lumMod val="80000"/>
                </a:schemeClr>
              </a:solidFill>
              <a:ln>
                <a:noFill/>
              </a:ln>
              <a:effectLst/>
            </c:spPr>
          </c:dPt>
          <c:dPt>
            <c:idx val="21"/>
            <c:invertIfNegative val="0"/>
            <c:bubble3D val="0"/>
            <c:spPr>
              <a:solidFill>
                <a:schemeClr val="accent4">
                  <a:lumMod val="80000"/>
                </a:schemeClr>
              </a:solidFill>
              <a:ln>
                <a:noFill/>
              </a:ln>
              <a:effectLst/>
            </c:spPr>
          </c:dPt>
          <c:dPt>
            <c:idx val="22"/>
            <c:invertIfNegative val="0"/>
            <c:bubble3D val="0"/>
            <c:spPr>
              <a:solidFill>
                <a:schemeClr val="accent5">
                  <a:lumMod val="80000"/>
                </a:schemeClr>
              </a:solidFill>
              <a:ln>
                <a:noFill/>
              </a:ln>
              <a:effectLst/>
            </c:spPr>
          </c:dPt>
          <c:dPt>
            <c:idx val="23"/>
            <c:invertIfNegative val="0"/>
            <c:bubble3D val="0"/>
            <c:spPr>
              <a:solidFill>
                <a:schemeClr val="accent6">
                  <a:lumMod val="80000"/>
                </a:schemeClr>
              </a:solidFill>
              <a:ln>
                <a:noFill/>
              </a:ln>
              <a:effectLst/>
            </c:spPr>
          </c:dPt>
          <c:dLbls>
            <c:delete val="1"/>
          </c:dLbls>
          <c:cat>
            <c:strRef>
              <c:f>企业排序!$F$2:$F$25</c:f>
              <c:strCache>
                <c:ptCount val="24"/>
                <c:pt idx="0">
                  <c:v>Transforming Technologies</c:v>
                </c:pt>
                <c:pt idx="1">
                  <c:v>EXAIR</c:v>
                </c:pt>
                <c:pt idx="2">
                  <c:v>安平静电</c:v>
                </c:pt>
                <c:pt idx="3">
                  <c:v>ELCOWA</c:v>
                </c:pt>
                <c:pt idx="4">
                  <c:v>凯仕德</c:v>
                </c:pt>
                <c:pt idx="5">
                  <c:v>Desco Industries</c:v>
                </c:pt>
                <c:pt idx="6">
                  <c:v>Shimadzu</c:v>
                </c:pt>
                <c:pt idx="7">
                  <c:v>天华超净</c:v>
                </c:pt>
                <c:pt idx="8">
                  <c:v>Hamamatsu Photonics</c:v>
                </c:pt>
                <c:pt idx="9">
                  <c:v>Fraser</c:v>
                </c:pt>
                <c:pt idx="10">
                  <c:v>HAUG</c:v>
                </c:pt>
                <c:pt idx="11">
                  <c:v>KOGANEI</c:v>
                </c:pt>
                <c:pt idx="12">
                  <c:v>NRD</c:v>
                </c:pt>
                <c:pt idx="13">
                  <c:v>VSI</c:v>
                </c:pt>
                <c:pt idx="14">
                  <c:v>TRINK</c:v>
                </c:pt>
                <c:pt idx="15">
                  <c:v>VESSEL</c:v>
                </c:pt>
                <c:pt idx="16">
                  <c:v>KASUGA DENKI</c:v>
                </c:pt>
                <c:pt idx="17">
                  <c:v>Meech International</c:v>
                </c:pt>
                <c:pt idx="18">
                  <c:v>Sunje HI-TEK CO.,Ltd</c:v>
                </c:pt>
                <c:pt idx="19">
                  <c:v>Shishido Electrostatic</c:v>
                </c:pt>
                <c:pt idx="20">
                  <c:v>OMRON</c:v>
                </c:pt>
                <c:pt idx="21">
                  <c:v>Panasonic</c:v>
                </c:pt>
                <c:pt idx="22">
                  <c:v>SMC</c:v>
                </c:pt>
                <c:pt idx="23">
                  <c:v>Simco-Ion</c:v>
                </c:pt>
              </c:strCache>
            </c:strRef>
          </c:cat>
          <c:val>
            <c:numRef>
              <c:f>企业排序!$G$2:$G$25</c:f>
              <c:numCache>
                <c:formatCode>General</c:formatCode>
                <c:ptCount val="24"/>
                <c:pt idx="13" c:formatCode="#,##0.00_ ">
                  <c:v>10.14</c:v>
                </c:pt>
                <c:pt idx="14" c:formatCode="#,##0.00_ ">
                  <c:v>11.1</c:v>
                </c:pt>
                <c:pt idx="15" c:formatCode="#,##0.00_ ">
                  <c:v>11.6</c:v>
                </c:pt>
                <c:pt idx="16" c:formatCode="#,##0.00_ ">
                  <c:v>14.4</c:v>
                </c:pt>
                <c:pt idx="17" c:formatCode="#,##0.00_ ">
                  <c:v>15.52</c:v>
                </c:pt>
                <c:pt idx="18" c:formatCode="#,##0.00_ ">
                  <c:v>17.38</c:v>
                </c:pt>
                <c:pt idx="19" c:formatCode="#,##0.00_ ">
                  <c:v>18.55</c:v>
                </c:pt>
                <c:pt idx="20" c:formatCode="#,##0.00_ ">
                  <c:v>20.42</c:v>
                </c:pt>
                <c:pt idx="21" c:formatCode="#,##0.00_ ">
                  <c:v>28.24</c:v>
                </c:pt>
                <c:pt idx="22" c:formatCode="#,##0.00_ ">
                  <c:v>33.97</c:v>
                </c:pt>
                <c:pt idx="23" c:formatCode="#,##0.00_ ">
                  <c:v>37.37</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C55C44-F8AE-44A4-A95E-432065BD3187}">
  <ds:schemaRefs/>
</ds:datastoreItem>
</file>

<file path=docProps/app.xml><?xml version="1.0" encoding="utf-8"?>
<Properties xmlns="http://schemas.openxmlformats.org/officeDocument/2006/extended-properties" xmlns:vt="http://schemas.openxmlformats.org/officeDocument/2006/docPropsVTypes">
  <Template>Normal</Template>
  <Pages>10</Pages>
  <Words>357</Words>
  <Characters>2037</Characters>
  <Lines>16</Lines>
  <Paragraphs>4</Paragraphs>
  <TotalTime>645</TotalTime>
  <ScaleCrop>false</ScaleCrop>
  <LinksUpToDate>false</LinksUpToDate>
  <CharactersWithSpaces>2390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2024-04-02T03:53:04Z</dcterms:modified>
  <cp:revision>830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82D48FE8D7664FB8B3A65BB357380BA7_12</vt:lpwstr>
  </property>
</Properties>
</file>