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B4BD4E">
      <w:pPr>
        <w:pStyle w:val="2"/>
        <w:keepNext w:val="0"/>
        <w:keepLines w:val="0"/>
        <w:widowControl/>
        <w:suppressLineNumbers w:val="0"/>
      </w:pPr>
      <w:r>
        <w:t>德国"能源公社"模式：社区能源自治的创新实践</w:t>
      </w:r>
    </w:p>
    <w:p w14:paraId="678AA804">
      <w:pPr>
        <w:pStyle w:val="3"/>
        <w:keepNext w:val="0"/>
        <w:keepLines w:val="0"/>
        <w:widowControl/>
        <w:suppressLineNumbers w:val="0"/>
      </w:pPr>
    </w:p>
    <w:p w14:paraId="71F4BA07">
      <w:pPr>
        <w:pStyle w:val="3"/>
        <w:keepNext w:val="0"/>
        <w:keepLines w:val="0"/>
        <w:widowControl/>
        <w:suppressLineNumbers w:val="0"/>
      </w:pPr>
      <w:r>
        <w:t>引言</w:t>
      </w:r>
    </w:p>
    <w:p w14:paraId="5137D458">
      <w:pPr>
        <w:pStyle w:val="4"/>
        <w:keepNext w:val="0"/>
        <w:keepLines w:val="0"/>
        <w:widowControl/>
        <w:suppressLineNumbers w:val="0"/>
        <w:spacing w:before="0" w:beforeAutospacing="1" w:after="0" w:afterAutospacing="1"/>
        <w:ind w:left="0" w:right="0" w:firstLine="480" w:firstLineChars="200"/>
      </w:pPr>
      <w:r>
        <w:t>在全球能源转型与气候变化的双重挑战下，德国"能源公社"(Energiegemeinschaften)模式作为一种创新的能源治理与分配方式，正日益受到国际社会的广泛关注。这一模式植根于德国"能源转型"(Energiewende)的大背景下，代表了从集中式化石能源体系向分散化可再生能源系统的根本性转变。能源公社本质上是由公民、社区或小型组织自发形成的能源生产与消费联合体，其核心在于通过本地化的可再生能源项目实现一定程度的能源自治，同时促进社会参与和经济民主。与传统能源供应模式相比，能源公社强调生产者和消费者界限的模糊化("产消者"概念)，重视能源民主和社区所有权，并且往往与生态可持续性和社会公平的目标紧密结合。</w:t>
      </w:r>
    </w:p>
    <w:p w14:paraId="48B7D4CA">
      <w:pPr>
        <w:pStyle w:val="4"/>
        <w:keepNext w:val="0"/>
        <w:keepLines w:val="0"/>
        <w:widowControl/>
        <w:suppressLineNumbers w:val="0"/>
        <w:spacing w:before="0" w:beforeAutospacing="1" w:after="0" w:afterAutospacing="1"/>
        <w:ind w:left="0" w:right="0" w:firstLine="480" w:firstLineChars="200"/>
      </w:pPr>
      <w:r>
        <w:t>德国作为全球能源转型的先行者，其能源公社的发展历程、制度设计和实践经验对于正在探索能源民主化道路的国家具有重要的参考价值。本文将从历史沿革、法律框架、组织类型、运行机制、典型案例、成效评估以及面临的挑战等多个维度，对德国能源公社模式进行全面剖析，并探讨其对全球能源转型的启示意义。通过系统梳理这一创新性能源治理模式，我们希望能够为中国的能源体制改革和社区可再生能源发展提供有价值的借鉴。</w:t>
      </w:r>
    </w:p>
    <w:p w14:paraId="2D14BD07">
      <w:pPr>
        <w:pStyle w:val="4"/>
        <w:keepNext w:val="0"/>
        <w:keepLines w:val="0"/>
        <w:widowControl/>
        <w:suppressLineNumbers w:val="0"/>
        <w:spacing w:before="0" w:beforeAutospacing="1" w:after="0" w:afterAutospacing="1"/>
        <w:ind w:right="0"/>
        <w:rPr>
          <w:rFonts w:hint="eastAsia" w:eastAsiaTheme="minorEastAsia"/>
          <w:lang w:eastAsia="zh-CN"/>
        </w:rPr>
      </w:pPr>
      <w:r>
        <w:rPr>
          <w:rFonts w:hint="eastAsia" w:eastAsiaTheme="minorEastAsia"/>
          <w:lang w:eastAsia="zh-CN"/>
        </w:rPr>
        <w:drawing>
          <wp:inline distT="0" distB="0" distL="114300" distR="114300">
            <wp:extent cx="5266690" cy="2962910"/>
            <wp:effectExtent l="0" t="0" r="10160" b="8890"/>
            <wp:docPr id="1" name="图片 1" descr="生成德国公社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生成德国公社图片"/>
                    <pic:cNvPicPr>
                      <a:picLocks noChangeAspect="1"/>
                    </pic:cNvPicPr>
                  </pic:nvPicPr>
                  <pic:blipFill>
                    <a:blip r:embed="rId4"/>
                    <a:stretch>
                      <a:fillRect/>
                    </a:stretch>
                  </pic:blipFill>
                  <pic:spPr>
                    <a:xfrm>
                      <a:off x="0" y="0"/>
                      <a:ext cx="5266690" cy="2962910"/>
                    </a:xfrm>
                    <a:prstGeom prst="rect">
                      <a:avLst/>
                    </a:prstGeom>
                  </pic:spPr>
                </pic:pic>
              </a:graphicData>
            </a:graphic>
          </wp:inline>
        </w:drawing>
      </w:r>
    </w:p>
    <w:p w14:paraId="011CBDA8">
      <w:pPr>
        <w:pStyle w:val="3"/>
        <w:keepNext w:val="0"/>
        <w:keepLines w:val="0"/>
        <w:widowControl/>
        <w:suppressLineNumbers w:val="0"/>
      </w:pPr>
      <w:r>
        <w:t>德国能源公社的历史发展与政策背景</w:t>
      </w:r>
    </w:p>
    <w:p w14:paraId="3E3BBCA4">
      <w:pPr>
        <w:pStyle w:val="4"/>
        <w:keepNext w:val="0"/>
        <w:keepLines w:val="0"/>
        <w:widowControl/>
        <w:suppressLineNumbers w:val="0"/>
        <w:spacing w:before="0" w:beforeAutospacing="1" w:after="0" w:afterAutospacing="1"/>
        <w:ind w:left="0" w:right="0" w:firstLine="480" w:firstLineChars="200"/>
      </w:pPr>
      <w:r>
        <w:t>德国能源公社的理念和实践并非凭空出现，而是深深植根于该国的能源转型进程、环境保护运动以及合作社传统之中。追溯其历史脉络，可以发现在20世纪70年代，反对核能的社会运动已经在德国各地萌芽，特别是在切尔诺贝利核事故(1986年)后，公众对传统能源体系的质疑与日俱增。与此同时，德国悠久的合作社传统(可以追溯到19世纪中期的Raiffeisen和Schulze-Delitzsch合作社模式)为公民参与经济事务提供了组织基础。这两股力量的交汇，催生了早期的地方性能源倡议活动。</w:t>
      </w:r>
    </w:p>
    <w:p w14:paraId="6908A3D6">
      <w:pPr>
        <w:pStyle w:val="4"/>
        <w:keepNext w:val="0"/>
        <w:keepLines w:val="0"/>
        <w:widowControl/>
        <w:suppressLineNumbers w:val="0"/>
        <w:spacing w:before="0" w:beforeAutospacing="1" w:after="0" w:afterAutospacing="1"/>
        <w:ind w:left="0" w:right="0" w:firstLine="480" w:firstLineChars="200"/>
      </w:pPr>
      <w:r>
        <w:t>1990年代，德国部分前瞻性的地方政府和环保主义者开始尝试小规模的可再生能源项目，尤其是风能和生物质能。2000年《可再生能源法》(Erneuerbare-Energien-Gesetz, EEG)的颁布是一个关键转折点，这部具有里程碑意义的立法通过固定上网电价制度，为分散式可再生能源的发展提供了强有力的经济激励。EEG不仅开启了德国能源转型的黄金时期，也为公民能源项目创造了有利条件。在2000年至2012年间，公民能源合作社如雨后春笋般涌现，据德国合作社与赖夫艾森联合会统计，这一时期新成立的能源合作社数量超过800家。</w:t>
      </w:r>
    </w:p>
    <w:p w14:paraId="7064C3B1">
      <w:pPr>
        <w:pStyle w:val="4"/>
        <w:keepNext w:val="0"/>
        <w:keepLines w:val="0"/>
        <w:widowControl/>
        <w:suppressLineNumbers w:val="0"/>
        <w:spacing w:before="0" w:beforeAutospacing="1" w:after="0" w:afterAutospacing="1"/>
        <w:ind w:right="0" w:firstLine="480" w:firstLineChars="200"/>
      </w:pPr>
      <w:r>
        <w:t>2014年修订的EEG引入了一些限制性条款，如对新建可再生能源项目的规模限制和招标制度，这在一定程度上抑制了公民能源项目的发展势头。然而，欧盟层面的"清洁能源一揽子计划"(2019年)和德国后续的《能源公社实施指南》(2021年)又重新为公民参与能源市场注入了动力。特别是欧盟指令中明确要求成员国消除法律障碍，允许公民和社区参与可再生能源生产、消费、储存和交易，这为德国能源公社的进一步发展提供了欧洲层面的政策支持。</w:t>
      </w:r>
    </w:p>
    <w:p w14:paraId="27D55BAF">
      <w:pPr>
        <w:pStyle w:val="4"/>
        <w:keepNext w:val="0"/>
        <w:keepLines w:val="0"/>
        <w:widowControl/>
        <w:suppressLineNumbers w:val="0"/>
        <w:spacing w:before="0" w:beforeAutospacing="1" w:after="0" w:afterAutospacing="1"/>
        <w:ind w:left="0" w:right="0" w:firstLine="480" w:firstLineChars="200"/>
      </w:pPr>
      <w:r>
        <w:t>值得注意的是，德国能源公社的发展呈现出明显的区域差异。南部巴伐利亚和巴登-符腾堡地区由于日照条件较好且公民环保意识较强，光伏合作社较为普遍；而北部地区如石勒苏益格-荷尔斯泰因则凭借丰富的风能资源，发展了众多风能合作社。这种地理分布不仅反映了自然资源禀赋的差异，也体现了地方政治文化对能源转型模式的影响。</w:t>
      </w:r>
    </w:p>
    <w:p w14:paraId="3F8E6112">
      <w:pPr>
        <w:pStyle w:val="3"/>
        <w:keepNext w:val="0"/>
        <w:keepLines w:val="0"/>
        <w:widowControl/>
        <w:suppressLineNumbers w:val="0"/>
      </w:pPr>
      <w:r>
        <w:t>法律框架与制度设计</w:t>
      </w:r>
    </w:p>
    <w:p w14:paraId="4769F50F">
      <w:pPr>
        <w:pStyle w:val="4"/>
        <w:keepNext w:val="0"/>
        <w:keepLines w:val="0"/>
        <w:widowControl/>
        <w:suppressLineNumbers w:val="0"/>
        <w:spacing w:before="0" w:beforeAutospacing="1" w:after="0" w:afterAutospacing="1"/>
        <w:ind w:left="0" w:right="0" w:firstLine="480" w:firstLineChars="200"/>
      </w:pPr>
      <w:r>
        <w:t>德国能源公社模式的有效运行依赖于一套复杂但协调的法律框架体系，这个体系横跨欧盟法、联邦法和地方法多个层级，涉及能源法、合作社法、税法和竞争法等多个领域。从欧盟层面看，2018年通过的《可再生能源指令》(RED II)和《电力市场设计指令》构成了能源公社的顶层设计基础。RED II首次在法律上定义了"可再生能源社区"(Renewable Energy Communities)和"公民能源社区"(Citizen Energy Communities)，要求成员国为这类主体参与能源市场提供非歧视性条件。德国作为欧盟成员国，通过国内立法将这些欧盟指令转化为具体的制度安排。</w:t>
      </w:r>
    </w:p>
    <w:p w14:paraId="12BE5E97">
      <w:pPr>
        <w:pStyle w:val="4"/>
        <w:keepNext w:val="0"/>
        <w:keepLines w:val="0"/>
        <w:widowControl/>
        <w:suppressLineNumbers w:val="0"/>
        <w:spacing w:before="0" w:beforeAutospacing="1" w:after="0" w:afterAutospacing="1"/>
        <w:ind w:left="0" w:right="0" w:firstLine="480" w:firstLineChars="200"/>
      </w:pPr>
      <w:r>
        <w:t>在德国国内法层面，能源公社主要受到以下几部重要法律的规范和调整：《可再生能源法》(EEG)规定了可再生能源的生产、上网和补贴机制；《能源经济法》(EnWG)确立了能源市场的总体规则；《合作社法》(GenG)为能源合作社提供了组织法律形式；而《电力税法》(StromStG)和《可再生能源附加费豁免条例》(EEG-Umlage-Befreiungsverordnung)则涉及能源公社的税收待遇和费用分担问题。2017年引入的"邻里电力模式"(Mieterstrommodell)特别重要，它允许建筑物内生产的可再生能源直接供应给租户而不必缴纳部分税费和附加费，这为城市地区的能源公社发展扫清了关键障碍。</w:t>
      </w:r>
    </w:p>
    <w:p w14:paraId="0DA6A95D">
      <w:pPr>
        <w:pStyle w:val="4"/>
        <w:keepNext w:val="0"/>
        <w:keepLines w:val="0"/>
        <w:widowControl/>
        <w:suppressLineNumbers w:val="0"/>
        <w:spacing w:before="0" w:beforeAutospacing="1" w:after="0" w:afterAutospacing="1"/>
        <w:ind w:left="0" w:right="0" w:firstLine="480" w:firstLineChars="200"/>
      </w:pPr>
      <w:r>
        <w:t>德国能源公社的法律组织形式多样，主要包括注册合作社(eG)、有限责任公司(GmbH)、有限合伙企业(KG)和非法人协会等。其中，注册合作社因其民主治理结构(一人一票)、利润分配限制和成员退出机制等特点，成为最受欢迎的形式，约占所有能源公社的70%。合作社通常由50-200名当地居民组成，每个成员的投资额一般在500-5000欧元之间，这种设计保证了广泛的参与性和适度的经济门槛。</w:t>
      </w:r>
    </w:p>
    <w:p w14:paraId="55A2AF1E">
      <w:pPr>
        <w:pStyle w:val="4"/>
        <w:keepNext w:val="0"/>
        <w:keepLines w:val="0"/>
        <w:widowControl/>
        <w:suppressLineNumbers w:val="0"/>
        <w:spacing w:before="0" w:beforeAutospacing="1" w:after="0" w:afterAutospacing="1"/>
        <w:ind w:left="0" w:right="0" w:firstLine="480" w:firstLineChars="200"/>
      </w:pPr>
      <w:r>
        <w:t>在治理结构方面，典型的能源合作社设有成员大会(最高决策机构)、监事会(监督机构)和执行董事会(日常管理机构)。重要决策如投资计划、利润分配和章程修改等需由成员大会投票决定，体现了能源民主的原则。财务安排上，大多数合作社采用"成本覆盖"原则，即将收入首先用于运营维护和偿还贷款，剩余部分按成员出资比例分配，但年回报率通常限制在4-6%之间以避免过度商业化。</w:t>
      </w:r>
    </w:p>
    <w:p w14:paraId="5E926A60">
      <w:pPr>
        <w:pStyle w:val="4"/>
        <w:keepNext w:val="0"/>
        <w:keepLines w:val="0"/>
        <w:widowControl/>
        <w:suppressLineNumbers w:val="0"/>
        <w:spacing w:before="0" w:beforeAutospacing="1" w:after="0" w:afterAutospacing="1"/>
        <w:ind w:left="0" w:right="0" w:firstLine="480" w:firstLineChars="200"/>
      </w:pPr>
      <w:r>
        <w:t>电网接入和电力交易规则是能源公社法律框架中的关键环节。根据德国法律规定，能源公社可以：将电力全部输入公共电网并获得固定上网电价；在内部成员间直接消纳部分电力(需满足一定条件)；或者通过电力市场直接交易。2021年后，随着"联合自我消纳"(gemeinschaftliche Eigenversorgung)规则的引入，同一变电站覆盖区域内的多个用户现在可以更灵活地共享本地生产的可再生能源，这大大增强了能源公社的经济可行性。</w:t>
      </w:r>
    </w:p>
    <w:p w14:paraId="20AD25B4">
      <w:pPr>
        <w:pStyle w:val="3"/>
        <w:keepNext w:val="0"/>
        <w:keepLines w:val="0"/>
        <w:widowControl/>
        <w:suppressLineNumbers w:val="0"/>
      </w:pPr>
      <w:r>
        <w:t>主要类型与运行机制</w:t>
      </w:r>
    </w:p>
    <w:p w14:paraId="56A3826B">
      <w:pPr>
        <w:pStyle w:val="4"/>
        <w:keepNext w:val="0"/>
        <w:keepLines w:val="0"/>
        <w:widowControl/>
        <w:suppressLineNumbers w:val="0"/>
        <w:spacing w:before="0" w:beforeAutospacing="1" w:after="0" w:afterAutospacing="1"/>
        <w:ind w:left="0" w:right="0" w:firstLine="480" w:firstLineChars="200"/>
      </w:pPr>
      <w:r>
        <w:t>德国能源公社在实践中呈现出丰富的多样性，根据技术类型、组织规模和商业模式的不同，可以划分为几种典型类别。从技术路线上看，主要分为太阳能公社、风能公社、生物质能公社及混合型公社。其中，太阳能公社数量最多，约占总数量的65%，这主要得益于光伏技术的小型化、模块化特点以及与建筑环境的良好兼容性。典型的太阳能公社通常在公共建筑(如学校、体育馆)或私人住宅屋顶安装光伏阵列，平均装机容量在100-500千瓦之间。风能公社虽然数量较少(约20%)，但单个项目规模较大，通常由50-200个成员共同投资建设1-3台风力发电机，总装机容量可达2-10兆瓦。生物质能公社(约10%)主要分布在农业地区，利用农作物残余物或畜禽粪便生产沼气或热能，这类项目往往与当地农场密切合作。</w:t>
      </w:r>
    </w:p>
    <w:p w14:paraId="2109D3A3">
      <w:pPr>
        <w:pStyle w:val="4"/>
        <w:keepNext w:val="0"/>
        <w:keepLines w:val="0"/>
        <w:widowControl/>
        <w:suppressLineNumbers w:val="0"/>
        <w:spacing w:before="0" w:beforeAutospacing="1" w:after="0" w:afterAutospacing="1"/>
        <w:ind w:left="0" w:right="0" w:firstLine="480" w:firstLineChars="200"/>
      </w:pPr>
      <w:r>
        <w:t>从组织规模角度，德国的能源公社大致可分为三类：微型公社(成员少于50人，装机容量&lt;100kW)，小型公社(50-200人，100kW-1MW)和大型公社(200人以上，&gt;1MW)。微型公社常见于城市社区或村庄，主要满足核心成员的电力需求；小型公社构成了德国能源公社的主体，通常能够覆盖整个社区的基本用电；大型公社则多位于风能资源丰富的北部地区，除满足本地需求外还向区域电网售电。</w:t>
      </w:r>
    </w:p>
    <w:p w14:paraId="2D6C1395">
      <w:pPr>
        <w:pStyle w:val="4"/>
        <w:keepNext w:val="0"/>
        <w:keepLines w:val="0"/>
        <w:widowControl/>
        <w:suppressLineNumbers w:val="0"/>
        <w:spacing w:before="0" w:beforeAutospacing="1" w:after="0" w:afterAutospacing="1"/>
        <w:ind w:left="0" w:right="0" w:firstLine="480" w:firstLineChars="200"/>
      </w:pPr>
      <w:r>
        <w:t>商业模式上，德国能源公社发展出了几种典型范式：(1)纯发电模式—专注于可再生能源生产并将电力全部售予电网，这是早期公社的主要形式；(2)自消纳模式—将部分发电量直接供应给成员使用，随着政策放宽和电池成本下降，这种模式日益普及；(3)全服务模式—除发电外还提供能效咨询、充电桩安装等增值服务；(4)虚拟电厂模式—多个分散的公社通过智能控制系统整合为一个可调度资源参与电力市场。</w:t>
      </w:r>
    </w:p>
    <w:p w14:paraId="7CF73DC9">
      <w:pPr>
        <w:pStyle w:val="4"/>
        <w:keepNext w:val="0"/>
        <w:keepLines w:val="0"/>
        <w:widowControl/>
        <w:suppressLineNumbers w:val="0"/>
        <w:spacing w:before="0" w:beforeAutospacing="1" w:after="0" w:afterAutospacing="1"/>
        <w:ind w:left="0" w:right="0" w:firstLine="480" w:firstLineChars="200"/>
      </w:pPr>
      <w:r>
        <w:t>能源公社的运行机制围绕几个核心环节展开：在筹资阶段，通常采用成员股本(占30-50%)加银行贷款的组合，部分项目还利用地方政府补贴或欧盟结构基金。在建设阶段，公社往往聘请专业工程公司负责设备采购和安装，同时尽可能使用本地劳动力以增强社区认同。运营阶段的关键是平衡发电与用电，先进的公社已开始部署智能电表和能源管理系统来优化内部电力流动。例如，巴伐利亚州的"埃格尔斯巴赫能源先驱"公社通过AI算法预测成员的用电模式，并据此调整电池储能系统的充放电策略，使内部电力消纳比例从40%提高到75%。</w:t>
      </w:r>
    </w:p>
    <w:p w14:paraId="3802A1C9">
      <w:pPr>
        <w:pStyle w:val="4"/>
        <w:keepNext w:val="0"/>
        <w:keepLines w:val="0"/>
        <w:widowControl/>
        <w:suppressLineNumbers w:val="0"/>
        <w:spacing w:before="0" w:beforeAutospacing="1" w:after="0" w:afterAutospacing="1"/>
        <w:ind w:left="0" w:right="0" w:firstLine="480" w:firstLineChars="200"/>
      </w:pPr>
      <w:r>
        <w:t>利益分配机制体现了能源公社的社会创新性。大多数公社采用"双重回报"系统：成员既作为投资者获得有限资本回报(通常4-6%)，又作为电力消费者享受低于市场价的电价。部分公社还设立社区基金，将部分利润用于当地的能效改造或教育项目。这种设计创造了经济激励与社会价值的良性循环，根据一项调查，参与能源公社的成员满意度高达85%，远高于传统能源客户的平均水平。</w:t>
      </w:r>
    </w:p>
    <w:p w14:paraId="6969C30F">
      <w:pPr>
        <w:pStyle w:val="3"/>
        <w:keepNext w:val="0"/>
        <w:keepLines w:val="0"/>
        <w:widowControl/>
        <w:suppressLineNumbers w:val="0"/>
      </w:pPr>
      <w:r>
        <w:t>典型案例分析</w:t>
      </w:r>
    </w:p>
    <w:p w14:paraId="2C3D774D">
      <w:pPr>
        <w:pStyle w:val="4"/>
        <w:keepNext w:val="0"/>
        <w:keepLines w:val="0"/>
        <w:widowControl/>
        <w:suppressLineNumbers w:val="0"/>
        <w:spacing w:before="0" w:beforeAutospacing="1" w:after="0" w:afterAutospacing="1"/>
        <w:ind w:left="0" w:right="0" w:firstLine="480" w:firstLineChars="200"/>
      </w:pPr>
      <w:r>
        <w:t>德国能源公社模式的多样性和创新性通过几个典型案例得到了充分体现。位于柏林市郊的"市民太阳能公园帕赫海姆"项目展示了城市环境中社区光伏的成功实践。这个由250个当地家庭和一家教会共同投资的合作社，在废弃垃圾填埋场上建设了4.2兆瓦的光伏阵列，年发电量约4,000兆瓦时，相当于1,200户家庭的年用电量。项目创新点在于解决了受污染土地的再利用问题，并通过特殊的支架设计适应了填埋场的地质特点。合作社采用了"动态电价"机制，成员根据用电时间支付不同价格，激励错峰用电，这一措施使系统自消纳率达到了68%。</w:t>
      </w:r>
    </w:p>
    <w:p w14:paraId="13237423">
      <w:pPr>
        <w:pStyle w:val="4"/>
        <w:keepNext w:val="0"/>
        <w:keepLines w:val="0"/>
        <w:widowControl/>
        <w:suppressLineNumbers w:val="0"/>
        <w:spacing w:before="0" w:beforeAutospacing="1" w:after="0" w:afterAutospacing="1"/>
        <w:ind w:left="0" w:right="0" w:firstLine="480" w:firstLineChars="200"/>
      </w:pPr>
      <w:r>
        <w:t>在北部的石勒苏益格-荷尔斯泰因州，"博德尔施泰德风能合作社"代表了农村地区风能开发的社区参与模式。这个成立于2002年的合作社由83个当地农场主组成，运营着两台总容量为6兆瓦的风力涡轮机。独特之处在于其"风力份额"系统：每个成员根据土地贡献和投资额获得相应的发电权利，既保证了公平性又维持了经济可行性。合作社还将年利润的20%投入当地幼儿园和养老院建设，创造了显著的社区溢出效应。尽管面临德国风电政策的变化挑战，该项目通过提前偿还贷款和建立维修储备基金保持了稳健运营。</w:t>
      </w:r>
    </w:p>
    <w:p w14:paraId="7B7F3092">
      <w:pPr>
        <w:pStyle w:val="4"/>
        <w:keepNext w:val="0"/>
        <w:keepLines w:val="0"/>
        <w:widowControl/>
        <w:suppressLineNumbers w:val="0"/>
        <w:spacing w:before="0" w:beforeAutospacing="1" w:after="0" w:afterAutospacing="1"/>
        <w:ind w:left="0" w:right="0" w:firstLine="480" w:firstLineChars="200"/>
      </w:pPr>
      <w:r>
        <w:t>巴登-符腾堡州的"维梅丁根能源自治村"项目则展示了能源公社如何推动整个社区实现100%可再生能源供应的雄心。这个仅有2,600人的村庄通过系列措施—包括建设生物质热电联产厂、安装光伏系统和实施严格的能效标准—在2012年就成为德国首批能源自给社区之一。项目的核心创新是整合了电力、热力和交通部门：生物质电厂同时供应电力和区域供热网络；光伏电力用于运行电动汽车共享系统；而智能控制系统协调整个能源流动。这种"全能源系统"方法使维梅丁根的年二氧化碳排放量减少了65%，同时创造了45个本地就业岗位。</w:t>
      </w:r>
    </w:p>
    <w:p w14:paraId="16C5363A">
      <w:pPr>
        <w:pStyle w:val="4"/>
        <w:keepNext w:val="0"/>
        <w:keepLines w:val="0"/>
        <w:widowControl/>
        <w:suppressLineNumbers w:val="0"/>
        <w:spacing w:before="0" w:beforeAutospacing="1" w:after="0" w:afterAutospacing="1"/>
        <w:ind w:left="0" w:right="0" w:firstLine="480" w:firstLineChars="200"/>
      </w:pPr>
      <w:r>
        <w:t>在黑森林地区的"圣彼得储能社区"案例中，技术创新成为能源公社发展的关键驱动力。这个由180户家庭组成的社区面临着电网容量限制的挑战，为此他们开发了基于区块链的本地能源交易平台。每家屋顶光伏产生的多余电力不再简单地馈入电网，而是通过智能合约直接出售给社区内的其他用户，交易价格根据实时供需自动调整。系统还整合了家庭电池、电动汽车和热水器作为灵活负载，使社区整体电网依赖度降低了40%。该项目特别值得关注的是其民主治理结构：技术参数(如电价浮动范围)由成员季度会议投票决定，确保了技术解决方案与社区价值观的一致性。</w:t>
      </w:r>
    </w:p>
    <w:p w14:paraId="79C8E964">
      <w:pPr>
        <w:pStyle w:val="4"/>
        <w:keepNext w:val="0"/>
        <w:keepLines w:val="0"/>
        <w:widowControl/>
        <w:suppressLineNumbers w:val="0"/>
        <w:spacing w:before="0" w:beforeAutospacing="1" w:after="0" w:afterAutospacing="1"/>
        <w:ind w:left="0" w:right="0" w:firstLine="480" w:firstLineChars="200"/>
      </w:pPr>
      <w:r>
        <w:t>这些案例虽然在地理位置、技术路线和规模上各不相同，但都体现了德国能源公社模式的共同特征：强烈的社区认同感、创新的治理机制、多利益相关方合作以及对社会生态目标的追求。它们不仅提供了技术解决方案，更重塑了人与能源的关系，将能源从单纯的商品转变为社区共同塑造的公共产品。</w:t>
      </w:r>
    </w:p>
    <w:p w14:paraId="129F793E">
      <w:pPr>
        <w:pStyle w:val="3"/>
        <w:keepNext w:val="0"/>
        <w:keepLines w:val="0"/>
        <w:widowControl/>
        <w:suppressLineNumbers w:val="0"/>
      </w:pPr>
      <w:r>
        <w:t>成效与影响评估</w:t>
      </w:r>
    </w:p>
    <w:p w14:paraId="194E7E90">
      <w:pPr>
        <w:pStyle w:val="4"/>
        <w:keepNext w:val="0"/>
        <w:keepLines w:val="0"/>
        <w:widowControl/>
        <w:suppressLineNumbers w:val="0"/>
        <w:spacing w:before="0" w:beforeAutospacing="1" w:after="0" w:afterAutospacing="1"/>
        <w:ind w:left="0" w:right="0" w:firstLine="480" w:firstLineChars="200"/>
      </w:pPr>
      <w:r>
        <w:t>德国能源公社模式经过二十余年的发展，已经在能源、环境、经济和社会等多个维度产生了显著影响。从能源系统转型角度看，能源公社为德国可再生能源的快速扩张做出了重要贡献。据统计，截至2022年，德国约有1,750个能源合作社和数千个非正式能源社区，总装机容量超过10吉瓦，约占全国可再生能源装机容量的8%。这些分散式能源资源增强了电力系统的韧性和灵活性，特别是在极端天气事件或电网故障情况下，本地化能源供应显示出明显的可靠性优势。德国能源署的一项研究表明，拥有活跃能源公社的地区，电网中断频率比全国平均水平低30-40%。</w:t>
      </w:r>
    </w:p>
    <w:p w14:paraId="72937ED0">
      <w:pPr>
        <w:pStyle w:val="4"/>
        <w:keepNext w:val="0"/>
        <w:keepLines w:val="0"/>
        <w:widowControl/>
        <w:suppressLineNumbers w:val="0"/>
        <w:spacing w:before="0" w:beforeAutospacing="1" w:after="0" w:afterAutospacing="1"/>
        <w:ind w:left="0" w:right="0" w:firstLine="480" w:firstLineChars="200"/>
      </w:pPr>
      <w:r>
        <w:t>环境效益方面，能源公社直接推动了德国碳排放的减少。一个典型的中等规模能源公社(装机容量1兆瓦光伏)每年可减少约600吨二氧化碳排放。累计计算，德国所有能源公社的年减排量约为500万吨二氧化碳当量，相当于125万辆汽车的年度排放。此外，本地化能源生产还避免了长距离输电的损耗(德国平均电网损耗约为6%)，并通过对农业光伏、生态友好型风场等创新项目的支持，促进了生物多样性保护。例如，下萨克森州的"蜜蜂与能源"项目将光伏板安装在抬高的支架上，下方土地则种植蜜源植物，实现了能源生产与生态保护的协同。</w:t>
      </w:r>
    </w:p>
    <w:p w14:paraId="5A70C02D">
      <w:pPr>
        <w:pStyle w:val="4"/>
        <w:keepNext w:val="0"/>
        <w:keepLines w:val="0"/>
        <w:widowControl/>
        <w:suppressLineNumbers w:val="0"/>
        <w:spacing w:before="0" w:beforeAutospacing="1" w:after="0" w:afterAutospacing="1"/>
        <w:ind w:left="0" w:right="0" w:firstLine="480" w:firstLineChars="200"/>
      </w:pPr>
      <w:r>
        <w:t>在经济层面，能源公社创造了可观的本地价值循环。与由大型能源公司开发的项目相比，社区能源项目产生的经济价值有高出2-3倍的比例保留在当地。这主要通过三种渠道实现：本地就业(安装、维护等岗位)、成员分红和社区基金的再投资。研究显示，德国能源公社每年产生的本地经济价值约为12亿欧元。对于农村地区而言，这种经济效应尤为宝贵，能源公社往往成为阻止经济衰退的重要支柱。例如，在前东德地区的卢萨蒂亚，多个村庄通过共同经营生物质能项目，成功扭转了人口流失和就业下降的趋势。</w:t>
      </w:r>
    </w:p>
    <w:p w14:paraId="54D282F8">
      <w:pPr>
        <w:pStyle w:val="4"/>
        <w:keepNext w:val="0"/>
        <w:keepLines w:val="0"/>
        <w:widowControl/>
        <w:suppressLineNumbers w:val="0"/>
        <w:spacing w:before="0" w:beforeAutospacing="1" w:after="0" w:afterAutospacing="1"/>
        <w:ind w:left="0" w:right="0" w:firstLine="480" w:firstLineChars="200"/>
      </w:pPr>
      <w:r>
        <w:t>社会影响可能是能源公社最富创新性的贡献。首先，它们重新定义了公民在能源系统中的角色，从被动消费者转变为积极参与的"产消者"。这种赋权效应增强了人们对能源转型的认同感—在拥有能源公社的地区，对新建可再生能源项目的支持率高达75-90%，远高于全国平均水平的65%。其次，能源公社成为实践民主决策和集体学习的平台，成员通过参与能源事务培养了更系统的可持续生活方式。海德堡能源合作社的调研显示，其成员的家庭能耗比非成员低15-20%，反映出行为改变的显著效果。</w:t>
      </w:r>
    </w:p>
    <w:p w14:paraId="7D0F2B27">
      <w:pPr>
        <w:pStyle w:val="4"/>
        <w:keepNext w:val="0"/>
        <w:keepLines w:val="0"/>
        <w:widowControl/>
        <w:suppressLineNumbers w:val="0"/>
        <w:spacing w:before="0" w:beforeAutospacing="1" w:after="0" w:afterAutospacing="1"/>
        <w:ind w:left="0" w:right="0" w:firstLine="480" w:firstLineChars="200"/>
      </w:pPr>
      <w:r>
        <w:t>能源公社还产生了超出能源领域的社会创新。许多项目将能源生产与解决其他社会问题结合起来，如创建残疾人可参与的太阳能安装团队、为低收入家庭提供优惠电价、或将部分利润资助社区文化设施等。这种"能源+"模式展示了如何通过能源项目同时推动社会包容和社区发展。柏林"KlimaWerkstatt"项目就是一个典范，它将城市光伏安装与移民职业培训相结合，同时解决了绿色技能短缺和社会融入两个挑战。</w:t>
      </w:r>
    </w:p>
    <w:p w14:paraId="67CB29A0">
      <w:pPr>
        <w:pStyle w:val="4"/>
        <w:keepNext w:val="0"/>
        <w:keepLines w:val="0"/>
        <w:widowControl/>
        <w:suppressLineNumbers w:val="0"/>
        <w:spacing w:before="0" w:beforeAutospacing="1" w:after="0" w:afterAutospacing="1"/>
        <w:ind w:left="0" w:right="0"/>
      </w:pPr>
      <w:r>
        <w:rPr>
          <w:rStyle w:val="7"/>
        </w:rPr>
        <w:t>表：德国能源公社的多维影响评估</w:t>
      </w:r>
      <w:r>
        <w:rPr>
          <w:rStyle w:val="7"/>
          <w:rFonts w:hint="eastAsia"/>
          <w:lang w:val="en-US" w:eastAsia="zh-CN"/>
        </w:rPr>
        <w:t xml:space="preserve"> </w:t>
      </w:r>
      <w:r>
        <w:rPr>
          <w:rStyle w:val="7"/>
        </w:rPr>
        <w:t>(2022年数据)</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583"/>
        <w:gridCol w:w="3342"/>
        <w:gridCol w:w="3439"/>
      </w:tblGrid>
      <w:tr w14:paraId="34C6C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blCellSpacing w:w="15" w:type="dxa"/>
        </w:trPr>
        <w:tc>
          <w:tcPr>
            <w:tcW w:w="1538" w:type="dxa"/>
            <w:shd w:val="clear"/>
            <w:vAlign w:val="center"/>
          </w:tcPr>
          <w:p w14:paraId="4D53EF8B">
            <w:pPr>
              <w:keepNext w:val="0"/>
              <w:keepLines w:val="0"/>
              <w:widowControl/>
              <w:suppressLineNumbers w:val="0"/>
              <w:jc w:val="center"/>
              <w:rPr>
                <w:b/>
                <w:bCs/>
              </w:rPr>
            </w:pPr>
            <w:r>
              <w:rPr>
                <w:rFonts w:ascii="宋体" w:hAnsi="宋体" w:eastAsia="宋体" w:cs="宋体"/>
                <w:b/>
                <w:bCs/>
                <w:kern w:val="0"/>
                <w:sz w:val="24"/>
                <w:szCs w:val="24"/>
                <w:lang w:val="en-US" w:eastAsia="zh-CN" w:bidi="ar"/>
              </w:rPr>
              <w:t>评估维度</w:t>
            </w:r>
          </w:p>
        </w:tc>
        <w:tc>
          <w:tcPr>
            <w:tcW w:w="3312" w:type="dxa"/>
            <w:shd w:val="clear"/>
            <w:vAlign w:val="center"/>
          </w:tcPr>
          <w:p w14:paraId="3259D5C7">
            <w:pPr>
              <w:keepNext w:val="0"/>
              <w:keepLines w:val="0"/>
              <w:widowControl/>
              <w:suppressLineNumbers w:val="0"/>
              <w:jc w:val="center"/>
              <w:rPr>
                <w:b/>
                <w:bCs/>
              </w:rPr>
            </w:pPr>
            <w:r>
              <w:rPr>
                <w:rFonts w:ascii="宋体" w:hAnsi="宋体" w:eastAsia="宋体" w:cs="宋体"/>
                <w:b/>
                <w:bCs/>
                <w:kern w:val="0"/>
                <w:sz w:val="24"/>
                <w:szCs w:val="24"/>
                <w:lang w:val="en-US" w:eastAsia="zh-CN" w:bidi="ar"/>
              </w:rPr>
              <w:t>关键指标</w:t>
            </w:r>
          </w:p>
        </w:tc>
        <w:tc>
          <w:tcPr>
            <w:tcW w:w="3394" w:type="dxa"/>
            <w:shd w:val="clear"/>
            <w:vAlign w:val="center"/>
          </w:tcPr>
          <w:p w14:paraId="5425C096">
            <w:pPr>
              <w:keepNext w:val="0"/>
              <w:keepLines w:val="0"/>
              <w:widowControl/>
              <w:suppressLineNumbers w:val="0"/>
              <w:jc w:val="center"/>
              <w:rPr>
                <w:b/>
                <w:bCs/>
              </w:rPr>
            </w:pPr>
            <w:r>
              <w:rPr>
                <w:rFonts w:ascii="宋体" w:hAnsi="宋体" w:eastAsia="宋体" w:cs="宋体"/>
                <w:b/>
                <w:bCs/>
                <w:kern w:val="0"/>
                <w:sz w:val="24"/>
                <w:szCs w:val="24"/>
                <w:lang w:val="en-US" w:eastAsia="zh-CN" w:bidi="ar"/>
              </w:rPr>
              <w:t>影响规模</w:t>
            </w:r>
          </w:p>
        </w:tc>
      </w:tr>
      <w:tr w14:paraId="460F9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538" w:type="dxa"/>
            <w:shd w:val="clear"/>
            <w:vAlign w:val="center"/>
          </w:tcPr>
          <w:p w14:paraId="72A580CB">
            <w:pPr>
              <w:keepNext w:val="0"/>
              <w:keepLines w:val="0"/>
              <w:widowControl/>
              <w:suppressLineNumbers w:val="0"/>
              <w:jc w:val="center"/>
            </w:pPr>
            <w:r>
              <w:rPr>
                <w:rFonts w:ascii="宋体" w:hAnsi="宋体" w:eastAsia="宋体" w:cs="宋体"/>
                <w:kern w:val="0"/>
                <w:sz w:val="24"/>
                <w:szCs w:val="24"/>
                <w:lang w:val="en-US" w:eastAsia="zh-CN" w:bidi="ar"/>
              </w:rPr>
              <w:t>能源系统</w:t>
            </w:r>
          </w:p>
        </w:tc>
        <w:tc>
          <w:tcPr>
            <w:tcW w:w="3312" w:type="dxa"/>
            <w:shd w:val="clear"/>
            <w:vAlign w:val="center"/>
          </w:tcPr>
          <w:p w14:paraId="0BC1A350">
            <w:pPr>
              <w:keepNext w:val="0"/>
              <w:keepLines w:val="0"/>
              <w:widowControl/>
              <w:suppressLineNumbers w:val="0"/>
              <w:jc w:val="center"/>
            </w:pPr>
            <w:r>
              <w:rPr>
                <w:rFonts w:ascii="宋体" w:hAnsi="宋体" w:eastAsia="宋体" w:cs="宋体"/>
                <w:kern w:val="0"/>
                <w:sz w:val="24"/>
                <w:szCs w:val="24"/>
                <w:lang w:val="en-US" w:eastAsia="zh-CN" w:bidi="ar"/>
              </w:rPr>
              <w:t>总装机容量</w:t>
            </w:r>
          </w:p>
        </w:tc>
        <w:tc>
          <w:tcPr>
            <w:tcW w:w="3394" w:type="dxa"/>
            <w:shd w:val="clear"/>
            <w:vAlign w:val="center"/>
          </w:tcPr>
          <w:p w14:paraId="7D8B7798">
            <w:pPr>
              <w:keepNext w:val="0"/>
              <w:keepLines w:val="0"/>
              <w:widowControl/>
              <w:suppressLineNumbers w:val="0"/>
              <w:jc w:val="center"/>
            </w:pPr>
            <w:r>
              <w:rPr>
                <w:rFonts w:ascii="宋体" w:hAnsi="宋体" w:eastAsia="宋体" w:cs="宋体"/>
                <w:kern w:val="0"/>
                <w:sz w:val="24"/>
                <w:szCs w:val="24"/>
                <w:lang w:val="en-US" w:eastAsia="zh-CN" w:bidi="ar"/>
              </w:rPr>
              <w:t>10.2 GW</w:t>
            </w:r>
          </w:p>
        </w:tc>
      </w:tr>
      <w:tr w14:paraId="4F526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538" w:type="dxa"/>
            <w:shd w:val="clear"/>
            <w:vAlign w:val="center"/>
          </w:tcPr>
          <w:p w14:paraId="0A9CEFB9">
            <w:pPr>
              <w:jc w:val="center"/>
              <w:rPr>
                <w:rFonts w:hint="eastAsia" w:ascii="宋体"/>
                <w:sz w:val="24"/>
                <w:szCs w:val="24"/>
              </w:rPr>
            </w:pPr>
          </w:p>
        </w:tc>
        <w:tc>
          <w:tcPr>
            <w:tcW w:w="3312" w:type="dxa"/>
            <w:shd w:val="clear"/>
            <w:vAlign w:val="center"/>
          </w:tcPr>
          <w:p w14:paraId="455A2F8B">
            <w:pPr>
              <w:keepNext w:val="0"/>
              <w:keepLines w:val="0"/>
              <w:widowControl/>
              <w:suppressLineNumbers w:val="0"/>
              <w:jc w:val="center"/>
            </w:pPr>
            <w:r>
              <w:rPr>
                <w:rFonts w:ascii="宋体" w:hAnsi="宋体" w:eastAsia="宋体" w:cs="宋体"/>
                <w:kern w:val="0"/>
                <w:sz w:val="24"/>
                <w:szCs w:val="24"/>
                <w:lang w:val="en-US" w:eastAsia="zh-CN" w:bidi="ar"/>
              </w:rPr>
              <w:t>占全国可再生能源比例</w:t>
            </w:r>
          </w:p>
        </w:tc>
        <w:tc>
          <w:tcPr>
            <w:tcW w:w="3394" w:type="dxa"/>
            <w:shd w:val="clear"/>
            <w:vAlign w:val="center"/>
          </w:tcPr>
          <w:p w14:paraId="0239DE2C">
            <w:pPr>
              <w:keepNext w:val="0"/>
              <w:keepLines w:val="0"/>
              <w:widowControl/>
              <w:suppressLineNumbers w:val="0"/>
              <w:jc w:val="center"/>
            </w:pPr>
            <w:r>
              <w:rPr>
                <w:rFonts w:ascii="宋体" w:hAnsi="宋体" w:eastAsia="宋体" w:cs="宋体"/>
                <w:kern w:val="0"/>
                <w:sz w:val="24"/>
                <w:szCs w:val="24"/>
                <w:lang w:val="en-US" w:eastAsia="zh-CN" w:bidi="ar"/>
              </w:rPr>
              <w:t>8%</w:t>
            </w:r>
          </w:p>
        </w:tc>
      </w:tr>
      <w:tr w14:paraId="5DE09D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1538" w:type="dxa"/>
            <w:shd w:val="clear"/>
            <w:vAlign w:val="center"/>
          </w:tcPr>
          <w:p w14:paraId="7F2E0174">
            <w:pPr>
              <w:keepNext w:val="0"/>
              <w:keepLines w:val="0"/>
              <w:widowControl/>
              <w:suppressLineNumbers w:val="0"/>
              <w:jc w:val="center"/>
            </w:pPr>
            <w:r>
              <w:rPr>
                <w:rFonts w:ascii="宋体" w:hAnsi="宋体" w:eastAsia="宋体" w:cs="宋体"/>
                <w:kern w:val="0"/>
                <w:sz w:val="24"/>
                <w:szCs w:val="24"/>
                <w:lang w:val="en-US" w:eastAsia="zh-CN" w:bidi="ar"/>
              </w:rPr>
              <w:t>环境效益</w:t>
            </w:r>
          </w:p>
        </w:tc>
        <w:tc>
          <w:tcPr>
            <w:tcW w:w="3312" w:type="dxa"/>
            <w:shd w:val="clear"/>
            <w:vAlign w:val="center"/>
          </w:tcPr>
          <w:p w14:paraId="7EE30520">
            <w:pPr>
              <w:keepNext w:val="0"/>
              <w:keepLines w:val="0"/>
              <w:widowControl/>
              <w:suppressLineNumbers w:val="0"/>
              <w:jc w:val="center"/>
            </w:pPr>
            <w:r>
              <w:rPr>
                <w:rFonts w:ascii="宋体" w:hAnsi="宋体" w:eastAsia="宋体" w:cs="宋体"/>
                <w:kern w:val="0"/>
                <w:sz w:val="24"/>
                <w:szCs w:val="24"/>
                <w:lang w:val="en-US" w:eastAsia="zh-CN" w:bidi="ar"/>
              </w:rPr>
              <w:t>年CO2减排量</w:t>
            </w:r>
          </w:p>
        </w:tc>
        <w:tc>
          <w:tcPr>
            <w:tcW w:w="3394" w:type="dxa"/>
            <w:shd w:val="clear"/>
            <w:vAlign w:val="center"/>
          </w:tcPr>
          <w:p w14:paraId="37B4A527">
            <w:pPr>
              <w:keepNext w:val="0"/>
              <w:keepLines w:val="0"/>
              <w:widowControl/>
              <w:suppressLineNumbers w:val="0"/>
              <w:jc w:val="center"/>
            </w:pPr>
            <w:r>
              <w:rPr>
                <w:rFonts w:ascii="宋体" w:hAnsi="宋体" w:eastAsia="宋体" w:cs="宋体"/>
                <w:kern w:val="0"/>
                <w:sz w:val="24"/>
                <w:szCs w:val="24"/>
                <w:lang w:val="en-US" w:eastAsia="zh-CN" w:bidi="ar"/>
              </w:rPr>
              <w:t>500万吨</w:t>
            </w:r>
          </w:p>
        </w:tc>
      </w:tr>
      <w:tr w14:paraId="502F03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1538" w:type="dxa"/>
            <w:shd w:val="clear"/>
            <w:vAlign w:val="center"/>
          </w:tcPr>
          <w:p w14:paraId="364F536B">
            <w:pPr>
              <w:jc w:val="center"/>
              <w:rPr>
                <w:rFonts w:hint="eastAsia" w:ascii="宋体"/>
                <w:sz w:val="24"/>
                <w:szCs w:val="24"/>
              </w:rPr>
            </w:pPr>
          </w:p>
        </w:tc>
        <w:tc>
          <w:tcPr>
            <w:tcW w:w="3312" w:type="dxa"/>
            <w:shd w:val="clear"/>
            <w:vAlign w:val="center"/>
          </w:tcPr>
          <w:p w14:paraId="3392E572">
            <w:pPr>
              <w:keepNext w:val="0"/>
              <w:keepLines w:val="0"/>
              <w:widowControl/>
              <w:suppressLineNumbers w:val="0"/>
              <w:jc w:val="center"/>
            </w:pPr>
            <w:r>
              <w:rPr>
                <w:rFonts w:ascii="宋体" w:hAnsi="宋体" w:eastAsia="宋体" w:cs="宋体"/>
                <w:kern w:val="0"/>
                <w:sz w:val="24"/>
                <w:szCs w:val="24"/>
                <w:lang w:val="en-US" w:eastAsia="zh-CN" w:bidi="ar"/>
              </w:rPr>
              <w:t>涉及生物多样性项目数</w:t>
            </w:r>
          </w:p>
        </w:tc>
        <w:tc>
          <w:tcPr>
            <w:tcW w:w="3394" w:type="dxa"/>
            <w:shd w:val="clear"/>
            <w:vAlign w:val="center"/>
          </w:tcPr>
          <w:p w14:paraId="79E0047E">
            <w:pPr>
              <w:keepNext w:val="0"/>
              <w:keepLines w:val="0"/>
              <w:widowControl/>
              <w:suppressLineNumbers w:val="0"/>
              <w:jc w:val="center"/>
            </w:pPr>
            <w:r>
              <w:rPr>
                <w:rFonts w:ascii="宋体" w:hAnsi="宋体" w:eastAsia="宋体" w:cs="宋体"/>
                <w:kern w:val="0"/>
                <w:sz w:val="24"/>
                <w:szCs w:val="24"/>
                <w:lang w:val="en-US" w:eastAsia="zh-CN" w:bidi="ar"/>
              </w:rPr>
              <w:t>约120个</w:t>
            </w:r>
          </w:p>
        </w:tc>
      </w:tr>
      <w:tr w14:paraId="6AAE1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538" w:type="dxa"/>
            <w:shd w:val="clear"/>
            <w:vAlign w:val="center"/>
          </w:tcPr>
          <w:p w14:paraId="4834219B">
            <w:pPr>
              <w:keepNext w:val="0"/>
              <w:keepLines w:val="0"/>
              <w:widowControl/>
              <w:suppressLineNumbers w:val="0"/>
              <w:jc w:val="center"/>
            </w:pPr>
            <w:r>
              <w:rPr>
                <w:rFonts w:ascii="宋体" w:hAnsi="宋体" w:eastAsia="宋体" w:cs="宋体"/>
                <w:kern w:val="0"/>
                <w:sz w:val="24"/>
                <w:szCs w:val="24"/>
                <w:lang w:val="en-US" w:eastAsia="zh-CN" w:bidi="ar"/>
              </w:rPr>
              <w:t>经济效益</w:t>
            </w:r>
          </w:p>
        </w:tc>
        <w:tc>
          <w:tcPr>
            <w:tcW w:w="3312" w:type="dxa"/>
            <w:shd w:val="clear"/>
            <w:vAlign w:val="center"/>
          </w:tcPr>
          <w:p w14:paraId="0FD0C45B">
            <w:pPr>
              <w:keepNext w:val="0"/>
              <w:keepLines w:val="0"/>
              <w:widowControl/>
              <w:suppressLineNumbers w:val="0"/>
              <w:jc w:val="center"/>
            </w:pPr>
            <w:r>
              <w:rPr>
                <w:rFonts w:ascii="宋体" w:hAnsi="宋体" w:eastAsia="宋体" w:cs="宋体"/>
                <w:kern w:val="0"/>
                <w:sz w:val="24"/>
                <w:szCs w:val="24"/>
                <w:lang w:val="en-US" w:eastAsia="zh-CN" w:bidi="ar"/>
              </w:rPr>
              <w:t>年创造本地价值</w:t>
            </w:r>
          </w:p>
        </w:tc>
        <w:tc>
          <w:tcPr>
            <w:tcW w:w="3394" w:type="dxa"/>
            <w:shd w:val="clear"/>
            <w:vAlign w:val="center"/>
          </w:tcPr>
          <w:p w14:paraId="53910FAA">
            <w:pPr>
              <w:keepNext w:val="0"/>
              <w:keepLines w:val="0"/>
              <w:widowControl/>
              <w:suppressLineNumbers w:val="0"/>
              <w:jc w:val="center"/>
            </w:pPr>
            <w:r>
              <w:rPr>
                <w:rFonts w:ascii="宋体" w:hAnsi="宋体" w:eastAsia="宋体" w:cs="宋体"/>
                <w:kern w:val="0"/>
                <w:sz w:val="24"/>
                <w:szCs w:val="24"/>
                <w:lang w:val="en-US" w:eastAsia="zh-CN" w:bidi="ar"/>
              </w:rPr>
              <w:t>12亿欧元</w:t>
            </w:r>
          </w:p>
        </w:tc>
      </w:tr>
      <w:tr w14:paraId="04064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538" w:type="dxa"/>
            <w:shd w:val="clear"/>
            <w:vAlign w:val="center"/>
          </w:tcPr>
          <w:p w14:paraId="76BEFBAB">
            <w:pPr>
              <w:jc w:val="center"/>
              <w:rPr>
                <w:rFonts w:hint="eastAsia" w:ascii="宋体"/>
                <w:sz w:val="24"/>
                <w:szCs w:val="24"/>
              </w:rPr>
            </w:pPr>
          </w:p>
        </w:tc>
        <w:tc>
          <w:tcPr>
            <w:tcW w:w="3312" w:type="dxa"/>
            <w:shd w:val="clear"/>
            <w:vAlign w:val="center"/>
          </w:tcPr>
          <w:p w14:paraId="4B8D75F9">
            <w:pPr>
              <w:keepNext w:val="0"/>
              <w:keepLines w:val="0"/>
              <w:widowControl/>
              <w:suppressLineNumbers w:val="0"/>
              <w:jc w:val="center"/>
            </w:pPr>
            <w:r>
              <w:rPr>
                <w:rFonts w:ascii="宋体" w:hAnsi="宋体" w:eastAsia="宋体" w:cs="宋体"/>
                <w:kern w:val="0"/>
                <w:sz w:val="24"/>
                <w:szCs w:val="24"/>
                <w:lang w:val="en-US" w:eastAsia="zh-CN" w:bidi="ar"/>
              </w:rPr>
              <w:t>创造的直接就业岗位</w:t>
            </w:r>
          </w:p>
        </w:tc>
        <w:tc>
          <w:tcPr>
            <w:tcW w:w="3394" w:type="dxa"/>
            <w:shd w:val="clear"/>
            <w:vAlign w:val="center"/>
          </w:tcPr>
          <w:p w14:paraId="51D34B60">
            <w:pPr>
              <w:keepNext w:val="0"/>
              <w:keepLines w:val="0"/>
              <w:widowControl/>
              <w:suppressLineNumbers w:val="0"/>
              <w:jc w:val="center"/>
            </w:pPr>
            <w:r>
              <w:rPr>
                <w:rFonts w:ascii="宋体" w:hAnsi="宋体" w:eastAsia="宋体" w:cs="宋体"/>
                <w:kern w:val="0"/>
                <w:sz w:val="24"/>
                <w:szCs w:val="24"/>
                <w:lang w:val="en-US" w:eastAsia="zh-CN" w:bidi="ar"/>
              </w:rPr>
              <w:t>约28,000个</w:t>
            </w:r>
          </w:p>
        </w:tc>
      </w:tr>
      <w:tr w14:paraId="322F1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1538" w:type="dxa"/>
            <w:shd w:val="clear"/>
            <w:vAlign w:val="center"/>
          </w:tcPr>
          <w:p w14:paraId="4E708939">
            <w:pPr>
              <w:keepNext w:val="0"/>
              <w:keepLines w:val="0"/>
              <w:widowControl/>
              <w:suppressLineNumbers w:val="0"/>
              <w:jc w:val="center"/>
            </w:pPr>
            <w:r>
              <w:rPr>
                <w:rFonts w:ascii="宋体" w:hAnsi="宋体" w:eastAsia="宋体" w:cs="宋体"/>
                <w:kern w:val="0"/>
                <w:sz w:val="24"/>
                <w:szCs w:val="24"/>
                <w:lang w:val="en-US" w:eastAsia="zh-CN" w:bidi="ar"/>
              </w:rPr>
              <w:t>社会影响</w:t>
            </w:r>
          </w:p>
        </w:tc>
        <w:tc>
          <w:tcPr>
            <w:tcW w:w="3312" w:type="dxa"/>
            <w:shd w:val="clear"/>
            <w:vAlign w:val="center"/>
          </w:tcPr>
          <w:p w14:paraId="338A393B">
            <w:pPr>
              <w:keepNext w:val="0"/>
              <w:keepLines w:val="0"/>
              <w:widowControl/>
              <w:suppressLineNumbers w:val="0"/>
              <w:jc w:val="center"/>
            </w:pPr>
            <w:r>
              <w:rPr>
                <w:rFonts w:ascii="宋体" w:hAnsi="宋体" w:eastAsia="宋体" w:cs="宋体"/>
                <w:kern w:val="0"/>
                <w:sz w:val="24"/>
                <w:szCs w:val="24"/>
                <w:lang w:val="en-US" w:eastAsia="zh-CN" w:bidi="ar"/>
              </w:rPr>
              <w:t>参与家庭数量</w:t>
            </w:r>
          </w:p>
        </w:tc>
        <w:tc>
          <w:tcPr>
            <w:tcW w:w="3394" w:type="dxa"/>
            <w:shd w:val="clear"/>
            <w:vAlign w:val="center"/>
          </w:tcPr>
          <w:p w14:paraId="41EDBB27">
            <w:pPr>
              <w:keepNext w:val="0"/>
              <w:keepLines w:val="0"/>
              <w:widowControl/>
              <w:suppressLineNumbers w:val="0"/>
              <w:jc w:val="center"/>
            </w:pPr>
            <w:r>
              <w:rPr>
                <w:rFonts w:ascii="宋体" w:hAnsi="宋体" w:eastAsia="宋体" w:cs="宋体"/>
                <w:kern w:val="0"/>
                <w:sz w:val="24"/>
                <w:szCs w:val="24"/>
                <w:lang w:val="en-US" w:eastAsia="zh-CN" w:bidi="ar"/>
              </w:rPr>
              <w:t>约180万户</w:t>
            </w:r>
          </w:p>
        </w:tc>
      </w:tr>
      <w:tr w14:paraId="4E276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1538" w:type="dxa"/>
            <w:shd w:val="clear"/>
            <w:vAlign w:val="center"/>
          </w:tcPr>
          <w:p w14:paraId="0DEC1578">
            <w:pPr>
              <w:jc w:val="center"/>
              <w:rPr>
                <w:rFonts w:hint="eastAsia" w:ascii="宋体"/>
                <w:sz w:val="24"/>
                <w:szCs w:val="24"/>
              </w:rPr>
            </w:pPr>
          </w:p>
        </w:tc>
        <w:tc>
          <w:tcPr>
            <w:tcW w:w="3312" w:type="dxa"/>
            <w:shd w:val="clear"/>
            <w:vAlign w:val="center"/>
          </w:tcPr>
          <w:p w14:paraId="6AD5CC02">
            <w:pPr>
              <w:keepNext w:val="0"/>
              <w:keepLines w:val="0"/>
              <w:widowControl/>
              <w:suppressLineNumbers w:val="0"/>
              <w:jc w:val="center"/>
            </w:pPr>
            <w:r>
              <w:rPr>
                <w:rFonts w:ascii="宋体" w:hAnsi="宋体" w:eastAsia="宋体" w:cs="宋体"/>
                <w:kern w:val="0"/>
                <w:sz w:val="24"/>
                <w:szCs w:val="24"/>
                <w:lang w:val="en-US" w:eastAsia="zh-CN" w:bidi="ar"/>
              </w:rPr>
              <w:t>成员平均节能效果</w:t>
            </w:r>
          </w:p>
        </w:tc>
        <w:tc>
          <w:tcPr>
            <w:tcW w:w="3394" w:type="dxa"/>
            <w:shd w:val="clear"/>
            <w:vAlign w:val="center"/>
          </w:tcPr>
          <w:p w14:paraId="39DE560B">
            <w:pPr>
              <w:keepNext w:val="0"/>
              <w:keepLines w:val="0"/>
              <w:widowControl/>
              <w:suppressLineNumbers w:val="0"/>
              <w:jc w:val="center"/>
            </w:pPr>
            <w:r>
              <w:rPr>
                <w:rFonts w:ascii="宋体" w:hAnsi="宋体" w:eastAsia="宋体" w:cs="宋体"/>
                <w:kern w:val="0"/>
                <w:sz w:val="24"/>
                <w:szCs w:val="24"/>
                <w:lang w:val="en-US" w:eastAsia="zh-CN" w:bidi="ar"/>
              </w:rPr>
              <w:t>15-20%</w:t>
            </w:r>
          </w:p>
        </w:tc>
      </w:tr>
    </w:tbl>
    <w:p w14:paraId="32C79986">
      <w:pPr>
        <w:pStyle w:val="3"/>
        <w:keepNext w:val="0"/>
        <w:keepLines w:val="0"/>
        <w:widowControl/>
        <w:suppressLineNumbers w:val="0"/>
      </w:pPr>
      <w:r>
        <w:t>挑战与未来展望</w:t>
      </w:r>
      <w:bookmarkStart w:id="0" w:name="_GoBack"/>
      <w:bookmarkEnd w:id="0"/>
    </w:p>
    <w:p w14:paraId="59D3E772">
      <w:pPr>
        <w:pStyle w:val="4"/>
        <w:keepNext w:val="0"/>
        <w:keepLines w:val="0"/>
        <w:widowControl/>
        <w:suppressLineNumbers w:val="0"/>
        <w:spacing w:before="0" w:beforeAutospacing="1" w:after="0" w:afterAutospacing="1"/>
        <w:ind w:left="0" w:right="0" w:firstLine="480" w:firstLineChars="200"/>
      </w:pPr>
      <w:r>
        <w:t>尽管德国能源公社模式取得了显著成就，但其进一步发展仍面临多方面的挑战和限制。技术层面，电网接入和系统整合构成了主要瓶颈。随着分布式能源资源比例的提升，配电网原本设计的单向电力流动模式面临巨大压力。许多能源公社报告称，新项目获得电网连接许可的等待时间从2015年的平均3个月延长至2022年的18个月以上。间歇性可再生能源的大比例渗透也要求更先进的预测算法和灵活资源，而大多数小型公社缺乏相应的技术能力和资金投入。2021年冬季德国部分地区出现的"反向潮流"问题(分布式发电超过本地需求导致电压升高)就是这种挑战的具体体现。</w:t>
      </w:r>
    </w:p>
    <w:p w14:paraId="0EADF2B8">
      <w:pPr>
        <w:pStyle w:val="4"/>
        <w:keepNext w:val="0"/>
        <w:keepLines w:val="0"/>
        <w:widowControl/>
        <w:suppressLineNumbers w:val="0"/>
        <w:spacing w:before="0" w:beforeAutospacing="1" w:after="0" w:afterAutospacing="1"/>
        <w:ind w:left="0" w:right="0" w:firstLine="480" w:firstLineChars="200"/>
      </w:pPr>
      <w:r>
        <w:t>经济可行性是另一个日益严峻的挑战。随着德国逐步取消固定上网电价制度，转而采用竞争性招标机制，规模较小的能源公社在项目竞标中难以与大型能源公司抗衡。2020年数据显示，公民能源项目在中标率上比专业开发商低40-50%。同时，组件成本上升(如光伏板价格在2022年上涨约25%)和融资条件收紧(欧洲央行加息导致贷款利率上升)进一步挤压了利润空间。税收复杂性也构成障碍—一个中型能源公社平均需要处理7种不同的税收规则，包括增值税、电力税和所得税的特殊条款，这增加了行政负担。</w:t>
      </w:r>
    </w:p>
    <w:p w14:paraId="16B20B5C">
      <w:pPr>
        <w:pStyle w:val="4"/>
        <w:keepNext w:val="0"/>
        <w:keepLines w:val="0"/>
        <w:widowControl/>
        <w:suppressLineNumbers w:val="0"/>
        <w:spacing w:before="0" w:beforeAutospacing="1" w:after="0" w:afterAutospacing="1"/>
        <w:ind w:left="0" w:right="0" w:firstLine="480" w:firstLineChars="200"/>
      </w:pPr>
      <w:r>
        <w:t>法律和监管环境仍存在诸多不确定性。虽然欧盟清洁能源一揽子计划要求成员国支持能源社区，但德国在具体实施中仍有大量细则待明确，特别是关于跨区域能源公社的规则和能源共享机制的技术标准。不同联邦州之间的法规差异也造成了市场分割，例如巴伐利亚州对屋顶光伏的补贴政策与勃兰登堡州就有显著不同。这种碎片化的监管环境增加了跨地区扩展的难度。</w:t>
      </w:r>
    </w:p>
    <w:p w14:paraId="47724393">
      <w:pPr>
        <w:pStyle w:val="4"/>
        <w:keepNext w:val="0"/>
        <w:keepLines w:val="0"/>
        <w:widowControl/>
        <w:suppressLineNumbers w:val="0"/>
        <w:spacing w:before="0" w:beforeAutospacing="1" w:after="0" w:afterAutospacing="1"/>
        <w:ind w:left="0" w:right="0" w:firstLine="480" w:firstLineChars="200"/>
      </w:pPr>
      <w:r>
        <w:t>社会接受度方面，虽然能源公社整体上享有较高支持率，但"邻避效应"(NIMBY-Not In My Backyard)在某些情况下仍然存在，特别是对风力发电项目的视觉影响和噪音问题的担忧。新一代能源公社还需要解决成员多样性的挑战—目前参与者仍以中高收入、教育水平较高的中年群体为主，如何吸引低收入家庭、年轻人和移民群体参与成为重要课题。</w:t>
      </w:r>
    </w:p>
    <w:p w14:paraId="39302744">
      <w:pPr>
        <w:pStyle w:val="4"/>
        <w:keepNext w:val="0"/>
        <w:keepLines w:val="0"/>
        <w:widowControl/>
        <w:suppressLineNumbers w:val="0"/>
        <w:spacing w:before="0" w:beforeAutospacing="1" w:after="0" w:afterAutospacing="1"/>
        <w:ind w:left="0" w:right="0" w:firstLine="480" w:firstLineChars="200"/>
      </w:pPr>
      <w:r>
        <w:t>展望未来，德国能源公社的发展可能呈现几个关键趋势。技术融合将成为重要方向，尤其是可再生能源与数字化技术的深度结合。人工智能驱动的能源管理系统、区块链支持的本地电力交易平台和物联网设备的广泛应用，将赋予能源公社更高效的运营能力。商业模式的创新也值得期待，如"能源即服务"(Energy-as-a-Service)订阅模式、与电动汽车充电网络的整合、以及纳入碳信用机制等。</w:t>
      </w:r>
    </w:p>
    <w:p w14:paraId="4C6D039F">
      <w:pPr>
        <w:pStyle w:val="4"/>
        <w:keepNext w:val="0"/>
        <w:keepLines w:val="0"/>
        <w:widowControl/>
        <w:suppressLineNumbers w:val="0"/>
        <w:spacing w:before="0" w:beforeAutospacing="1" w:after="0" w:afterAutospacing="1"/>
        <w:ind w:right="0" w:firstLine="480" w:firstLineChars="200"/>
      </w:pPr>
      <w:r>
        <w:t>政策层面，德国很可能进一步细化支持能源公社的措施，包括：设立专项招标配额(如目前讨论的20%风能项目保留给公民团体)、简化审批流程、提供技术援助资金等。欧盟层面的"绿色新政"和REPowerEU计划也将提供额外动力，特别是在跨境能源社区试点方面。</w:t>
      </w:r>
    </w:p>
    <w:p w14:paraId="1DB02906">
      <w:pPr>
        <w:pStyle w:val="4"/>
        <w:keepNext w:val="0"/>
        <w:keepLines w:val="0"/>
        <w:widowControl/>
        <w:suppressLineNumbers w:val="0"/>
        <w:spacing w:before="0" w:beforeAutospacing="1" w:after="0" w:afterAutospacing="1"/>
        <w:ind w:left="0" w:right="0" w:firstLine="480" w:firstLineChars="200"/>
      </w:pPr>
      <w:r>
        <w:t>长期来看，能源公社可能演变为更综合的"气候社区"，不仅涵盖能源生产消费，还将整合可持续交通、循环经济和气候适应等更广泛功能。这种扩展的使命将使能源公社在德国2045年碳中和目标中扮演更核心的角色。正如德国环境部一份展望报告所指出的："未来的能源系统将不是由少数大型电站和数百万被动用户组成，而是由成千上万个积极参与的能源社区构成的活力网络—既是技术基础设施，也是社会创新实验室。"</w:t>
      </w:r>
    </w:p>
    <w:p w14:paraId="7C070CE2">
      <w:pPr>
        <w:pStyle w:val="3"/>
        <w:keepNext w:val="0"/>
        <w:keepLines w:val="0"/>
        <w:widowControl/>
        <w:suppressLineNumbers w:val="0"/>
      </w:pPr>
      <w:r>
        <w:t>对中国的启示与借鉴意义</w:t>
      </w:r>
    </w:p>
    <w:p w14:paraId="1C38E030">
      <w:pPr>
        <w:pStyle w:val="4"/>
        <w:keepNext w:val="0"/>
        <w:keepLines w:val="0"/>
        <w:widowControl/>
        <w:suppressLineNumbers w:val="0"/>
        <w:spacing w:before="0" w:beforeAutospacing="1" w:after="0" w:afterAutospacing="1"/>
        <w:ind w:left="0" w:right="0" w:firstLine="480" w:firstLineChars="200"/>
      </w:pPr>
      <w:r>
        <w:t>德国能源公社模式虽然根植于其特定的社会经济背景，但其核心理念和实践经验对中国正在推进的能源革命和乡村振兴战略具有重要的参考价值。中国作为全球最大的能源消费国和碳排放国，面临着能源安全、环境污染和气候变化等多重挑战，而德国经验表明，社区主导的分散式可再生能源发展可以成为应对这些挑战的有效途径之一。</w:t>
      </w:r>
    </w:p>
    <w:p w14:paraId="404A3BCF">
      <w:pPr>
        <w:pStyle w:val="4"/>
        <w:keepNext w:val="0"/>
        <w:keepLines w:val="0"/>
        <w:widowControl/>
        <w:suppressLineNumbers w:val="0"/>
        <w:spacing w:before="0" w:beforeAutospacing="1" w:after="0" w:afterAutospacing="1"/>
        <w:ind w:left="0" w:right="0" w:firstLine="480" w:firstLineChars="200"/>
      </w:pPr>
      <w:r>
        <w:t>中国可借鉴德国经验，首先在政策法律层面为社区能源项目创造有利环境。这包括：明确社区能源的法律地位和组织形式，特别是在《可再生能源法》修订中增加支持社区项目的条款；设计适合中国国情的上网电价或补贴机制，对村级光伏电站等现有项目进行制度升级；简化分布式能源项目的审批流程，尤其是对一定规模以下的社区项目实行备案制。中国已有部分政策如"整县推进屋顶分布式光伏"试点，可以在此基础上融入更多社区参与和利益共享机制，避免单纯追求规模而忽视本地受益。</w:t>
      </w:r>
    </w:p>
    <w:p w14:paraId="295FB7C6">
      <w:pPr>
        <w:pStyle w:val="4"/>
        <w:keepNext w:val="0"/>
        <w:keepLines w:val="0"/>
        <w:widowControl/>
        <w:suppressLineNumbers w:val="0"/>
        <w:spacing w:before="0" w:beforeAutospacing="1" w:after="0" w:afterAutospacing="1"/>
        <w:ind w:left="0" w:right="0" w:firstLine="480" w:firstLineChars="200"/>
      </w:pPr>
      <w:r>
        <w:t>技术路线方面，中国应重视适合社区规模的可再生能源系统集成。德国经验表明，200kW-2MW的中小型项目最适合社区管理，这与中国的村级电站规模相仿。重点发展领域应包括：适应不同气候区的社区微电网技术(如高原地区的风光储系统、沿海地区的渔光互补系统)；智能电表和能源管理系统的本土化开发；以及适合农村建筑的光伏一体化技术。中国的数字基础设施优势(如广泛的移动互联网覆盖)可以成为社区能源创新的加速器，通过数字化手段解决德国面临的远程监控和成员参与难题。</w:t>
      </w:r>
    </w:p>
    <w:p w14:paraId="772EC1DC">
      <w:pPr>
        <w:pStyle w:val="4"/>
        <w:keepNext w:val="0"/>
        <w:keepLines w:val="0"/>
        <w:widowControl/>
        <w:suppressLineNumbers w:val="0"/>
        <w:spacing w:before="0" w:beforeAutospacing="1" w:after="0" w:afterAutospacing="1"/>
        <w:ind w:left="0" w:right="0" w:firstLine="480" w:firstLineChars="200"/>
      </w:pPr>
      <w:r>
        <w:t>商业模式创新是中国发展能源公社的关键环节。德国"有限回报+社区福利"的双重机制值得借鉴，但需要适应中国农村的集体所有制特点。可能的模式包括：在现有农民专业合作社基础上扩展能源功能；发展村集体与企业合作的"共建共享"模式(类似德国的Bürgerbeteiligungsmodell)；探索光伏扶贫电站的升级版，使收益分配更公平和可持续。城市地区则可试验德国"邻里电力"的变体，如工业园区内的绿色电力直供或商业综合体的能源共享。</w:t>
      </w:r>
    </w:p>
    <w:p w14:paraId="61DED7E6">
      <w:pPr>
        <w:pStyle w:val="4"/>
        <w:keepNext w:val="0"/>
        <w:keepLines w:val="0"/>
        <w:widowControl/>
        <w:suppressLineNumbers w:val="0"/>
        <w:spacing w:before="0" w:beforeAutospacing="1" w:after="0" w:afterAutospacing="1"/>
        <w:ind w:left="0" w:right="0" w:firstLine="480" w:firstLineChars="200"/>
      </w:pPr>
      <w:r>
        <w:t>治理机制上，中国需要建立兼顾效率与参与的社区能源管理模式。德国的合作社治理经验(如成员大会、透明财务)可以与中国基层治理创新相结合，发展出具有中国特色的社区能源民主形式。这包括：将能源管理纳入村民自治章程；培训"乡村能源经理"等专业人才；建立社区能源收益的民主决策机制。浙江部分乡村的"光伏合作社"试点已经显示出这种结合的潜力，但需要更系统的制度设计。</w:t>
      </w:r>
    </w:p>
    <w:p w14:paraId="3A0710A1">
      <w:pPr>
        <w:pStyle w:val="4"/>
        <w:keepNext w:val="0"/>
        <w:keepLines w:val="0"/>
        <w:widowControl/>
        <w:suppressLineNumbers w:val="0"/>
        <w:spacing w:before="0" w:beforeAutospacing="1" w:after="0" w:afterAutospacing="1"/>
        <w:ind w:left="0" w:right="0" w:firstLine="480" w:firstLineChars="200"/>
      </w:pPr>
      <w:r>
        <w:t>中国发展社区能源还需注意几个关键差异点：首先，中国的电力体制仍在改革过程中，电网企业在分布式能源发展中扮演更强势角色，因此需要设计更好的利益协调机制。其次，中国农村人口流动性高，需要解决成员长期参与的激励机制。再次，中国的可再生能源装备制造业发达，这为社区项目提供了成本优势，但同时也需避免单纯设备销售而忽视社区能力建设。</w:t>
      </w:r>
    </w:p>
    <w:p w14:paraId="131236DE">
      <w:pPr>
        <w:pStyle w:val="4"/>
        <w:keepNext w:val="0"/>
        <w:keepLines w:val="0"/>
        <w:widowControl/>
        <w:suppressLineNumbers w:val="0"/>
        <w:spacing w:before="0" w:beforeAutospacing="1" w:after="0" w:afterAutospacing="1"/>
        <w:ind w:left="0" w:right="0" w:firstLine="480" w:firstLineChars="200"/>
      </w:pPr>
      <w:r>
        <w:t>特别值得关注的是，中国的"双碳"目标和乡村振兴战略为社区能源发展创造了历史性机遇。将分布式可再生能源与农村产业升级、人居环境改善相结合，可以创造出比德国更综合的"能源+"模式。例如，在北方地区推广"光伏+清洁取暖"，在南方发展"小水电+生态旅游"，形成能源转型与地方发展的协同效应。这种中国特色的社区能源道路，不仅有助于实现碳达峰碳中和目标，也能为全球能源转型提供新的实践范例。</w:t>
      </w:r>
    </w:p>
    <w:p w14:paraId="1972AFA5">
      <w:pPr>
        <w:pStyle w:val="3"/>
        <w:keepNext w:val="0"/>
        <w:keepLines w:val="0"/>
        <w:widowControl/>
        <w:suppressLineNumbers w:val="0"/>
      </w:pPr>
      <w:r>
        <w:t>结论</w:t>
      </w:r>
    </w:p>
    <w:p w14:paraId="4C686C5F">
      <w:pPr>
        <w:pStyle w:val="4"/>
        <w:keepNext w:val="0"/>
        <w:keepLines w:val="0"/>
        <w:widowControl/>
        <w:suppressLineNumbers w:val="0"/>
        <w:spacing w:before="0" w:beforeAutospacing="1" w:after="0" w:afterAutospacing="1"/>
        <w:ind w:left="0" w:right="0" w:firstLine="480" w:firstLineChars="200"/>
      </w:pPr>
      <w:r>
        <w:t>德国能源公社模式代表了能源系统从集中式向分布式、从专业化向民主化、从单一经济目标向多重价值整合的深刻转型。通过二十余年的实践，这种模式已经证明：公民和社区不仅是能源转型的受益者，更是其积极的推动者和共同塑造者。能源公社在德国之所以能够蓬勃发展，得益于三个关键支柱：明确且稳定的政策框架、适应本地条件的组织形式、以及技术与社会的协同创新。这种"能源民主"实践不仅加速了可再生能源的部署，还重建了人与能源系统的连接，将抽象的能源转型转化为具体可见的社区成就。</w:t>
      </w:r>
    </w:p>
    <w:p w14:paraId="0C16CA6B">
      <w:pPr>
        <w:pStyle w:val="4"/>
        <w:keepNext w:val="0"/>
        <w:keepLines w:val="0"/>
        <w:widowControl/>
        <w:suppressLineNumbers w:val="0"/>
        <w:spacing w:before="0" w:beforeAutospacing="1" w:after="0" w:afterAutospacing="1"/>
        <w:ind w:left="0" w:right="0" w:firstLine="480" w:firstLineChars="200"/>
      </w:pPr>
      <w:r>
        <w:t>德国经验同时揭示了社区能源发展的内在张力：如何在规模效益与本地控制之间、专业管理与广泛参与之间、经济可行性与社会生态目标之间保持平衡。这些挑战并非德国独有，而是所有探索分布式能源道路的国家都将面对的共性问题。因此，德国能源公社的教训与经验同样宝贵—如过度依赖固定电价的风险、电网整合的技术障碍、以及维持成员长期参与的困难等。</w:t>
      </w:r>
    </w:p>
    <w:p w14:paraId="1B540AEC">
      <w:pPr>
        <w:pStyle w:val="4"/>
        <w:keepNext w:val="0"/>
        <w:keepLines w:val="0"/>
        <w:widowControl/>
        <w:suppressLineNumbers w:val="0"/>
        <w:spacing w:before="0" w:beforeAutospacing="1" w:after="0" w:afterAutospacing="1"/>
        <w:ind w:left="0" w:right="0" w:firstLine="480" w:firstLineChars="200"/>
      </w:pPr>
      <w:r>
        <w:t>对全球能源转型而言，德国能源公社模式最重要的启示或许在于：成功的能源转型不仅是技术和经济的转变，更是社会关系和治理方式的革新。当能源生产重新根植于社区，它带来的不仅是更清洁的电力，还包括更紧密的社会纽带、更公平的价值分配以及更可持续的生活方式。这种"能源地方主义"并不排斥现代能源系统的规模化和专业化，而是寻求全球化与本地化之间的创造性平衡。</w:t>
      </w:r>
    </w:p>
    <w:p w14:paraId="194F87E9">
      <w:pPr>
        <w:pStyle w:val="4"/>
        <w:keepNext w:val="0"/>
        <w:keepLines w:val="0"/>
        <w:widowControl/>
        <w:suppressLineNumbers w:val="0"/>
        <w:spacing w:before="0" w:beforeAutospacing="1" w:after="0" w:afterAutospacing="1"/>
        <w:ind w:left="0" w:right="0" w:firstLine="480" w:firstLineChars="200"/>
      </w:pPr>
      <w:r>
        <w:t>中国和其他正在推进能源转型的国家可以从德国经验中汲取灵感，但必须发展出适应自身制度文化背景的社区能源模式。未来的全球能源图景很可能不是单一模式的普遍复制，而是多元模式的共存与互学。在这个意义上，德国能源公社既是具体的解决方案，也是更广泛社会创新的催化剂—它提醒我们，应对气候危机不仅需要更好的技术，还需要更好的民主；不仅需要更高效的能源系统，还需要更包容的能源社会。</w:t>
      </w:r>
    </w:p>
    <w:p w14:paraId="5D091FFD">
      <w:pPr>
        <w:pStyle w:val="4"/>
        <w:keepNext w:val="0"/>
        <w:keepLines w:val="0"/>
        <w:widowControl/>
        <w:suppressLineNumbers w:val="0"/>
        <w:spacing w:before="0" w:beforeAutospacing="1" w:after="0" w:afterAutospacing="1"/>
        <w:ind w:left="0" w:right="0" w:firstLine="480" w:firstLineChars="200"/>
      </w:pPr>
    </w:p>
    <w:p w14:paraId="60DC0EE2">
      <w:pPr>
        <w:jc w:val="center"/>
        <w:rPr>
          <w:rFonts w:hint="eastAsia" w:ascii="宋体" w:hAnsi="宋体" w:eastAsia="宋体" w:cs="宋体"/>
          <w:b/>
          <w:bCs/>
          <w:sz w:val="24"/>
          <w:szCs w:val="24"/>
        </w:rPr>
      </w:pPr>
      <w:r>
        <w:rPr>
          <w:rFonts w:hint="eastAsia" w:ascii="宋体" w:hAnsi="宋体" w:eastAsia="宋体" w:cs="宋体"/>
          <w:b/>
          <w:bCs/>
          <w:sz w:val="24"/>
          <w:szCs w:val="24"/>
        </w:rPr>
        <w:t>珍惜能源、善用资源，米诺国际与您一起解锁得分低能耗！</w:t>
      </w:r>
    </w:p>
    <w:p w14:paraId="586C17EC">
      <w:pPr>
        <w:jc w:val="center"/>
        <w:rPr>
          <w:rFonts w:hint="eastAsia" w:ascii="宋体" w:hAnsi="宋体" w:eastAsia="宋体" w:cs="宋体"/>
          <w:b/>
          <w:bCs/>
          <w:sz w:val="24"/>
          <w:szCs w:val="24"/>
        </w:rPr>
      </w:pPr>
    </w:p>
    <w:p w14:paraId="061766B8">
      <w:pPr>
        <w:ind w:firstLine="480" w:firstLineChars="200"/>
        <w:rPr>
          <w:rFonts w:hint="eastAsia" w:ascii="宋体" w:hAnsi="宋体" w:eastAsia="宋体" w:cs="宋体"/>
          <w:sz w:val="24"/>
          <w:szCs w:val="24"/>
        </w:rPr>
      </w:pPr>
      <w:r>
        <w:rPr>
          <w:rFonts w:hint="eastAsia" w:ascii="宋体" w:hAnsi="宋体" w:eastAsia="宋体" w:cs="宋体"/>
          <w:sz w:val="24"/>
          <w:szCs w:val="24"/>
        </w:rPr>
        <w:t>米诺国际源自全球领先的欧洲能源服务商，自进入中国以来，主要从事能源管理和能源服务全领域，供应智慧供热、冷热计量和调控系统等全套软硬件设备，能够提供成熟的综合能源服务、能耗节约整体解决方案，依托专业技术，提供热平衡/水力平衡调节、节能改造、能耗分析、数据交换等能源数据管理技术服务、能耗分摊计费、账单结算和客户缴费等服务。</w:t>
      </w:r>
    </w:p>
    <w:p w14:paraId="6D5BC10F">
      <w:pPr>
        <w:ind w:firstLine="480" w:firstLineChars="200"/>
        <w:rPr>
          <w:rFonts w:hint="eastAsia" w:ascii="宋体" w:hAnsi="宋体" w:eastAsia="宋体" w:cs="宋体"/>
          <w:sz w:val="24"/>
          <w:szCs w:val="24"/>
        </w:rPr>
      </w:pPr>
      <w:r>
        <w:rPr>
          <w:rFonts w:hint="eastAsia" w:ascii="宋体" w:hAnsi="宋体" w:eastAsia="宋体" w:cs="宋体"/>
          <w:sz w:val="24"/>
          <w:szCs w:val="24"/>
        </w:rPr>
        <w:t>米诺国际作为冷热源系统节能和托管运营服务的行业专家，致力于为供热企业实施节能改造提供诊断、设计、融资、改造、运营管理等服务，以及能源站节能改造和智慧升级等项目的实施，开展各类节能审计服务，为大型公共、商业建筑和居住建筑提供能源托管运营服务。</w:t>
      </w:r>
    </w:p>
    <w:p w14:paraId="3413DD98">
      <w:pPr>
        <w:ind w:firstLine="480" w:firstLineChars="200"/>
        <w:rPr>
          <w:rFonts w:hint="eastAsia" w:ascii="宋体" w:hAnsi="宋体" w:eastAsia="宋体" w:cs="宋体"/>
          <w:sz w:val="24"/>
          <w:szCs w:val="24"/>
        </w:rPr>
      </w:pPr>
      <w:r>
        <w:rPr>
          <w:rFonts w:hint="eastAsia" w:ascii="宋体" w:hAnsi="宋体" w:eastAsia="宋体" w:cs="宋体"/>
          <w:sz w:val="24"/>
          <w:szCs w:val="24"/>
        </w:rPr>
        <w:t>米诺国际长期以来积极响应政府号召，助力中国节能减排政策的实施推进，并多渠道、全方位与各行业公司建立战略联盟，组建多种合作模式，应对气候变化，推动绿色能源低碳发展。</w:t>
      </w:r>
    </w:p>
    <w:p w14:paraId="7C381955">
      <w:pPr>
        <w:ind w:firstLine="480" w:firstLineChars="200"/>
        <w:rPr>
          <w:rFonts w:hint="eastAsia" w:ascii="宋体" w:hAnsi="宋体" w:eastAsia="宋体" w:cs="宋体"/>
          <w:sz w:val="24"/>
          <w:szCs w:val="24"/>
        </w:rPr>
      </w:pPr>
    </w:p>
    <w:p w14:paraId="3F880DCA">
      <w:pPr>
        <w:jc w:val="center"/>
        <w:rPr>
          <w:rFonts w:hint="eastAsia" w:ascii="宋体" w:hAnsi="宋体" w:eastAsia="宋体" w:cs="宋体"/>
          <w:b/>
          <w:bCs/>
          <w:sz w:val="24"/>
          <w:szCs w:val="24"/>
        </w:rPr>
      </w:pPr>
      <w:r>
        <w:rPr>
          <w:rFonts w:hint="eastAsia" w:ascii="宋体" w:hAnsi="宋体" w:eastAsia="宋体" w:cs="宋体"/>
          <w:b/>
          <w:bCs/>
          <w:sz w:val="24"/>
          <w:szCs w:val="24"/>
        </w:rPr>
        <w:t>我们的优势</w:t>
      </w:r>
    </w:p>
    <w:p w14:paraId="7CD17C65">
      <w:pPr>
        <w:numPr>
          <w:ilvl w:val="0"/>
          <w:numId w:val="1"/>
        </w:numPr>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汇聚国内外优质的专家资源和技术团队，尤其在能源服务和运营管理上经验丰富；</w:t>
      </w:r>
    </w:p>
    <w:p w14:paraId="11221FB9">
      <w:pPr>
        <w:numPr>
          <w:ilvl w:val="0"/>
          <w:numId w:val="1"/>
        </w:numPr>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拥有自主知识产权的核心软件系统、冷热计量设备和行业领先的专业技术，保障能耗数据真实可靠；</w:t>
      </w:r>
    </w:p>
    <w:p w14:paraId="5FCF0B24">
      <w:pPr>
        <w:numPr>
          <w:ilvl w:val="0"/>
          <w:numId w:val="1"/>
        </w:numPr>
        <w:ind w:left="420" w:leftChars="0" w:hanging="420" w:firstLineChars="0"/>
        <w:rPr>
          <w:rFonts w:hint="eastAsia" w:ascii="宋体" w:hAnsi="宋体" w:eastAsia="宋体" w:cs="宋体"/>
          <w:sz w:val="24"/>
          <w:szCs w:val="24"/>
        </w:rPr>
      </w:pPr>
      <w:r>
        <w:rPr>
          <w:rFonts w:hint="eastAsia" w:ascii="宋体" w:hAnsi="宋体" w:eastAsia="宋体" w:cs="宋体"/>
          <w:sz w:val="24"/>
          <w:szCs w:val="24"/>
        </w:rPr>
        <w:t>团队工作认真负责、追求效率。秉持 “关注客户需求”的服务理念，从需求分析到项目执行，迅速响应、高效服务；</w:t>
      </w:r>
    </w:p>
    <w:p w14:paraId="6BDCB0F8">
      <w:pPr>
        <w:numPr>
          <w:ilvl w:val="0"/>
          <w:numId w:val="0"/>
        </w:numPr>
        <w:ind w:leftChars="0"/>
        <w:rPr>
          <w:rFonts w:hint="eastAsia" w:ascii="宋体" w:hAnsi="宋体" w:eastAsia="宋体" w:cs="宋体"/>
          <w:sz w:val="24"/>
          <w:szCs w:val="24"/>
        </w:rPr>
      </w:pPr>
    </w:p>
    <w:p w14:paraId="2779589A">
      <w:pPr>
        <w:pStyle w:val="4"/>
        <w:keepNext w:val="0"/>
        <w:keepLines w:val="0"/>
        <w:widowControl/>
        <w:suppressLineNumbers w:val="0"/>
        <w:spacing w:before="0" w:beforeAutospacing="1" w:after="0" w:afterAutospacing="1"/>
        <w:ind w:right="0"/>
      </w:pPr>
      <w:r>
        <w:rPr>
          <w:rFonts w:hint="eastAsia" w:ascii="宋体" w:hAnsi="宋体" w:eastAsia="宋体" w:cs="宋体"/>
          <w:b/>
          <w:bCs/>
          <w:sz w:val="24"/>
          <w:szCs w:val="24"/>
        </w:rPr>
        <w:t>一切皆可计量  All That Counts!</w:t>
      </w:r>
    </w:p>
    <w:p w14:paraId="2EA8718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C56D23"/>
    <w:multiLevelType w:val="singleLevel"/>
    <w:tmpl w:val="98C56D23"/>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C3645"/>
    <w:rsid w:val="44EC3645"/>
    <w:rsid w:val="66E747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rPr>
      <w:sz w:val="24"/>
    </w:rPr>
  </w:style>
  <w:style w:type="character" w:styleId="7">
    <w:name w:val="Emphasis"/>
    <w:basedOn w:val="6"/>
    <w:qFormat/>
    <w:uiPriority w:val="0"/>
    <w:rPr>
      <w: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2025-05-26T09:08:00Z</dcterms:created>
  <dc:creator>夏秋秋</dc:creator>
  <cp:lastModifiedBy>夏秋秋</cp:lastModifiedBy>
  <dcterms:modified xsi:type="dcterms:W3CDTF">2025-05-26T10:24:19Z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27ACCABA55C54BE886FDF2FE9AA66CCC_11</vt:lpwstr>
  </property>
  <property fmtid="{D5CDD505-2E9C-101B-9397-08002B2CF9AE}" pid="4" name="KSOTemplateDocerSaveRecord">
    <vt:lpwstr>eyJoZGlkIjoiZWViNmY1YTNjODg1MjE5N2E1MGFiMjRiNzMyYmUxY2IiLCJ1c2VySWQiOiIzMjIxNjY0NDEifQ==</vt:lpwstr>
  </property>
</Properties>
</file>