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6EAE30">
      <w:pPr>
        <w:jc w:val="center"/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零成本破解能效困局——双模式解锁企业能效跃升密码</w:t>
      </w:r>
    </w:p>
    <w:p w14:paraId="25517FB4">
      <w:pPr>
        <w:ind w:firstLine="560" w:firstLineChars="20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在“双碳”目标背景下，能源成本持续攀升与环保压力加剧的双重挑战，倒逼企业寻求更高效，更经济的能源管理模式，作为深耕能源服务领域多年的的专业品牌，米诺国际以创新性的合同能源管理（EMC）与BOT（建设-运营-移交）模式，为企业提供从能源诊断到运营托管的“一站式”解决方案，助力企业降本增效，实现绿色转型。</w:t>
      </w:r>
    </w:p>
    <w:p w14:paraId="73B029D3">
      <w:pPr>
        <w:jc w:val="left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一、合同能源管理（EMC）：让节能效益为改造买单</w:t>
      </w:r>
    </w:p>
    <w:p w14:paraId="424B9D6D">
      <w:pPr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“零投入、共享收益”的创新合作模式</w:t>
      </w:r>
    </w:p>
    <w:p w14:paraId="2E66CB11">
      <w:pPr>
        <w:ind w:firstLine="560" w:firstLineChars="20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传统节能改造面临初期投资大、技术风险高、管理成本重的三大难题。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米诺国际以EMC模式打破这一困局：企业无需承担任何前期资金压力，米诺国际全额垫付项目所需资金，涵盖能源审计、方案设计、设备采购、施工安装、运行维护等全流程服务。双方通过合同约定节能目标，项目完成后，企业仅需按实际节能效益的一定比例与米诺国际分成，合同期满后，全部节能设备及收益归企业所有。</w:t>
      </w:r>
    </w:p>
    <w:p w14:paraId="27E5CEEA">
      <w:pPr>
        <w:ind w:firstLine="420" w:firstLineChars="200"/>
        <w:jc w:val="both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4657090" cy="2406015"/>
            <wp:effectExtent l="0" t="0" r="6350" b="190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7090" cy="240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1C5403">
      <w:pPr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四大核心优势，破解节能改造痛点</w:t>
      </w:r>
    </w:p>
    <w:p w14:paraId="41A5845F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零投资风险：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企业无需抵押资产或承担债务，即可享受节能技术升级。</w:t>
      </w:r>
    </w:p>
    <w:p w14:paraId="66B50EAE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短周期回报：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已实施项目平均投资回收期仅1-3年，快速进入净收益阶段。</w:t>
      </w:r>
    </w:p>
    <w:p w14:paraId="08CDEBF8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专业化托管：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米诺国际团队提供从能源诊断到运维管理的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全流程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服务，企业无需组建专业团队。</w:t>
      </w:r>
    </w:p>
    <w:p w14:paraId="37C8E91D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技术保障：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采用自主知识产权的热力控制体系、二级水网平衡系统及智能终端监控技术，确保节能效果可视化、可量化。</w:t>
      </w:r>
    </w:p>
    <w:p w14:paraId="750953C6">
      <w:p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二、BOT模式：全周期专业托管，资产保值增值</w:t>
      </w:r>
    </w:p>
    <w:p w14:paraId="226ECF4A">
      <w:pPr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从“重资产投入”到“轻资产运营”</w:t>
      </w:r>
    </w:p>
    <w:p w14:paraId="383385B6">
      <w:pPr>
        <w:ind w:firstLine="560" w:firstLineChars="200"/>
        <w:jc w:val="both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针对新建或存量锅炉房、制冷机房，米诺国际推出BOT模式：企业授予米诺国际特许经营权，由其负责全额投资、建设、运营及维护。运营期内，米诺国际通过收取供暖/制冷费用实现收益，并承担全部运营风险；特许期满后，设备设施无偿移交企业，确保资产增值。</w:t>
      </w:r>
    </w:p>
    <w:p w14:paraId="062073D7">
      <w:pPr>
        <w:ind w:firstLine="562" w:firstLineChars="2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三重价值赋能，释放管理效能</w:t>
      </w:r>
    </w:p>
    <w:p w14:paraId="411C941A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1、</w:t>
      </w:r>
      <w:r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资金解压：</w:t>
      </w:r>
      <w:r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企业无需动用自有资金，即可获得最新节能设备和技术支持。</w:t>
      </w:r>
    </w:p>
    <w:p w14:paraId="7CBBA7A2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效率提升：</w:t>
      </w:r>
      <w:r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专业团队运营降低故障率，提升系统稳定性，延长设备寿命。</w:t>
      </w:r>
    </w:p>
    <w:p w14:paraId="39D01923">
      <w:pPr>
        <w:ind w:firstLine="562" w:firstLineChars="200"/>
        <w:jc w:val="both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风险转移：</w:t>
      </w:r>
      <w:r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市场波动、技术迭代等风险由服务商承担，企业聚焦核心业务。</w:t>
      </w:r>
    </w:p>
    <w:p w14:paraId="56AB2D28">
      <w:pPr>
        <w:jc w:val="center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drawing>
          <wp:inline distT="0" distB="0" distL="114300" distR="114300">
            <wp:extent cx="5459095" cy="6195695"/>
            <wp:effectExtent l="0" t="0" r="12065" b="698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9095" cy="619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92ECF">
      <w:pPr>
        <w:jc w:val="left"/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  <w:t>、合作流程：六步实现能效跃迁</w:t>
      </w:r>
    </w:p>
    <w:p w14:paraId="3DBED565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能源审计：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72小时快速诊断，出具定制化改造方案。</w:t>
      </w:r>
    </w:p>
    <w:p w14:paraId="7767CE2C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合同签署：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明确节能目标、收益分成比例及验收标准。</w:t>
      </w:r>
    </w:p>
    <w:p w14:paraId="257E0CA5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3、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项目实施：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EPC总承包模式，确保工期、质量双可控。</w:t>
      </w:r>
    </w:p>
    <w:p w14:paraId="038B0A12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4、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运维托管：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智能监控+线下巡检，双重保障运行稳定。</w:t>
      </w:r>
    </w:p>
    <w:p w14:paraId="26E742F8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5、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效益分成：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第三方机构验证节能量，收益透明分配。</w:t>
      </w:r>
    </w:p>
    <w:p w14:paraId="7747EB52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6、</w:t>
      </w:r>
      <w:r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  <w:t>资产移交：</w:t>
      </w:r>
      <w:r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  <w:t>合同期满无缝过渡，企业独享长期收益。</w:t>
      </w:r>
    </w:p>
    <w:p w14:paraId="6AABA3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168" w:beforeAutospacing="0" w:after="96" w:afterAutospacing="0" w:line="20" w:lineRule="atLeast"/>
        <w:ind w:left="0" w:right="0" w:firstLine="0"/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default" w:ascii="微软雅黑" w:hAnsi="微软雅黑" w:eastAsia="微软雅黑" w:cs="微软雅黑"/>
          <w:b/>
          <w:bCs/>
          <w:kern w:val="2"/>
          <w:sz w:val="32"/>
          <w:szCs w:val="32"/>
          <w:lang w:val="en-US" w:eastAsia="zh-CN" w:bidi="ar-SA"/>
        </w:rPr>
        <w:t>结语：携手米诺，共启绿色未来</w:t>
      </w:r>
    </w:p>
    <w:p w14:paraId="443C341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spacing w:before="0" w:beforeAutospacing="0" w:after="0" w:afterAutospacing="0" w:line="20" w:lineRule="atLeast"/>
        <w:ind w:left="0" w:right="0" w:firstLine="560" w:firstLineChars="200"/>
        <w:rPr>
          <w:rFonts w:hint="default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default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在能源价格高企与低碳转型的双重驱动下，选择专业的能源服务合作伙伴已成为企业降本增效的必答题。米诺国际以EMC与BOT模式为核心，凭借技术实力、数据驱动和生态化服务，为企业提供覆盖能</w:t>
      </w:r>
      <w:r>
        <w:rPr>
          <w:rFonts w:hint="default" w:ascii="宋体" w:hAnsi="宋体" w:eastAsia="宋体" w:cs="宋体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源系统全周期管理的定制化解决方案。不仅助力企业破解当前的成本困局，更推动能源结构向绿色智慧化转型，实现可持续发展目标的稳健落地</w:t>
      </w:r>
      <w:r>
        <w:rPr>
          <w:rFonts w:hint="default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。</w:t>
      </w:r>
    </w:p>
    <w:p w14:paraId="007C4850">
      <w:pPr>
        <w:ind w:firstLine="560" w:firstLineChars="200"/>
        <w:jc w:val="both"/>
        <w:rPr>
          <w:rFonts w:hint="default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 w14:paraId="5EB4E733">
      <w:pPr>
        <w:ind w:firstLine="562" w:firstLineChars="200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C9256B"/>
    <w:rsid w:val="07C9256B"/>
    <w:rsid w:val="4F95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571</Words>
  <Characters>581</Characters>
  <Lines>0</Lines>
  <Paragraphs>0</Paragraphs>
  <TotalTime>90</TotalTime>
  <ScaleCrop>false</ScaleCrop>
  <LinksUpToDate>false</LinksUpToDate>
  <CharactersWithSpaces>581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2025-04-21T08:03:00Z</dcterms:created>
  <dc:creator>^_^世界我最大</dc:creator>
  <cp:lastModifiedBy>^_^世界我最大</cp:lastModifiedBy>
  <dcterms:modified xsi:type="dcterms:W3CDTF">2025-04-22T08:47:08Z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FA32D025472249D1BFD6240154AE752D_11</vt:lpwstr>
  </property>
  <property fmtid="{D5CDD505-2E9C-101B-9397-08002B2CF9AE}" pid="4" name="KSOTemplateDocerSaveRecord">
    <vt:lpwstr>eyJoZGlkIjoiNjM3OTg5ODkxZTU1N2Y5MDU1NTMyODQ5MTcxMmQ1ZjEiLCJ1c2VySWQiOiIyOTcyMDMwNjEifQ==</vt:lpwstr>
  </property>
</Properties>
</file>