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lang w:val="en-US" w:eastAsia="zh-CN"/>
        </w:rPr>
        <w:t>绿氨建设项目</w:t>
      </w:r>
      <w:r>
        <w:rPr>
          <w:rFonts w:hint="eastAsia" w:ascii="仿宋" w:hAnsi="仿宋" w:eastAsia="仿宋" w:cs="仿宋"/>
          <w:b/>
          <w:bCs/>
          <w:color w:val="000000"/>
          <w:sz w:val="44"/>
          <w:szCs w:val="44"/>
        </w:rPr>
        <w:t>可行性研究报告</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1E657D8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结合当地的实际情况，科学规划、合理布局。按照构建上下游一体化，做大做强主导产业链原则按区域划分，重点打造三大主导产业：氟化工产业和氯碱产业及绿色化工产业。其中绿色化工产业依托绿电园区风、光、生物质能等可再生能源电力消费和原料用能不纳入能耗总量政策电价优势，以引进绿电纳类、高耗能类项目，形成绿色循环效益、产业协作链。本项目建设，通过绿电消纳，实现了一个较为完整的循环利用链。液氨为其他下游企业提供了原料，实现了下游产业延链强链补链的需求。</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330B2DD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我国经济已在世界经济中占据了举足轻重的地位，同时也成为温室气体排放的大国，作为一个负责任的大国，我国持续参与全球气候改善的各项行动和计划，同时也不断用实际行动践行二氧化碳减排的减排行动。从 2020 年 9月开始，国家持续制定和实施了以“二氧化碳”为主的温室气体排放的双碳政策——“碳达峰、碳中和”政策。随着双碳政策的深入执行，在政策层面上出现了关于能源消耗的双控制度，即按省、自治区、直辖市行政区域设定“能源消费总量”和“能源消费强度”的控制目标，并对各级地方政府进行监督考核。把节能指标纳入生态文明、绿色发展等绩效评价指标体系，引导转变发展理念。</w:t>
      </w:r>
    </w:p>
    <w:p w14:paraId="1DF0A38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传统的合成氨工艺主要依赖于化石燃料，导致大量的二氧化碳排放。随着全球对碳达峰和碳中和目标的追求，绿氨作为一种使用可再生能源生产的清洁能源，逐渐受到重视。绿氨的生产过程通过电解水制氢和空气分离制氮，再通过哈伯-波施法合成氨，实现了大量脱碳。虽然绿氨生产成本较高，但随着技术的进步和规模化生产，其经济性逐渐显现。对比传统的煤制氨和天然气制氨，绿氨在可再生能源成本较低的地区更具竞争力。未来，随着碳税的增加，绿氨的经济性将进一步凸显。市场方面，绿氨不仅在化肥领域有广泛应用，未来在工业和储能领域的需求也将大幅增加。</w:t>
      </w:r>
    </w:p>
    <w:p w14:paraId="42CA0FD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各国政府和国际组织积极推动绿氨产业的发展。中国、欧洲等地都有相关的政策和项目支持绿氨的生产和应用。国内多家企业也在积极布局风光电氢氨一体化项目，绿氨项目主要分布在可再生资源丰富的地区。目前，绿氨的生产技术已经相对成熟，液氨的储存和运输也有完善的配套设施。绿氨作为氢能的载体，在大规模长距离运输方面具有安全、高效的优点。随着技术的进步，绿氨的生产将更加模块化和小型化具有广阔的发展前景。</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3、项目建设的发展前景</w:t>
      </w:r>
    </w:p>
    <w:p w14:paraId="0BE64B4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国家政策的强力推动下，绿色低碳能源产业迎来了前所未有的发展机遇。绿氨，作为氢能源的一种高效存储和运输形式，其在能源领域的应用前景被广泛看好。2022年全球合成氨产能达到2.25亿吨/年，产量为1.82亿吨，装置平均产能利用率为80.9%。全球合成氨产能主要集中在中国、俄罗斯、美国、印度和欧洲地区，产能合计占比超过三分之二。其中，中国合成氨产能6760万吨/年，产量6101万吨，装置平均产能利用率为90.3%。截至2023年9月，全球已布局超过60个绿氨项目，规划总产能超过3500万吨/年。海外绿氨项目主要分布在澳大利亚、南美、欧洲和中东。</w:t>
      </w:r>
    </w:p>
    <w:p w14:paraId="1FDE1A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绿氨下游应用主要包括车船燃料、储氢载体、燃料发电以及化工原料四个方面。国际能源署发布的2050年净零排放路线图研究报告指出，至2050年，全球氢能需求量将增长至5.28亿吨，约60%来自于电解水制氢，占全球电力供应的20%。同时，将会有超过30%的氢气用于合成氨和燃料。未来，氨不仅用于氮肥与化工原料，还将作为能源燃料，满足全球航运能源需求的45%，并与一氧化碳掺烧，实现二氧化碳减排。全球每年将投入超过140亿美元用于氨的生产，其中，80%采用接近零排放的生产路线。根据毕马威发布的报告，预测到2030年，全球绿氨市场规模将达到54.8亿美元。</w:t>
      </w:r>
    </w:p>
    <w:p w14:paraId="7FBFDE2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统计数据显示，中国电力企业每年消耗的煤炭量已超过20亿吨，若其中10%转为掺烧合成绿氨使用，将产生超过2亿吨的煤炭替代需求，按热值换算，这相当于需要3.2亿吨以上的绿氨，如此庞大的市场需求，前瞻布局的辉丰不论是氨的产能还是储运都有巨大的先发优势。然而，全球氨产能在2023年仅为1.939亿吨，远远无法满足如此庞大的需求。这预示着，绿氨项目将成为未来能源市场的一颗璀璨明星，而中国绿氨产业的发展速度将决定其在全球能源转型中的角色和地位。在行业层面，各项目也在紧锣密鼓的上马。截至2024年6月底，国内绿氨项目的规划产能已超过1188万吨，涵盖签约、规划、备案、在建和建成等多个阶段。值得注意的是，绿氨项目开工率已从2023年底的10%迅速提升至28%，显示出行业对绿氨需求的快速响应和产能建设的加速推进。</w:t>
      </w:r>
    </w:p>
    <w:p w14:paraId="652B13C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在“双碳”背景下，绿氨作为一种“零碳”能源优势明显，为构建多元化清洁能源供应体系提供了新的解决方案，具有广阔的发展潜力。</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4、项目建设产生的社会效益</w:t>
      </w:r>
    </w:p>
    <w:p w14:paraId="579A2AF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首先，绿氨生产建设项目有助于促进能源转型和减少碳排放。绿氨生产以可再生能源为基础，通过电解水制氢和空气分离制氮再通过哈伯-博施法合成氨，全程实现“零碳”排放。这种生产方式不仅减少了对化石燃料的依赖，还有助于实现碳达峰和碳中和目标，对应对气候变化具有积极作用。</w:t>
      </w:r>
    </w:p>
    <w:p w14:paraId="59A2DD6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其次，绿氨生产建设项目能够推动地方经济发展。项目建成后将带动当地化工、电力等相关产业的发展，增加税收和就业机会。此外，绿氨作为一种高附加值的化学品，其生产和销售将进一步促进地方经济的增长。</w:t>
      </w:r>
    </w:p>
    <w:p w14:paraId="57E6D01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最后，绿氨生产建设项目还能增加就业机会和提高技术水平。随着项目的实施，需要建设空分装置、制氨车间、公用工程部分等设施，这将直接创造大量的施工和运营岗位，缓解当地就业压力。同时，项目的建设和运营将推动相关技术的进步和创新，提升地方的整体技术水平。</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bookmarkStart w:id="0" w:name="_GoBack"/>
      <w:bookmarkEnd w:id="0"/>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3924D42"/>
    <w:rsid w:val="05DC4B7A"/>
    <w:rsid w:val="07C67876"/>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6803E9"/>
    <w:rsid w:val="1783759C"/>
    <w:rsid w:val="17D35235"/>
    <w:rsid w:val="180B049B"/>
    <w:rsid w:val="187B50E8"/>
    <w:rsid w:val="18CE7285"/>
    <w:rsid w:val="19461C80"/>
    <w:rsid w:val="19565959"/>
    <w:rsid w:val="19656A5A"/>
    <w:rsid w:val="19B45BCA"/>
    <w:rsid w:val="19C73562"/>
    <w:rsid w:val="1A2D7A1F"/>
    <w:rsid w:val="1AAF3791"/>
    <w:rsid w:val="1ABE3864"/>
    <w:rsid w:val="1B415C44"/>
    <w:rsid w:val="1C442E6B"/>
    <w:rsid w:val="1D525FA2"/>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AB31738"/>
    <w:rsid w:val="3B3726E2"/>
    <w:rsid w:val="3B742860"/>
    <w:rsid w:val="3C087AF1"/>
    <w:rsid w:val="3D8C6ADA"/>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6FC86C57"/>
    <w:rsid w:val="700F1FCA"/>
    <w:rsid w:val="70FA499F"/>
    <w:rsid w:val="71153B87"/>
    <w:rsid w:val="71441E53"/>
    <w:rsid w:val="72534367"/>
    <w:rsid w:val="729C0B15"/>
    <w:rsid w:val="72E53B61"/>
    <w:rsid w:val="73092C77"/>
    <w:rsid w:val="738549F4"/>
    <w:rsid w:val="742455FA"/>
    <w:rsid w:val="75D51537"/>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2326</Words>
  <Characters>2414</Characters>
  <Lines>0</Lines>
  <Paragraphs>0</Paragraphs>
  <TotalTime>102</TotalTime>
  <ScaleCrop>false</ScaleCrop>
  <LinksUpToDate>false</LinksUpToDate>
  <CharactersWithSpaces>2417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2024-10-11T09:24:24Z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