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32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4"/>
        <w:jc w:val="center"/>
        <w:textAlignment w:val="auto"/>
        <w:rPr>
          <w:rFonts w:hint="eastAsia" w:ascii="仿宋" w:hAnsi="仿宋" w:eastAsia="仿宋"/>
          <w:b/>
          <w:color w:val="000000"/>
          <w:sz w:val="48"/>
          <w:szCs w:val="48"/>
        </w:rPr>
      </w:pPr>
      <w:r>
        <w:rPr>
          <w:color w:val="000000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-1174750</wp:posOffset>
            </wp:positionH>
            <wp:positionV relativeFrom="paragraph">
              <wp:posOffset>-1456055</wp:posOffset>
            </wp:positionV>
            <wp:extent cx="7809865" cy="11497945"/>
            <wp:effectExtent l="0" t="0" r="635" b="825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09865" cy="1149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A22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color w:val="000000"/>
          <w:sz w:val="52"/>
          <w:szCs w:val="52"/>
          <w:lang w:val="en-US" w:eastAsia="zh-CN"/>
        </w:rPr>
      </w:pPr>
    </w:p>
    <w:p w14:paraId="45988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color w:val="000000"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海上风电项目可行性研究报告-各省持续推动海风建设，24年建设有望加速</w:t>
      </w:r>
      <w:bookmarkStart w:id="0" w:name="_GoBack"/>
      <w:bookmarkEnd w:id="0"/>
    </w:p>
    <w:p w14:paraId="43403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/>
          <w:b/>
          <w:color w:val="000000"/>
          <w:sz w:val="52"/>
          <w:szCs w:val="52"/>
        </w:rPr>
      </w:pPr>
    </w:p>
    <w:p w14:paraId="51A38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B650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8A01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5CA4C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352CB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5D40C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FA01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0830E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6F09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D850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9FBE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190D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09AF6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40204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32C0D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6898F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0BCA6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61C3FFA0">
      <w:pPr>
        <w:ind w:firstLine="723" w:firstLineChars="200"/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编制单位：北京智博睿</w:t>
      </w:r>
      <w:r>
        <w:rPr>
          <w:rFonts w:hint="eastAsia" w:ascii="仿宋" w:hAnsi="仿宋" w:eastAsia="仿宋"/>
          <w:b/>
          <w:color w:val="000000"/>
          <w:sz w:val="36"/>
          <w:szCs w:val="36"/>
          <w:lang w:val="en-US" w:eastAsia="zh-CN"/>
        </w:rPr>
        <w:t>项目管理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>有限公司</w:t>
      </w:r>
    </w:p>
    <w:p w14:paraId="150F62DF">
      <w:pPr>
        <w:ind w:firstLine="562" w:firstLineChars="200"/>
        <w:jc w:val="center"/>
        <w:outlineLvl w:val="9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3478032C">
      <w:pPr>
        <w:ind w:firstLine="562" w:firstLineChars="200"/>
        <w:jc w:val="center"/>
        <w:outlineLvl w:val="9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029DA663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1、新项目持续释放，24-25年装机有望加速</w:t>
      </w:r>
    </w:p>
    <w:p w14:paraId="4D54A29B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政策规划角度：“十四五”海风规划容量近60GW，24-25年海风装机需达到30GW。根据沿海各省发布“十四五”可再生能源发展规划及相关政策，各省“十四五”海风新增装机规划合计在58GW，考虑到21-23年，国内海上风电并网量约为17、5、7GW，对应则24-25年装机需达到30GW才能完成规划目标。</w:t>
      </w:r>
    </w:p>
    <w:p w14:paraId="6F092F27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沿海各省“十四五”海上风电装机规划（GW）</w:t>
      </w:r>
    </w:p>
    <w:p w14:paraId="6BBB0D8B">
      <w:pPr>
        <w:ind w:firstLine="420" w:firstLineChars="200"/>
        <w:jc w:val="both"/>
        <w:outlineLvl w:val="9"/>
      </w:pPr>
      <w:r>
        <w:drawing>
          <wp:inline distT="0" distB="0" distL="114300" distR="114300">
            <wp:extent cx="5266055" cy="2211070"/>
            <wp:effectExtent l="0" t="0" r="10795" b="177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CBEEB">
      <w:pPr>
        <w:ind w:firstLine="420" w:firstLineChars="200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671830"/>
            <wp:effectExtent l="0" t="0" r="4445" b="139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7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66209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1.1广东：24年海风重点项目33GW，其中开工项目有望达6.15GW</w:t>
      </w:r>
    </w:p>
    <w:p w14:paraId="4AADE556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广东发改委发布的《广东省2024重点项目计划图解》，2024年广东合计安排重点海风项目33GW，其中包括正式项目7.3GW，预备项目25GW。正式项目中，除青州二、汕头勒门等已并网项目外，仍有包括青州五六七、帆石一二等在建/待建项目，合计规模6.15GW，这些项目建设截止时间均为2025年，此外考虑到广东新一批竞配项目最快也有望在24年开工，25年进入主体建设阶段，24-25年广东或将迎来明显的海风抢装期。</w:t>
      </w:r>
    </w:p>
    <w:p w14:paraId="20E3BC13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广东2024年重点海风项目情况</w:t>
      </w:r>
    </w:p>
    <w:p w14:paraId="7367F9A7">
      <w:pPr>
        <w:ind w:firstLine="420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3675" cy="2023110"/>
            <wp:effectExtent l="0" t="0" r="3175" b="152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2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86587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1.2浙江：新增核准/竞配项目超7GW，24年重点项目2.5GW</w:t>
      </w:r>
    </w:p>
    <w:p w14:paraId="4DCBD41B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风芒能源，24年初，浙江“十四五”海上风电规划获批复，包括省管海风项目850万千瓦，国管海风项目800万千瓦，并且要求25年底前省管、国管项目分别并网200万千瓦。3月2日，浙江省发改委发布2024年重大建设项目，包含8个海风项目合计2.5GW，考虑到2022年底以来，浙江加速推动海风项目核准与竞配，合计规模约7GW，其中已核准部分项目将是24-25年建设主力，有望带动浙江海风开工景气度的显著回升。</w:t>
      </w:r>
    </w:p>
    <w:p w14:paraId="31DD4841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浙江海风项目核准/竞配情况</w:t>
      </w:r>
    </w:p>
    <w:p w14:paraId="2BA41B08">
      <w:pPr>
        <w:ind w:firstLine="420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0500" cy="3918585"/>
            <wp:effectExtent l="0" t="0" r="635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1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3CD30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1.3福建：24年海风重点项目涵盖4.85GW</w:t>
      </w:r>
    </w:p>
    <w:p w14:paraId="5078E056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根据福建发改委发布的《关于印发2024年度省重点项目名单的通知》，福建共安排10个海上风电重点项目，合计4.85GW，其中包含4个在建项目，合计1.7GW，以及6个预备项目，合计3.15GW。</w:t>
      </w:r>
    </w:p>
    <w:p w14:paraId="1459A696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福建2024年重点海风项目情况</w:t>
      </w:r>
    </w:p>
    <w:p w14:paraId="664F142D">
      <w:pPr>
        <w:ind w:firstLine="420" w:firstLineChars="200"/>
        <w:jc w:val="both"/>
        <w:outlineLvl w:val="9"/>
      </w:pPr>
      <w:r>
        <w:drawing>
          <wp:inline distT="0" distB="0" distL="114300" distR="114300">
            <wp:extent cx="5268595" cy="1318895"/>
            <wp:effectExtent l="0" t="0" r="8255" b="146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6B6C8">
      <w:pPr>
        <w:ind w:firstLine="420" w:firstLineChars="200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1387475"/>
            <wp:effectExtent l="0" t="0" r="4445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EB3DA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1.4江苏：加快推动一批次竞配项目建设</w:t>
      </w:r>
    </w:p>
    <w:p w14:paraId="1B5F24D6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盐城市政府发布的《关于盐城市海洋经济高质量发展三年行动计划（2024-2026年）》，盐城将加快推动已竞配的265万千瓦海上风电项目建设，其中龙源射阳1GW项目要求建设时间为2023-2025年，国信大丰850MW以及三峡大丰800MW项目要求建设时间为2023-2024年。此外，国信大丰850MW项目4月启动主机招标，项目要求2024年6月开工，风机将在2024年7月正式启动交付，预计江苏一批次项目均有望在年中启动建设。</w:t>
      </w:r>
    </w:p>
    <w:p w14:paraId="2D0ACD1A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江苏海风项目建设节奏情况</w:t>
      </w:r>
    </w:p>
    <w:p w14:paraId="04710913">
      <w:pPr>
        <w:ind w:firstLine="420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6055" cy="786130"/>
            <wp:effectExtent l="0" t="0" r="10795" b="139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8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07E91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1.5山东：24年重点海风项目3.36GW，24年内并网1.5GW</w:t>
      </w:r>
    </w:p>
    <w:p w14:paraId="4FE07920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年1月12日，山东省人民政府发布《关于下达2024年省重大项目名单的通知》，包含半岛北BW、国华半岛南U2、渤中G、半岛北N2、半岛南U场址等五个海风项目，合计3.36GW。4月24日，山东省政府进一步指出24年底前将建成渤中G一期、半岛南U1二期、半岛北BW等重点项目，合计规模1.5GW。22-23年山东新增海风并网规模分别为2、2.11GW，占当年国内新增并网的40%、31%，居全国首位。</w:t>
      </w:r>
    </w:p>
    <w:p w14:paraId="7B89F3CB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山东2024年重点海风项目情况</w:t>
      </w:r>
    </w:p>
    <w:p w14:paraId="4C5DBA09">
      <w:pPr>
        <w:ind w:firstLine="420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7325" cy="1316990"/>
            <wp:effectExtent l="0" t="0" r="9525" b="165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42A07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1.6海南：海风规划提升至24.9GW，项目加速开工</w:t>
      </w:r>
    </w:p>
    <w:p w14:paraId="72105BD1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海南发改委发布的《海南省海上风电场工程规划（修编）》环境影响评价第一次公示，海南省海风场址由11个增加至18个，容量由12.3GW提升至24.9GW。2024年，海南重大项目中包含6个海风项目合计6.5GW，以及1个预备重大项目万宁1GW漂浮式试验项目。24年初以来，可以看到CZ1~CZ3三个项目陆续进入主要施工阶段，有望带动海南海风并网实现突破。</w:t>
      </w:r>
    </w:p>
    <w:p w14:paraId="0A35CA95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海南2024年重大海风项目情况</w:t>
      </w:r>
    </w:p>
    <w:p w14:paraId="54BEAAE6">
      <w:pPr>
        <w:ind w:firstLine="420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2405" cy="1955800"/>
            <wp:effectExtent l="0" t="0" r="4445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A0C51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1.7河北：“十四五”规划获批，要求25年前并网1.6GW</w:t>
      </w:r>
    </w:p>
    <w:p w14:paraId="5132E410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风芒能源，24年初河北省“十四五”海上风电规划获批，包括省管海风项目180万千瓦（秦皇岛50万千瓦，唐山130万千瓦），国管海风项目550万千瓦，政策要求2025年前省管并网60万千瓦，国管并网100万千瓦。今年以来河北海风项目也是陆续出现催化，唐山乐亭月坨岛项目2月主机中标公示，山海关海上风电一期项目在3月迎来核准，随着海风规划审批的落地，预计河北海风项目进展有望加速。</w:t>
      </w:r>
    </w:p>
    <w:p w14:paraId="4DB0DB80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2、深远海规划即将落地，打开海风成长空间</w:t>
      </w:r>
    </w:p>
    <w:p w14:paraId="7C92A3E5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深远海海风开发方面，国家支持推动GW级平价示范项目。23年10月18日，国家能源局发布《关于组织开展可再生能源发展试点示范的通知》，其中提出支持大容量风电机组由近（海）及远（海）应用，并支持深远海海上风电平价示范，要求项目单体规模在1GW+。此前，国家能源局相关领导曾表示将出台《深远海海上风电管理办法》，正式启动海上风电在国管海域的开发，同时国家能源局也委托水电总院牵头开展全国深远海海上风电规划，共布局41个海上风电集群，预计总容量290GW。</w:t>
      </w:r>
    </w:p>
    <w:p w14:paraId="7554BFA4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广东启动8+8GW深远海项目竞配：《广东省2023年海上风电项目竞争配置工作方案》中包括15个国管海域预选项目，共计16GW，包括汕头5GW、汕尾4GW、揭阳4GW、潮州3GW，全部集中在粤东区域，后续会在16GW项目中优选8GW作为开展前期工作的示范项目。</w:t>
      </w:r>
    </w:p>
    <w:p w14:paraId="2762DFB2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江苏发布5.8GW深远海场址前期工作招标：2023年8月17日，江苏省政府印发《江苏省海洋产业发展行动方案》，提出稳妥推进深远海风电试点应用，之后中国电建发布五个深远海场址（合计5.8GW）前期工作工程咨询项目招标，江苏作为国内海风发展最成熟的区域之一，深远海领域的拓展有望加速。</w:t>
      </w:r>
    </w:p>
    <w:p w14:paraId="0BCC8B00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广西：开启深远海海风前期工作，涉及容量共13.4GW：广西广投海上风电开发有限责任公司发布广西深远海海上风电标段Ⅰ、标段Ⅱ前期工作咨询服务项目招标公告，项目位于北部湾海域，标段I规划装机总容量约6.9GW，标段II规划装机6.5GW，分析论证内容包括深远海场址的数据观测与外业调查、军事敏感因素排查论证、航道及通航条件影响分析、海缆路由及送出通道选址及论证等前期工作。</w:t>
      </w:r>
    </w:p>
    <w:p w14:paraId="3C1E8691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上海：2024年启动4.3GW国管+1.5GW市管海风项目竞配。24年3月20日，上海市发改委公布《上海市2024年度海上风电项目竞争配置工作方案》，其中包括两个市管海风项目（横沙一期650MW、崇明一期850MW），以及四个深远海国管项目，深远海项目要求在2027年6月底前实现全容量并网，并服从统一直流工程规划。</w:t>
      </w:r>
    </w:p>
    <w:p w14:paraId="23EDAD88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3、海外风电：装机需求持续高增，国内产业链有望加速出海</w:t>
      </w:r>
    </w:p>
    <w:p w14:paraId="452E92A3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2023年新增装机116.6GW，同比增长50%。根据全球风能理事会（GWEC）发布的《Global Wind Report 2024》，2023年全球新增风电装机116.6GW，同比增长50%，其中陆风新增装机105.8GW，同比增长54%，海风新增装机10.8GW，同比增长23%，主要增量由中国市场贡献，美国、欧洲装机略有回落。未来五年，海风仍然是增速最高的细分方向，CAGR达到28%，26年装机有望达到约30GW，陆风未来几年CAGR在7%。</w:t>
      </w:r>
    </w:p>
    <w:p w14:paraId="7321F622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全球各区域装机变化情况（GW）</w:t>
      </w:r>
    </w:p>
    <w:p w14:paraId="1776C0CA">
      <w:pPr>
        <w:ind w:firstLine="420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114925" cy="300990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17A92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全球风电装机预测（GW）</w:t>
      </w:r>
    </w:p>
    <w:p w14:paraId="5D9695A0">
      <w:pPr>
        <w:ind w:firstLine="420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10175" cy="3153410"/>
            <wp:effectExtent l="0" t="0" r="9525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15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FF360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陆风装机：中国仍为全球第一大陆风装机国家，23年新增装机占全球的比重为66%，排名第二的为美国，占比在6%，但新增装机规模同比下滑约26%，第三位的是巴西，占比5%，23年增速为18%，排名4、5位的分别为德国、印度，同比增速均在50%左右。</w:t>
      </w:r>
    </w:p>
    <w:p w14:paraId="05649D7B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全球主要国家陆风装机情况（GW）</w:t>
      </w:r>
    </w:p>
    <w:p w14:paraId="0DA0CFAC">
      <w:pPr>
        <w:ind w:firstLine="42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6055" cy="2542540"/>
            <wp:effectExtent l="0" t="0" r="10795" b="1016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F24B0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海风装机：目前全球海风装机集中在中国与欧洲，23年中国占比在58%，荷兰由于有项目并网，装机规模同比增长423%至1.9GW，英国以0.8GW装机量排名第三，但同比下滑29%，丹麦、德国23年并网海风规模相对较少。</w:t>
      </w:r>
    </w:p>
    <w:p w14:paraId="58FD47D0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全球主要国家海风装机情况（GW）</w:t>
      </w:r>
    </w:p>
    <w:p w14:paraId="6942638F">
      <w:pPr>
        <w:ind w:firstLine="42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4310" cy="2360295"/>
            <wp:effectExtent l="0" t="0" r="2540" b="190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B2909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欧洲海风装机预期有所下调，但不改2025年进入高景气周期趋势。根据全球风能理事会（GWEC）最新发布的Global Wind Report 2024，24-26年欧洲海风装机预期分别为3.6、5.5、8.6GW，虽然装机预期相较去年发布的GlobalOffshore Wind Report 2023有所下调，但2026年开始欧洲进入海风装机高景气周期判断没有变化。</w:t>
      </w:r>
    </w:p>
    <w:p w14:paraId="21919373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全球海上风电装机预测（GW）</w:t>
      </w:r>
    </w:p>
    <w:p w14:paraId="30A010BD">
      <w:pPr>
        <w:ind w:firstLine="420" w:firstLineChars="200"/>
        <w:jc w:val="center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9865" cy="3120390"/>
            <wp:effectExtent l="0" t="0" r="6985" b="38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B11B3">
      <w:pPr>
        <w:ind w:firstLine="560" w:firstLineChars="200"/>
        <w:jc w:val="both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主机出口：2023年国内主机厂商风机出口3.66GW，同比增长60%，其中金风、远景占据主要出口份额，出口规模分别达到1.7、1.6GW，同比增长179%、41%，三一重能则是在23年实现出口的规模化突破，当年实现出口规模98MW。从区域分布来看，亚洲仍为第一大出口洲，其中对乌兹别克斯坦出口916MW，是出口端增长的重要来源，此外，非洲市场也有较好表现，出口规模从22年的50MW提升至938MW，主要需求国为埃及、南非。</w:t>
      </w:r>
    </w:p>
    <w:p w14:paraId="44875060">
      <w:pPr>
        <w:ind w:firstLine="562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国内主机厂商出口情况（MW）</w:t>
      </w:r>
    </w:p>
    <w:p w14:paraId="4ABB2C01">
      <w:pPr>
        <w:ind w:firstLine="420" w:firstLineChars="200"/>
        <w:jc w:val="both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9865" cy="2673985"/>
            <wp:effectExtent l="0" t="0" r="6985" b="1206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7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A6C3A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734FD9C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第一章概论</w:t>
      </w:r>
    </w:p>
    <w:p w14:paraId="1F01C6E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第二章项目建设背景及必要性</w:t>
      </w:r>
    </w:p>
    <w:p w14:paraId="14B12A91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第三章项目需求分析与产出方案</w:t>
      </w:r>
    </w:p>
    <w:p w14:paraId="1F8CAD2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第四章项目选址与要素保障</w:t>
      </w:r>
    </w:p>
    <w:p w14:paraId="6441AA4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第五章建设方案</w:t>
      </w:r>
    </w:p>
    <w:p w14:paraId="12A4B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第六章项目运营方案</w:t>
      </w:r>
    </w:p>
    <w:p w14:paraId="4BBD222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第七章环境保护</w:t>
      </w:r>
    </w:p>
    <w:p w14:paraId="2CE232C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第八章节能分析</w:t>
      </w:r>
    </w:p>
    <w:p w14:paraId="4A4980F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第九章项目投资估算与资金筹措</w:t>
      </w:r>
    </w:p>
    <w:p w14:paraId="4C8BF13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第十章项目影响效果分析</w:t>
      </w:r>
    </w:p>
    <w:p w14:paraId="583B6F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第十一章项目风险管控方案</w:t>
      </w:r>
    </w:p>
    <w:p w14:paraId="1F153758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第十二章社会稳定性风险分析</w:t>
      </w:r>
    </w:p>
    <w:p w14:paraId="082B908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第十三章研究结论及建议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5B03CF"/>
    <w:rsid w:val="00941FF7"/>
    <w:rsid w:val="00D060C0"/>
    <w:rsid w:val="00DB3696"/>
    <w:rsid w:val="00E77192"/>
    <w:rsid w:val="01012540"/>
    <w:rsid w:val="017E63B3"/>
    <w:rsid w:val="01A1683A"/>
    <w:rsid w:val="01BE4DA9"/>
    <w:rsid w:val="01CA7CCE"/>
    <w:rsid w:val="01CC28E7"/>
    <w:rsid w:val="01ED0523"/>
    <w:rsid w:val="01FD0759"/>
    <w:rsid w:val="02026E30"/>
    <w:rsid w:val="02402EC0"/>
    <w:rsid w:val="029C57D8"/>
    <w:rsid w:val="02B0164D"/>
    <w:rsid w:val="02B913EC"/>
    <w:rsid w:val="02CA179F"/>
    <w:rsid w:val="02E45BCC"/>
    <w:rsid w:val="02F900F0"/>
    <w:rsid w:val="02FE20CD"/>
    <w:rsid w:val="031D37A8"/>
    <w:rsid w:val="03546191"/>
    <w:rsid w:val="03772BBD"/>
    <w:rsid w:val="03BC0928"/>
    <w:rsid w:val="03D34F82"/>
    <w:rsid w:val="042A3104"/>
    <w:rsid w:val="0448745D"/>
    <w:rsid w:val="04921C4C"/>
    <w:rsid w:val="04E4640D"/>
    <w:rsid w:val="054908B9"/>
    <w:rsid w:val="05DC4B7A"/>
    <w:rsid w:val="061B59E2"/>
    <w:rsid w:val="062A342B"/>
    <w:rsid w:val="07025650"/>
    <w:rsid w:val="07D76969"/>
    <w:rsid w:val="07E15804"/>
    <w:rsid w:val="07FB58A4"/>
    <w:rsid w:val="07FD6BA9"/>
    <w:rsid w:val="08986A27"/>
    <w:rsid w:val="08DF3F4A"/>
    <w:rsid w:val="098C0CFB"/>
    <w:rsid w:val="0A550002"/>
    <w:rsid w:val="0A592759"/>
    <w:rsid w:val="0A67379F"/>
    <w:rsid w:val="0A817343"/>
    <w:rsid w:val="0A866F73"/>
    <w:rsid w:val="0AEA4C54"/>
    <w:rsid w:val="0B1C7CAA"/>
    <w:rsid w:val="0BB30DED"/>
    <w:rsid w:val="0BD75567"/>
    <w:rsid w:val="0C105FB5"/>
    <w:rsid w:val="0CB17E61"/>
    <w:rsid w:val="0D051CD8"/>
    <w:rsid w:val="0D397A5A"/>
    <w:rsid w:val="0D5F089D"/>
    <w:rsid w:val="0D7C07BE"/>
    <w:rsid w:val="0DC3546E"/>
    <w:rsid w:val="0DD43A3C"/>
    <w:rsid w:val="0E316003"/>
    <w:rsid w:val="0E7938DE"/>
    <w:rsid w:val="0EC42733"/>
    <w:rsid w:val="0EE630DC"/>
    <w:rsid w:val="0F500BC3"/>
    <w:rsid w:val="0F59303C"/>
    <w:rsid w:val="0F822828"/>
    <w:rsid w:val="0FD9610F"/>
    <w:rsid w:val="10615A49"/>
    <w:rsid w:val="10F13359"/>
    <w:rsid w:val="11AF5EC5"/>
    <w:rsid w:val="125E493F"/>
    <w:rsid w:val="12727EA3"/>
    <w:rsid w:val="12C5503E"/>
    <w:rsid w:val="13270D7A"/>
    <w:rsid w:val="13C61AF2"/>
    <w:rsid w:val="13C82EA6"/>
    <w:rsid w:val="14294AD0"/>
    <w:rsid w:val="145D0D13"/>
    <w:rsid w:val="14AC764E"/>
    <w:rsid w:val="14B26B80"/>
    <w:rsid w:val="153B2D0D"/>
    <w:rsid w:val="155838BF"/>
    <w:rsid w:val="155B3298"/>
    <w:rsid w:val="15EB3A81"/>
    <w:rsid w:val="16550F32"/>
    <w:rsid w:val="166B4467"/>
    <w:rsid w:val="166B462C"/>
    <w:rsid w:val="168B3820"/>
    <w:rsid w:val="17561F51"/>
    <w:rsid w:val="175F2D5D"/>
    <w:rsid w:val="17654D55"/>
    <w:rsid w:val="1783759C"/>
    <w:rsid w:val="17AB4E89"/>
    <w:rsid w:val="17D35235"/>
    <w:rsid w:val="180B049B"/>
    <w:rsid w:val="18135A81"/>
    <w:rsid w:val="18461C22"/>
    <w:rsid w:val="187B50E8"/>
    <w:rsid w:val="18C23FCC"/>
    <w:rsid w:val="18F3727C"/>
    <w:rsid w:val="19461C80"/>
    <w:rsid w:val="19565959"/>
    <w:rsid w:val="19656A5A"/>
    <w:rsid w:val="196B3A43"/>
    <w:rsid w:val="19A96D61"/>
    <w:rsid w:val="19B14A30"/>
    <w:rsid w:val="19B45BCA"/>
    <w:rsid w:val="19C73562"/>
    <w:rsid w:val="19E85757"/>
    <w:rsid w:val="19FE52B1"/>
    <w:rsid w:val="1A031AB7"/>
    <w:rsid w:val="1A111C52"/>
    <w:rsid w:val="1A2D7A1F"/>
    <w:rsid w:val="1BBB568A"/>
    <w:rsid w:val="1BCA508C"/>
    <w:rsid w:val="1C215235"/>
    <w:rsid w:val="1C442E6B"/>
    <w:rsid w:val="1CBC1555"/>
    <w:rsid w:val="1CDF3B2A"/>
    <w:rsid w:val="1D0253E4"/>
    <w:rsid w:val="1D525FA2"/>
    <w:rsid w:val="1DBB4FD6"/>
    <w:rsid w:val="1DFE71E1"/>
    <w:rsid w:val="1E403142"/>
    <w:rsid w:val="1E675D1B"/>
    <w:rsid w:val="1ED25159"/>
    <w:rsid w:val="1F3A79D5"/>
    <w:rsid w:val="1F8110BF"/>
    <w:rsid w:val="1FA220F8"/>
    <w:rsid w:val="1FEC076E"/>
    <w:rsid w:val="20170DEB"/>
    <w:rsid w:val="202F4288"/>
    <w:rsid w:val="210203E9"/>
    <w:rsid w:val="21CA447C"/>
    <w:rsid w:val="22014652"/>
    <w:rsid w:val="221413F8"/>
    <w:rsid w:val="226338A3"/>
    <w:rsid w:val="233A3AAB"/>
    <w:rsid w:val="23463F84"/>
    <w:rsid w:val="23765481"/>
    <w:rsid w:val="23A835BD"/>
    <w:rsid w:val="23F549CE"/>
    <w:rsid w:val="24394AB8"/>
    <w:rsid w:val="24412260"/>
    <w:rsid w:val="24703491"/>
    <w:rsid w:val="249B7766"/>
    <w:rsid w:val="24AD7057"/>
    <w:rsid w:val="24D6799D"/>
    <w:rsid w:val="251915B4"/>
    <w:rsid w:val="253D3903"/>
    <w:rsid w:val="259011F8"/>
    <w:rsid w:val="25A84F00"/>
    <w:rsid w:val="25B44FE1"/>
    <w:rsid w:val="260128E8"/>
    <w:rsid w:val="26032822"/>
    <w:rsid w:val="26B14C8A"/>
    <w:rsid w:val="26FF36D7"/>
    <w:rsid w:val="274554FD"/>
    <w:rsid w:val="274E0EEF"/>
    <w:rsid w:val="27743E5C"/>
    <w:rsid w:val="27A22014"/>
    <w:rsid w:val="27EC19E6"/>
    <w:rsid w:val="27F37477"/>
    <w:rsid w:val="28670377"/>
    <w:rsid w:val="2897327F"/>
    <w:rsid w:val="28B81403"/>
    <w:rsid w:val="28DD1D90"/>
    <w:rsid w:val="28E16FD0"/>
    <w:rsid w:val="28E3573D"/>
    <w:rsid w:val="292D1B6B"/>
    <w:rsid w:val="29381D5F"/>
    <w:rsid w:val="29FA3022"/>
    <w:rsid w:val="29FD0000"/>
    <w:rsid w:val="2A3C1140"/>
    <w:rsid w:val="2A5354CE"/>
    <w:rsid w:val="2A5A5715"/>
    <w:rsid w:val="2A8647FB"/>
    <w:rsid w:val="2A870159"/>
    <w:rsid w:val="2A9A62D0"/>
    <w:rsid w:val="2AB67A5E"/>
    <w:rsid w:val="2ACA1641"/>
    <w:rsid w:val="2B2773ED"/>
    <w:rsid w:val="2BA20995"/>
    <w:rsid w:val="2BA84F24"/>
    <w:rsid w:val="2BE43B4A"/>
    <w:rsid w:val="2BEB1112"/>
    <w:rsid w:val="2BF12E7A"/>
    <w:rsid w:val="2BF81500"/>
    <w:rsid w:val="2C0167A4"/>
    <w:rsid w:val="2C5E06D8"/>
    <w:rsid w:val="2CB94D5E"/>
    <w:rsid w:val="2DAA7E9C"/>
    <w:rsid w:val="2DB41456"/>
    <w:rsid w:val="2DB604DD"/>
    <w:rsid w:val="2DE14EBB"/>
    <w:rsid w:val="2DE5725A"/>
    <w:rsid w:val="2DEF2105"/>
    <w:rsid w:val="2E6F0090"/>
    <w:rsid w:val="2E883A48"/>
    <w:rsid w:val="2E8F6852"/>
    <w:rsid w:val="2E9D638E"/>
    <w:rsid w:val="2EEF16BC"/>
    <w:rsid w:val="2EF06BB9"/>
    <w:rsid w:val="2F3D528D"/>
    <w:rsid w:val="2F480302"/>
    <w:rsid w:val="2F5F067B"/>
    <w:rsid w:val="2F697F3B"/>
    <w:rsid w:val="2FF05D5E"/>
    <w:rsid w:val="300F0E69"/>
    <w:rsid w:val="30D10F27"/>
    <w:rsid w:val="30EB705B"/>
    <w:rsid w:val="30FE7050"/>
    <w:rsid w:val="31CF2D03"/>
    <w:rsid w:val="31E7004C"/>
    <w:rsid w:val="31F46081"/>
    <w:rsid w:val="324B718F"/>
    <w:rsid w:val="32D01D02"/>
    <w:rsid w:val="33055AF5"/>
    <w:rsid w:val="3306047F"/>
    <w:rsid w:val="330D0810"/>
    <w:rsid w:val="33323ECE"/>
    <w:rsid w:val="33A05842"/>
    <w:rsid w:val="34130BF4"/>
    <w:rsid w:val="346D06AE"/>
    <w:rsid w:val="347B2A5F"/>
    <w:rsid w:val="34D61D4F"/>
    <w:rsid w:val="34E57BDD"/>
    <w:rsid w:val="350B4EB3"/>
    <w:rsid w:val="35301450"/>
    <w:rsid w:val="35312755"/>
    <w:rsid w:val="35324954"/>
    <w:rsid w:val="355E0F17"/>
    <w:rsid w:val="35762033"/>
    <w:rsid w:val="35A1628C"/>
    <w:rsid w:val="36A857BA"/>
    <w:rsid w:val="36E5781D"/>
    <w:rsid w:val="36EC2A2B"/>
    <w:rsid w:val="36EE5F2E"/>
    <w:rsid w:val="36F36B33"/>
    <w:rsid w:val="36F47E38"/>
    <w:rsid w:val="37136FD6"/>
    <w:rsid w:val="374A7542"/>
    <w:rsid w:val="375A7D60"/>
    <w:rsid w:val="376765E1"/>
    <w:rsid w:val="37682375"/>
    <w:rsid w:val="37BE2D84"/>
    <w:rsid w:val="37F5325E"/>
    <w:rsid w:val="38A01822"/>
    <w:rsid w:val="38F6728A"/>
    <w:rsid w:val="39065299"/>
    <w:rsid w:val="39123BB1"/>
    <w:rsid w:val="3948754F"/>
    <w:rsid w:val="39836BEC"/>
    <w:rsid w:val="398413EB"/>
    <w:rsid w:val="39974868"/>
    <w:rsid w:val="39C20ECF"/>
    <w:rsid w:val="39D72073"/>
    <w:rsid w:val="3A04538C"/>
    <w:rsid w:val="3A1A2BE3"/>
    <w:rsid w:val="3A297F4F"/>
    <w:rsid w:val="3A444921"/>
    <w:rsid w:val="3A824DB6"/>
    <w:rsid w:val="3AAD5BAB"/>
    <w:rsid w:val="3B535E3C"/>
    <w:rsid w:val="3B742860"/>
    <w:rsid w:val="3B9C3FD8"/>
    <w:rsid w:val="3C087AF1"/>
    <w:rsid w:val="3C9056B7"/>
    <w:rsid w:val="3CBB6F67"/>
    <w:rsid w:val="3CE434CE"/>
    <w:rsid w:val="3D0F3E8F"/>
    <w:rsid w:val="3D1244C0"/>
    <w:rsid w:val="3D295073"/>
    <w:rsid w:val="3D370B3E"/>
    <w:rsid w:val="3D8C6ADA"/>
    <w:rsid w:val="3DDA0A65"/>
    <w:rsid w:val="3DF91311"/>
    <w:rsid w:val="3E1A70B4"/>
    <w:rsid w:val="3E5318E4"/>
    <w:rsid w:val="3E845DE6"/>
    <w:rsid w:val="3E995BBF"/>
    <w:rsid w:val="3EB177B7"/>
    <w:rsid w:val="3EBB2C7C"/>
    <w:rsid w:val="3ECC295E"/>
    <w:rsid w:val="3F184542"/>
    <w:rsid w:val="3F4802E2"/>
    <w:rsid w:val="3F7D5B4C"/>
    <w:rsid w:val="3FA72420"/>
    <w:rsid w:val="3FC46AE7"/>
    <w:rsid w:val="40073DFD"/>
    <w:rsid w:val="40A811A3"/>
    <w:rsid w:val="40E24800"/>
    <w:rsid w:val="412C019D"/>
    <w:rsid w:val="4135208B"/>
    <w:rsid w:val="415154E1"/>
    <w:rsid w:val="419D24D5"/>
    <w:rsid w:val="41A1553C"/>
    <w:rsid w:val="41B56F36"/>
    <w:rsid w:val="41DD28D2"/>
    <w:rsid w:val="426F3144"/>
    <w:rsid w:val="42AD50EE"/>
    <w:rsid w:val="43E27E0B"/>
    <w:rsid w:val="44190483"/>
    <w:rsid w:val="44246EDE"/>
    <w:rsid w:val="4428205E"/>
    <w:rsid w:val="442A41B4"/>
    <w:rsid w:val="44562F2D"/>
    <w:rsid w:val="447A00BE"/>
    <w:rsid w:val="448E0ADD"/>
    <w:rsid w:val="44A761AF"/>
    <w:rsid w:val="44BB5F87"/>
    <w:rsid w:val="44ED72D0"/>
    <w:rsid w:val="44F17528"/>
    <w:rsid w:val="45053FCB"/>
    <w:rsid w:val="457F5E93"/>
    <w:rsid w:val="45F572A7"/>
    <w:rsid w:val="46126C14"/>
    <w:rsid w:val="46362EF9"/>
    <w:rsid w:val="465F740B"/>
    <w:rsid w:val="46B00D49"/>
    <w:rsid w:val="471C5C4A"/>
    <w:rsid w:val="476B4739"/>
    <w:rsid w:val="47834F7D"/>
    <w:rsid w:val="47E0311C"/>
    <w:rsid w:val="47FC6BF4"/>
    <w:rsid w:val="4838131C"/>
    <w:rsid w:val="48AB62AA"/>
    <w:rsid w:val="48E32CA1"/>
    <w:rsid w:val="48E40723"/>
    <w:rsid w:val="48FC3F85"/>
    <w:rsid w:val="49940F29"/>
    <w:rsid w:val="49A844DA"/>
    <w:rsid w:val="49DF6CB2"/>
    <w:rsid w:val="4A0654DC"/>
    <w:rsid w:val="4A146896"/>
    <w:rsid w:val="4A255B06"/>
    <w:rsid w:val="4A2F2CC3"/>
    <w:rsid w:val="4ABF170F"/>
    <w:rsid w:val="4AC72371"/>
    <w:rsid w:val="4AE57DB0"/>
    <w:rsid w:val="4AEB42B2"/>
    <w:rsid w:val="4B517A0A"/>
    <w:rsid w:val="4B947843"/>
    <w:rsid w:val="4C194E4E"/>
    <w:rsid w:val="4CC17779"/>
    <w:rsid w:val="4CD051DE"/>
    <w:rsid w:val="4CE71BB7"/>
    <w:rsid w:val="4D084097"/>
    <w:rsid w:val="4D2770F7"/>
    <w:rsid w:val="4D414255"/>
    <w:rsid w:val="4DAC067B"/>
    <w:rsid w:val="4DC70853"/>
    <w:rsid w:val="4DFD0528"/>
    <w:rsid w:val="4E401035"/>
    <w:rsid w:val="4E464D84"/>
    <w:rsid w:val="4E81775A"/>
    <w:rsid w:val="4F0D4DC0"/>
    <w:rsid w:val="4F190D64"/>
    <w:rsid w:val="4F260D68"/>
    <w:rsid w:val="4F7F146C"/>
    <w:rsid w:val="4FF91545"/>
    <w:rsid w:val="4FFD0EF1"/>
    <w:rsid w:val="501367D8"/>
    <w:rsid w:val="502771CE"/>
    <w:rsid w:val="506A2926"/>
    <w:rsid w:val="50EA5464"/>
    <w:rsid w:val="50F13E21"/>
    <w:rsid w:val="514A436A"/>
    <w:rsid w:val="51545631"/>
    <w:rsid w:val="51883D8E"/>
    <w:rsid w:val="51BC1964"/>
    <w:rsid w:val="51D5415B"/>
    <w:rsid w:val="51EE67A6"/>
    <w:rsid w:val="52277960"/>
    <w:rsid w:val="525C788D"/>
    <w:rsid w:val="528A0854"/>
    <w:rsid w:val="52C87073"/>
    <w:rsid w:val="52E50ECD"/>
    <w:rsid w:val="53160B7D"/>
    <w:rsid w:val="531F0A6D"/>
    <w:rsid w:val="535D4D1B"/>
    <w:rsid w:val="53827989"/>
    <w:rsid w:val="53937294"/>
    <w:rsid w:val="53BA0C6B"/>
    <w:rsid w:val="53F229C4"/>
    <w:rsid w:val="54004D75"/>
    <w:rsid w:val="547D422D"/>
    <w:rsid w:val="549809D1"/>
    <w:rsid w:val="54AA6F8B"/>
    <w:rsid w:val="54BE1AE8"/>
    <w:rsid w:val="54C05F9B"/>
    <w:rsid w:val="54D648BB"/>
    <w:rsid w:val="5620433A"/>
    <w:rsid w:val="566F09D5"/>
    <w:rsid w:val="567A07EF"/>
    <w:rsid w:val="56B241CC"/>
    <w:rsid w:val="56D4639E"/>
    <w:rsid w:val="56D952A8"/>
    <w:rsid w:val="570C2D6E"/>
    <w:rsid w:val="57326672"/>
    <w:rsid w:val="57497744"/>
    <w:rsid w:val="5756394B"/>
    <w:rsid w:val="575B6F2E"/>
    <w:rsid w:val="57763155"/>
    <w:rsid w:val="57A8345F"/>
    <w:rsid w:val="57E417E0"/>
    <w:rsid w:val="58426A50"/>
    <w:rsid w:val="58CA290B"/>
    <w:rsid w:val="58E5183E"/>
    <w:rsid w:val="59134C30"/>
    <w:rsid w:val="59362967"/>
    <w:rsid w:val="597D20E1"/>
    <w:rsid w:val="59C42A07"/>
    <w:rsid w:val="5A0F1A20"/>
    <w:rsid w:val="5A4E0416"/>
    <w:rsid w:val="5ADD0727"/>
    <w:rsid w:val="5B402954"/>
    <w:rsid w:val="5BB12F7A"/>
    <w:rsid w:val="5BC97600"/>
    <w:rsid w:val="5BED0BE1"/>
    <w:rsid w:val="5BF117E5"/>
    <w:rsid w:val="5C4F70EF"/>
    <w:rsid w:val="5C5C3190"/>
    <w:rsid w:val="5CA95D7B"/>
    <w:rsid w:val="5D330125"/>
    <w:rsid w:val="5D4F626D"/>
    <w:rsid w:val="5D87118C"/>
    <w:rsid w:val="5E2D602E"/>
    <w:rsid w:val="5E436E4C"/>
    <w:rsid w:val="5E540FCF"/>
    <w:rsid w:val="5E920018"/>
    <w:rsid w:val="5EBB27B7"/>
    <w:rsid w:val="5ED52E57"/>
    <w:rsid w:val="5EE475B9"/>
    <w:rsid w:val="5EF14F39"/>
    <w:rsid w:val="5F355114"/>
    <w:rsid w:val="5F4B3119"/>
    <w:rsid w:val="5F5D3615"/>
    <w:rsid w:val="5FF320FE"/>
    <w:rsid w:val="608B7265"/>
    <w:rsid w:val="60B66ADC"/>
    <w:rsid w:val="60DD4A59"/>
    <w:rsid w:val="610918E2"/>
    <w:rsid w:val="614860F7"/>
    <w:rsid w:val="615E2F29"/>
    <w:rsid w:val="61657658"/>
    <w:rsid w:val="61E16FA2"/>
    <w:rsid w:val="62285198"/>
    <w:rsid w:val="622D4B39"/>
    <w:rsid w:val="623F6839"/>
    <w:rsid w:val="62BC31DC"/>
    <w:rsid w:val="63753FEA"/>
    <w:rsid w:val="637A0055"/>
    <w:rsid w:val="63B07EEF"/>
    <w:rsid w:val="64002BE9"/>
    <w:rsid w:val="64367EAE"/>
    <w:rsid w:val="644A57F4"/>
    <w:rsid w:val="64AA2690"/>
    <w:rsid w:val="64FD39BC"/>
    <w:rsid w:val="658D71C3"/>
    <w:rsid w:val="65B57819"/>
    <w:rsid w:val="661C64F2"/>
    <w:rsid w:val="663437E5"/>
    <w:rsid w:val="6635067F"/>
    <w:rsid w:val="66495BDD"/>
    <w:rsid w:val="66CD2666"/>
    <w:rsid w:val="66E856F1"/>
    <w:rsid w:val="66E86CF7"/>
    <w:rsid w:val="66F82582"/>
    <w:rsid w:val="673F6082"/>
    <w:rsid w:val="674F2DB7"/>
    <w:rsid w:val="676A4BDC"/>
    <w:rsid w:val="678B4B30"/>
    <w:rsid w:val="67AB3E7C"/>
    <w:rsid w:val="67D740EA"/>
    <w:rsid w:val="6806141D"/>
    <w:rsid w:val="682664D1"/>
    <w:rsid w:val="6844251F"/>
    <w:rsid w:val="68451F52"/>
    <w:rsid w:val="6846773F"/>
    <w:rsid w:val="685C1EF3"/>
    <w:rsid w:val="68707A81"/>
    <w:rsid w:val="6936532B"/>
    <w:rsid w:val="69A36249"/>
    <w:rsid w:val="69EC37D4"/>
    <w:rsid w:val="6A1F48CB"/>
    <w:rsid w:val="6A2931E3"/>
    <w:rsid w:val="6A624A2F"/>
    <w:rsid w:val="6A633B05"/>
    <w:rsid w:val="6A6E56A3"/>
    <w:rsid w:val="6A767148"/>
    <w:rsid w:val="6A8D4C80"/>
    <w:rsid w:val="6AF311A6"/>
    <w:rsid w:val="6B0E2490"/>
    <w:rsid w:val="6B170851"/>
    <w:rsid w:val="6B1C7DB6"/>
    <w:rsid w:val="6B3A720F"/>
    <w:rsid w:val="6B426304"/>
    <w:rsid w:val="6B5B73A1"/>
    <w:rsid w:val="6B796D44"/>
    <w:rsid w:val="6BA22313"/>
    <w:rsid w:val="6C2334DB"/>
    <w:rsid w:val="6C843B3E"/>
    <w:rsid w:val="6CEB7CE9"/>
    <w:rsid w:val="6D2C3D3B"/>
    <w:rsid w:val="6D7C2B3B"/>
    <w:rsid w:val="6E0C201B"/>
    <w:rsid w:val="6E2F0BDE"/>
    <w:rsid w:val="6E66128D"/>
    <w:rsid w:val="6F4F630E"/>
    <w:rsid w:val="6F6A0833"/>
    <w:rsid w:val="6F875CF8"/>
    <w:rsid w:val="6FAA7F8C"/>
    <w:rsid w:val="6FB16FC8"/>
    <w:rsid w:val="6FCC5888"/>
    <w:rsid w:val="70007ECC"/>
    <w:rsid w:val="700F1FCA"/>
    <w:rsid w:val="70B51F79"/>
    <w:rsid w:val="70FA499F"/>
    <w:rsid w:val="71153B87"/>
    <w:rsid w:val="711D64A7"/>
    <w:rsid w:val="712A56F7"/>
    <w:rsid w:val="71441E53"/>
    <w:rsid w:val="716E488C"/>
    <w:rsid w:val="71BD6F28"/>
    <w:rsid w:val="71D60BA6"/>
    <w:rsid w:val="71EE2817"/>
    <w:rsid w:val="72534367"/>
    <w:rsid w:val="725D71CF"/>
    <w:rsid w:val="72C7270A"/>
    <w:rsid w:val="73092C77"/>
    <w:rsid w:val="730E6E12"/>
    <w:rsid w:val="732D5122"/>
    <w:rsid w:val="735637C7"/>
    <w:rsid w:val="738549F4"/>
    <w:rsid w:val="742D5A28"/>
    <w:rsid w:val="745C4103"/>
    <w:rsid w:val="74846437"/>
    <w:rsid w:val="75186CAB"/>
    <w:rsid w:val="75342D58"/>
    <w:rsid w:val="75414E2E"/>
    <w:rsid w:val="75973D58"/>
    <w:rsid w:val="75D51537"/>
    <w:rsid w:val="76051E1C"/>
    <w:rsid w:val="768C460E"/>
    <w:rsid w:val="769A2923"/>
    <w:rsid w:val="76B15747"/>
    <w:rsid w:val="7709593C"/>
    <w:rsid w:val="7719746F"/>
    <w:rsid w:val="773062C6"/>
    <w:rsid w:val="779969FD"/>
    <w:rsid w:val="785C1006"/>
    <w:rsid w:val="7879277A"/>
    <w:rsid w:val="789F0098"/>
    <w:rsid w:val="78B95B1C"/>
    <w:rsid w:val="78BB7343"/>
    <w:rsid w:val="78E004AB"/>
    <w:rsid w:val="79090B7C"/>
    <w:rsid w:val="79BE2849"/>
    <w:rsid w:val="79C505D8"/>
    <w:rsid w:val="79F62EF9"/>
    <w:rsid w:val="7A5614FA"/>
    <w:rsid w:val="7AA57C46"/>
    <w:rsid w:val="7AA67A12"/>
    <w:rsid w:val="7B1F5CAB"/>
    <w:rsid w:val="7B4C27CB"/>
    <w:rsid w:val="7B4C2A3D"/>
    <w:rsid w:val="7B6629C8"/>
    <w:rsid w:val="7B762C35"/>
    <w:rsid w:val="7B84426B"/>
    <w:rsid w:val="7BC57E1C"/>
    <w:rsid w:val="7C1C0647"/>
    <w:rsid w:val="7C6A62E9"/>
    <w:rsid w:val="7C846E57"/>
    <w:rsid w:val="7D0107D4"/>
    <w:rsid w:val="7D1E5C9A"/>
    <w:rsid w:val="7D803324"/>
    <w:rsid w:val="7DAA6C39"/>
    <w:rsid w:val="7DC050DC"/>
    <w:rsid w:val="7DD965ED"/>
    <w:rsid w:val="7E2968C4"/>
    <w:rsid w:val="7E502C4A"/>
    <w:rsid w:val="7E631DD5"/>
    <w:rsid w:val="7E9A4CB0"/>
    <w:rsid w:val="7EA01A8C"/>
    <w:rsid w:val="7EBC0C77"/>
    <w:rsid w:val="7F1716D0"/>
    <w:rsid w:val="7F190115"/>
    <w:rsid w:val="7F372C1F"/>
    <w:rsid w:val="7F3A1BA5"/>
    <w:rsid w:val="7F8042C1"/>
    <w:rsid w:val="7F907EA3"/>
    <w:rsid w:val="7FCF2192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21"/>
    <w:basedOn w:val="5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3175</Words>
  <Characters>3766</Characters>
  <Lines>0</Lines>
  <Paragraphs>0</Paragraphs>
  <TotalTime>0</TotalTime>
  <ScaleCrop>false</ScaleCrop>
  <LinksUpToDate>false</LinksUpToDate>
  <CharactersWithSpaces>3775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2024-09-09T01:29:21Z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06167411C3DC442C9EBCECFD341F7763_13</vt:lpwstr>
  </property>
</Properties>
</file>