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colors9.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charts/style9.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0" w:name="OLE_LINK24"/>
      <w:bookmarkStart w:id="1" w:name="_Toc438987549"/>
      <w:bookmarkStart w:id="2" w:name="OLE_LINK39"/>
      <w:bookmarkStart w:id="3" w:name="_Toc481801204"/>
      <w:bookmarkStart w:id="4" w:name="OLE_LINK15"/>
      <w:bookmarkStart w:id="5" w:name="_Toc517262917"/>
      <w:bookmarkStart w:id="6" w:name="_Toc415143481"/>
      <w:bookmarkStart w:id="7" w:name="_Toc415818939"/>
      <w:bookmarkStart w:id="8" w:name="_Toc453597319"/>
      <w:bookmarkStart w:id="9" w:name="OLE_LINK13"/>
      <w:bookmarkStart w:id="10" w:name="_Toc418070112"/>
      <w:bookmarkStart w:id="11" w:name="OLE_LINK40"/>
      <w:bookmarkStart w:id="12" w:name="_Toc415142861"/>
      <w:r>
        <w:rPr>
          <w:lang w:eastAsia="zh-CN"/>
        </w:rPr>
        <w:t>奶瓶奶嘴</w:t>
      </w:r>
      <w:r>
        <w:rPr>
          <w:rFonts w:hint="eastAsia"/>
          <w:lang w:eastAsia="zh-CN"/>
        </w:rPr>
        <w:t>全球市场总体规模</w:t>
      </w:r>
    </w:p>
    <w:p>
      <w:pPr>
        <w:pStyle w:val="145"/>
        <w:jc w:val="left"/>
        <w:rPr>
          <w:lang w:eastAsia="zh-CN"/>
        </w:rPr>
      </w:pPr>
      <w:r>
        <w:rPr>
          <w:rFonts w:hint="eastAsia"/>
          <w:lang w:eastAsia="zh-CN"/>
        </w:rPr>
        <w:t>奶瓶奶嘴，也称为奶嘴或奶嘴，是一种连接到婴儿奶瓶上的橡胶或硅胶装置。 它的设计模仿了母亲乳头的形状和感觉，让婴儿可以舒适、安全地用奶瓶喂养。 奶嘴通常在尖端有一个小孔，婴儿可以通过该小孔吸吮和接受牛奶或其他液体。</w:t>
      </w:r>
    </w:p>
    <w:p>
      <w:pPr>
        <w:pStyle w:val="145"/>
        <w:jc w:val="left"/>
        <w:rPr>
          <w:lang w:eastAsia="zh-CN"/>
        </w:rPr>
      </w:pPr>
      <w:r>
        <w:rPr>
          <w:rFonts w:hint="eastAsia"/>
          <w:lang w:eastAsia="zh-CN"/>
        </w:rPr>
        <w:t>据QYResearch调研团队最新报告“全球奶瓶奶嘴市场报告2023-2029”显示，预计2029年全球奶瓶奶嘴市场规模将达到9.7亿美元，未来几年年复合增长率CAGR为4.7%。</w:t>
      </w:r>
      <w:r>
        <w:rPr>
          <w:lang w:eastAsia="zh-CN"/>
        </w:rPr>
        <w:drawing>
          <wp:inline distT="0" distB="0" distL="0" distR="0">
            <wp:extent cx="3048000" cy="2562225"/>
            <wp:effectExtent l="0" t="0" r="0" b="9525"/>
            <wp:docPr id="5109576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0957619" name="图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3048000" cy="2562225"/>
                    </a:xfrm>
                    <a:prstGeom prst="rect">
                      <a:avLst/>
                    </a:prstGeom>
                    <a:noFill/>
                  </pic:spPr>
                </pic:pic>
              </a:graphicData>
            </a:graphic>
          </wp:inline>
        </w:drawing>
      </w:r>
    </w:p>
    <w:p>
      <w:pPr>
        <w:pStyle w:val="148"/>
        <w:rPr>
          <w:lang w:eastAsia="zh-CN"/>
        </w:rPr>
      </w:pPr>
      <w:r>
        <w:rPr>
          <w:lang w:eastAsia="zh-CN"/>
        </w:rPr>
        <w:t>奶瓶奶嘴</w:t>
      </w:r>
      <w:r>
        <w:rPr>
          <w:rFonts w:hint="eastAsia"/>
          <w:lang w:eastAsia="zh-CN"/>
        </w:rPr>
        <w:t>，全球市场总体规模</w:t>
      </w:r>
    </w:p>
    <w:p>
      <w:pPr>
        <w:pStyle w:val="145"/>
      </w:pPr>
      <w:r>
        <w:drawing>
          <wp:inline distT="0" distB="0" distL="0" distR="0">
            <wp:extent cx="6188710" cy="2922270"/>
            <wp:effectExtent l="0" t="0" r="2540" b="0"/>
            <wp:docPr id="70551932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143"/>
      </w:pPr>
      <w:r>
        <w:rPr>
          <w:rFonts w:hint="eastAsia"/>
          <w:lang w:eastAsia="zh-CN"/>
        </w:rPr>
        <w:t>如上图表/数据，摘自QYResearch最新报告“</w:t>
      </w:r>
      <w:r>
        <w:rPr>
          <w:rFonts w:hint="eastAsia"/>
        </w:rPr>
        <w:t>全球</w:t>
      </w:r>
      <w:r>
        <w:t>奶瓶奶嘴</w:t>
      </w:r>
      <w:r>
        <w:rPr>
          <w:rFonts w:hint="eastAsia"/>
        </w:rPr>
        <w:t>市场研究报告2023-2029</w:t>
      </w:r>
      <w:r>
        <w:t>.</w:t>
      </w:r>
    </w:p>
    <w:p>
      <w:pPr>
        <w:pStyle w:val="145"/>
        <w:rPr>
          <w:lang w:eastAsia="zh-CN"/>
        </w:rPr>
      </w:pPr>
    </w:p>
    <w:p>
      <w:pPr>
        <w:pStyle w:val="148"/>
        <w:rPr>
          <w:lang w:eastAsia="zh-CN"/>
        </w:rPr>
      </w:pPr>
      <w:r>
        <w:rPr>
          <w:rFonts w:hint="eastAsia"/>
          <w:lang w:eastAsia="zh-CN"/>
        </w:rPr>
        <w:t>全球</w:t>
      </w:r>
      <w:r>
        <w:rPr>
          <w:lang w:eastAsia="zh-CN"/>
        </w:rPr>
        <w:t>奶瓶奶嘴</w:t>
      </w:r>
      <w:r>
        <w:rPr>
          <w:rFonts w:hint="eastAsia"/>
          <w:lang w:eastAsia="zh-CN"/>
        </w:rPr>
        <w:t>市场前</w:t>
      </w:r>
      <w:r>
        <w:rPr>
          <w:lang w:eastAsia="zh-CN"/>
        </w:rPr>
        <w:t>10</w:t>
      </w:r>
      <w:r>
        <w:rPr>
          <w:rFonts w:hint="eastAsia"/>
          <w:lang w:eastAsia="zh-CN"/>
        </w:rPr>
        <w:t>强生产商排名及市场占有率（基于2</w:t>
      </w:r>
      <w:r>
        <w:rPr>
          <w:lang w:eastAsia="zh-CN"/>
        </w:rPr>
        <w:t>022</w:t>
      </w:r>
      <w:r>
        <w:rPr>
          <w:rFonts w:hint="eastAsia"/>
          <w:lang w:eastAsia="zh-CN"/>
        </w:rPr>
        <w:t>年调研数据；目前最新数据以本公司最新调研数据为准）</w:t>
      </w:r>
    </w:p>
    <w:p>
      <w:pPr>
        <w:widowControl/>
        <w:topLinePunct w:val="0"/>
        <w:spacing w:after="0"/>
        <w:jc w:val="center"/>
        <w:rPr>
          <w:rFonts w:ascii="宋体" w:hAnsi="宋体" w:cs="宋体"/>
          <w:kern w:val="0"/>
          <w:sz w:val="24"/>
          <w:szCs w:val="24"/>
        </w:rPr>
      </w:pPr>
      <w:r>
        <w:drawing>
          <wp:inline distT="0" distB="0" distL="0" distR="0">
            <wp:extent cx="4559935" cy="4399915"/>
            <wp:effectExtent l="0" t="0" r="0" b="635"/>
            <wp:docPr id="35871950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143"/>
        <w:rPr>
          <w:lang w:eastAsia="zh-CN"/>
        </w:rPr>
      </w:pPr>
      <w:r>
        <w:rPr>
          <w:rFonts w:hint="eastAsia"/>
          <w:lang w:eastAsia="zh-CN"/>
        </w:rPr>
        <w:t>如上图表/数据，摘自QYResearch报告“全球</w:t>
      </w:r>
      <w:r>
        <w:rPr>
          <w:lang w:eastAsia="zh-CN"/>
        </w:rPr>
        <w:t>奶瓶奶嘴</w:t>
      </w:r>
      <w:r>
        <w:rPr>
          <w:rFonts w:hint="eastAsia"/>
          <w:lang w:eastAsia="zh-CN"/>
        </w:rPr>
        <w:t>市场研究报告2023-2029，排名基于2</w:t>
      </w:r>
      <w:r>
        <w:rPr>
          <w:lang w:eastAsia="zh-CN"/>
        </w:rPr>
        <w:t>022</w:t>
      </w:r>
      <w:r>
        <w:rPr>
          <w:rFonts w:hint="eastAsia"/>
          <w:lang w:eastAsia="zh-CN"/>
        </w:rPr>
        <w:t>数据。目前最新数据，以本公司最新调研数据为准。</w:t>
      </w:r>
    </w:p>
    <w:p>
      <w:pPr>
        <w:widowControl/>
        <w:topLinePunct w:val="0"/>
        <w:spacing w:after="0"/>
        <w:rPr>
          <w:rFonts w:ascii="Times New Roman" w:hAnsi="Times New Roman" w:cs="Times New Roman"/>
          <w:kern w:val="0"/>
          <w:sz w:val="22"/>
          <w:szCs w:val="22"/>
        </w:rPr>
      </w:pPr>
      <w:r>
        <w:rPr>
          <w:rFonts w:ascii="Times New Roman" w:hAnsi="Times New Roman" w:cs="Times New Roman"/>
          <w:kern w:val="0"/>
          <w:sz w:val="22"/>
          <w:szCs w:val="22"/>
        </w:rPr>
        <w:t>根据QYResearch头部企业研究中心调研，G90全球范围内奶瓶奶嘴生产商主要包括Philips Avent、Tommee Tippee、Dr. Brown's等。2022年，全球前三大厂商占有大约49.0%的市场份额。</w:t>
      </w:r>
    </w:p>
    <w:p>
      <w:pPr>
        <w:pStyle w:val="145"/>
      </w:pPr>
    </w:p>
    <w:p>
      <w:pPr>
        <w:widowControl/>
        <w:topLinePunct w:val="0"/>
        <w:spacing w:after="0"/>
        <w:jc w:val="left"/>
        <w:rPr>
          <w:rFonts w:cs="Arial"/>
          <w:b/>
          <w:color w:val="FF8200"/>
          <w:kern w:val="0"/>
          <w:szCs w:val="22"/>
        </w:rPr>
      </w:pPr>
      <w:r>
        <w:br w:type="page"/>
      </w:r>
    </w:p>
    <w:p>
      <w:pPr>
        <w:pStyle w:val="148"/>
        <w:rPr>
          <w:lang w:eastAsia="zh-CN"/>
        </w:rPr>
      </w:pPr>
      <w:r>
        <w:rPr>
          <w:lang w:eastAsia="zh-CN"/>
        </w:rPr>
        <w:t>奶瓶奶嘴</w:t>
      </w:r>
      <w:r>
        <w:rPr>
          <w:rFonts w:hint="eastAsia"/>
          <w:lang w:eastAsia="zh-CN"/>
        </w:rPr>
        <w:t>，目前漫流奶嘴是最主要的细分产品，占据大约53.0%的份额。</w:t>
      </w:r>
    </w:p>
    <w:p>
      <w:pPr>
        <w:pStyle w:val="145"/>
        <w:rPr>
          <w:lang w:val="en-US" w:eastAsia="zh-CN"/>
        </w:rPr>
      </w:pPr>
      <w:r>
        <mc:AlternateContent>
          <mc:Choice Requires="wpg">
            <w:drawing>
              <wp:anchor distT="0" distB="0" distL="114300" distR="114300" simplePos="0" relativeHeight="251660288" behindDoc="0" locked="0" layoutInCell="1" allowOverlap="1">
                <wp:simplePos x="0" y="0"/>
                <wp:positionH relativeFrom="column">
                  <wp:posOffset>-245745</wp:posOffset>
                </wp:positionH>
                <wp:positionV relativeFrom="paragraph">
                  <wp:posOffset>225425</wp:posOffset>
                </wp:positionV>
                <wp:extent cx="6673215" cy="3279775"/>
                <wp:effectExtent l="0" t="0" r="13335" b="15875"/>
                <wp:wrapNone/>
                <wp:docPr id="16" name="组合 15"/>
                <wp:cNvGraphicFramePr/>
                <a:graphic xmlns:a="http://schemas.openxmlformats.org/drawingml/2006/main">
                  <a:graphicData uri="http://schemas.microsoft.com/office/word/2010/wordprocessingGroup">
                    <wpg:wgp>
                      <wpg:cNvGrpSpPr/>
                      <wpg:grpSpPr>
                        <a:xfrm>
                          <a:off x="0" y="0"/>
                          <a:ext cx="6673215" cy="3279667"/>
                          <a:chOff x="0" y="-249879"/>
                          <a:chExt cx="6089688" cy="3657796"/>
                        </a:xfrm>
                      </wpg:grpSpPr>
                      <wpg:graphicFrame>
                        <wpg:cNvPr id="1689633341" name="图表 1689633341"/>
                        <wpg:cNvFrPr/>
                        <wpg:xfrm>
                          <a:off x="3249706" y="0"/>
                          <a:ext cx="2839982" cy="3385504"/>
                        </wpg:xfrm>
                        <a:graphic>
                          <a:graphicData uri="http://schemas.openxmlformats.org/drawingml/2006/chart">
                            <c:chart xmlns:c="http://schemas.openxmlformats.org/drawingml/2006/chart" xmlns:r="http://schemas.openxmlformats.org/officeDocument/2006/relationships" r:id="rId12"/>
                          </a:graphicData>
                        </a:graphic>
                      </wpg:graphicFrame>
                      <wpg:graphicFrame>
                        <wpg:cNvPr id="1994037308" name="图表 1994037308"/>
                        <wpg:cNvFrPr/>
                        <wpg:xfrm>
                          <a:off x="0" y="22413"/>
                          <a:ext cx="2839982" cy="3385504"/>
                        </wpg:xfrm>
                        <a:graphic>
                          <a:graphicData uri="http://schemas.openxmlformats.org/drawingml/2006/chart">
                            <c:chart xmlns:c="http://schemas.openxmlformats.org/drawingml/2006/chart" xmlns:r="http://schemas.openxmlformats.org/officeDocument/2006/relationships" r:id="rId13"/>
                          </a:graphicData>
                        </a:graphic>
                      </wpg:graphicFrame>
                      <wps:wsp>
                        <wps:cNvPr id="1751222342" name="文本框 18"/>
                        <wps:cNvSpPr txBox="1"/>
                        <wps:spPr>
                          <a:xfrm>
                            <a:off x="1741318" y="-249879"/>
                            <a:ext cx="2409451" cy="458198"/>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pPr>
                                <w:jc w:val="center"/>
                                <w:rPr>
                                  <w:rFonts w:ascii="Book Antiqua" w:hAnsi="Book Antiqua" w:eastAsiaTheme="minorEastAsia"/>
                                  <w:color w:val="000000" w:themeColor="dark1"/>
                                  <w:kern w:val="0"/>
                                  <w:sz w:val="22"/>
                                  <w:szCs w:val="22"/>
                                  <w14:textFill>
                                    <w14:solidFill>
                                      <w14:schemeClr w14:val="dk1"/>
                                    </w14:solidFill>
                                  </w14:textFill>
                                </w:rPr>
                              </w:pPr>
                              <w:r>
                                <w:rPr>
                                  <w:rFonts w:ascii="Book Antiqua" w:hAnsi="Book Antiqua" w:eastAsiaTheme="minorEastAsia"/>
                                  <w:color w:val="000000" w:themeColor="dark1"/>
                                  <w:sz w:val="22"/>
                                  <w:szCs w:val="22"/>
                                  <w14:textFill>
                                    <w14:solidFill>
                                      <w14:schemeClr w14:val="dk1"/>
                                    </w14:solidFill>
                                  </w14:textFill>
                                </w:rPr>
                                <w:t>CAGR: 4.7%, 2023-2029</w:t>
                              </w:r>
                            </w:p>
                          </w:txbxContent>
                        </wps:txbx>
                        <wps:bodyPr wrap="square" rtlCol="0" anchor="ctr"/>
                      </wps:wsp>
                    </wpg:wgp>
                  </a:graphicData>
                </a:graphic>
              </wp:anchor>
            </w:drawing>
          </mc:Choice>
          <mc:Fallback>
            <w:pict>
              <v:group id="组合 15" o:spid="_x0000_s1026" o:spt="203" style="position:absolute;left:0pt;margin-left:-19.35pt;margin-top:17.75pt;height:258.25pt;width:525.45pt;z-index:251660288;mso-width-relative:page;mso-height-relative:page;" coordorigin="0,-249879" coordsize="6089688,3657796" o:gfxdata="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">
                <o:lock v:ext="edit" aspectratio="f"/>
                <v:rect id="_x0000_s1026" o:spid="_x0000_s1026" o:spt="75" style="position:absolute;left:3249706;top:0;height:3385504;width:2839982;" coordsize="21600,21600" o:gfxdata="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B7Szm/&#10;AAAA4wAAAA8AAAAAAAAAAQAgAAAAIgAAAGRycy9kb3ducmV2LnhtbFBLAQIUABQAAAAIAIdO4kAz&#10;LwWeOwAAADkAAAAQAAAAAAAAAAEAIAAAAA4BAABkcnMvc2hhcGV4bWwueG1sUEsFBgAAAAAGAAYA&#10;WwEAALgDAAAAAA==&#10;">
                  <v:imagedata r:id="rId14" o:title=""/>
                  <o:lock v:ext="edit"/>
                </v:rect>
                <v:rect id="_x0000_s1026" o:spid="_x0000_s1026" o:spt="75" style="position:absolute;left:0;top:22413;height:3385504;width:2839982;" coordsize="21600,21600" o:gfxdata="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u&#10;xsURwwAAAOMAAAAPAAAAAAAAAAEAIAAAACIAAABkcnMvZG93bnJldi54bWxQSwECFAAUAAAACACH&#10;TuJAMy8FnjsAAAA5AAAAEAAAAAAAAAABACAAAAASAQAAZHJzL3NoYXBleG1sLnhtbFBLBQYAAAAA&#10;BgAGAFsBAAC8AwAAAAA=&#10;">
                  <v:imagedata r:id="rId14" o:title=""/>
                  <o:lock v:ext="edit"/>
                </v:rect>
                <v:shape id="文本框 18" o:spid="_x0000_s1026" o:spt="202" type="#_x0000_t202" style="position:absolute;left:1741318;top:-249879;height:458198;width:2409451;v-text-anchor:middle;" filled="f" stroked="f" coordsize="21600,21600" o:gfxdata="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6hn8x&#10;wAAAAOMAAAAPAAAAAAAAAAEAIAAAACIAAABkcnMvZG93bnJldi54bWxQSwECFAAUAAAACACHTuJA&#10;My8FnjsAAAA5AAAAEAAAAAAAAAABACAAAAAPAQAAZHJzL3NoYXBleG1sLnhtbFBLBQYAAAAABgAG&#10;AFsBAAC5AwAAAAA=&#10;">
                  <v:fill on="f" focussize="0,0"/>
                  <v:stroke on="f"/>
                  <v:imagedata o:title=""/>
                  <o:lock v:ext="edit" aspectratio="f"/>
                  <v:textbox>
                    <w:txbxContent>
                      <w:p>
                        <w:pPr>
                          <w:jc w:val="center"/>
                          <w:rPr>
                            <w:rFonts w:ascii="Book Antiqua" w:hAnsi="Book Antiqua" w:eastAsiaTheme="minorEastAsia"/>
                            <w:color w:val="000000" w:themeColor="dark1"/>
                            <w:kern w:val="0"/>
                            <w:sz w:val="22"/>
                            <w:szCs w:val="22"/>
                            <w14:textFill>
                              <w14:solidFill>
                                <w14:schemeClr w14:val="dk1"/>
                              </w14:solidFill>
                            </w14:textFill>
                          </w:rPr>
                        </w:pPr>
                        <w:r>
                          <w:rPr>
                            <w:rFonts w:ascii="Book Antiqua" w:hAnsi="Book Antiqua" w:eastAsiaTheme="minorEastAsia"/>
                            <w:color w:val="000000" w:themeColor="dark1"/>
                            <w:sz w:val="22"/>
                            <w:szCs w:val="22"/>
                            <w14:textFill>
                              <w14:solidFill>
                                <w14:schemeClr w14:val="dk1"/>
                              </w14:solidFill>
                            </w14:textFill>
                          </w:rPr>
                          <w:t>CAGR: 4.7%, 2023-2029</w:t>
                        </w:r>
                      </w:p>
                    </w:txbxContent>
                  </v:textbox>
                </v:shape>
              </v:group>
            </w:pict>
          </mc:Fallback>
        </mc:AlternateContent>
      </w:r>
    </w:p>
    <w:p>
      <w:pPr>
        <w:pStyle w:val="145"/>
        <w:rPr>
          <w:lang w:eastAsia="zh-CN"/>
        </w:rPr>
      </w:pPr>
    </w:p>
    <w:p>
      <w:pPr>
        <w:pStyle w:val="145"/>
        <w:rPr>
          <w:lang w:eastAsia="zh-CN"/>
        </w:rPr>
      </w:pPr>
    </w:p>
    <w:p>
      <w:pPr>
        <w:pStyle w:val="145"/>
        <w:rPr>
          <w:lang w:eastAsia="zh-CN"/>
        </w:rPr>
      </w:pPr>
    </w:p>
    <w:p>
      <w:pPr>
        <w:pStyle w:val="145"/>
        <w:rPr>
          <w:lang w:eastAsia="zh-CN"/>
        </w:rPr>
      </w:pPr>
      <w:r>
        <w:rPr>
          <w:lang w:eastAsia="zh-CN"/>
        </w:rPr>
        <mc:AlternateContent>
          <mc:Choice Requires="wps">
            <w:drawing>
              <wp:anchor distT="45720" distB="45720" distL="114300" distR="114300" simplePos="0" relativeHeight="251661312" behindDoc="0" locked="0" layoutInCell="1" allowOverlap="1">
                <wp:simplePos x="0" y="0"/>
                <wp:positionH relativeFrom="column">
                  <wp:posOffset>1049020</wp:posOffset>
                </wp:positionH>
                <wp:positionV relativeFrom="paragraph">
                  <wp:posOffset>55880</wp:posOffset>
                </wp:positionV>
                <wp:extent cx="612140" cy="366395"/>
                <wp:effectExtent l="0" t="0" r="0" b="0"/>
                <wp:wrapSquare wrapText="bothSides"/>
                <wp:docPr id="217" name="文本框 2"/>
                <wp:cNvGraphicFramePr/>
                <a:graphic xmlns:a="http://schemas.openxmlformats.org/drawingml/2006/main">
                  <a:graphicData uri="http://schemas.microsoft.com/office/word/2010/wordprocessingShape">
                    <wps:wsp>
                      <wps:cNvSpPr txBox="1">
                        <a:spLocks noChangeArrowheads="1"/>
                      </wps:cNvSpPr>
                      <wps:spPr bwMode="auto">
                        <a:xfrm>
                          <a:off x="0" y="0"/>
                          <a:ext cx="612140" cy="366395"/>
                        </a:xfrm>
                        <a:prstGeom prst="rect">
                          <a:avLst/>
                        </a:prstGeom>
                        <a:solidFill>
                          <a:srgbClr val="FFFFFF"/>
                        </a:solidFill>
                        <a:ln w="9525">
                          <a:noFill/>
                          <a:miter lim="800000"/>
                        </a:ln>
                      </wps:spPr>
                      <wps:txbx>
                        <w:txbxContent>
                          <w:p>
                            <w:pPr>
                              <w:rPr>
                                <w:sz w:val="24"/>
                                <w:szCs w:val="24"/>
                              </w:rPr>
                            </w:pPr>
                            <w:r>
                              <w:rPr>
                                <w:sz w:val="24"/>
                                <w:szCs w:val="24"/>
                              </w:rPr>
                              <w:t>2022</w:t>
                            </w:r>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82.6pt;margin-top:4.4pt;height:28.85pt;width:48.2pt;mso-wrap-distance-bottom:3.6pt;mso-wrap-distance-left:9pt;mso-wrap-distance-right:9pt;mso-wrap-distance-top:3.6pt;z-index:251661312;mso-width-relative:page;mso-height-relative:page;" fillcolor="#FFFFFF" filled="t" stroked="f" coordsize="21600,21600" o:gfxdata="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R5PhLdUAAAAIAQAADwAAAAAAAAABACAAAAAiAAAAZHJzL2Rvd25y&#10;ZXYueG1sUEsBAhQAFAAAAAgAh07iQKO+hkM6AgAAUwQAAA4AAAAAAAAAAQAgAAAAJAEAAGRycy9l&#10;Mm9Eb2MueG1sUEsFBgAAAAAGAAYAWQEAANAFAAAAAA==&#10;">
                <v:fill on="t" focussize="0,0"/>
                <v:stroke on="f" miterlimit="8" joinstyle="miter"/>
                <v:imagedata o:title=""/>
                <o:lock v:ext="edit" aspectratio="f"/>
                <v:textbox>
                  <w:txbxContent>
                    <w:p>
                      <w:pPr>
                        <w:rPr>
                          <w:sz w:val="24"/>
                          <w:szCs w:val="24"/>
                        </w:rPr>
                      </w:pPr>
                      <w:r>
                        <w:rPr>
                          <w:sz w:val="24"/>
                          <w:szCs w:val="24"/>
                        </w:rPr>
                        <w:t>2022</w:t>
                      </w:r>
                    </w:p>
                  </w:txbxContent>
                </v:textbox>
                <w10:wrap type="square"/>
              </v:shape>
            </w:pict>
          </mc:Fallback>
        </mc:AlternateContent>
      </w:r>
      <w:r>
        <w:rPr>
          <w:lang w:eastAsia="zh-CN"/>
        </w:rPr>
        <mc:AlternateContent>
          <mc:Choice Requires="wps">
            <w:drawing>
              <wp:anchor distT="45720" distB="45720" distL="114300" distR="114300" simplePos="0" relativeHeight="251662336" behindDoc="0" locked="0" layoutInCell="1" allowOverlap="1">
                <wp:simplePos x="0" y="0"/>
                <wp:positionH relativeFrom="column">
                  <wp:posOffset>4610100</wp:posOffset>
                </wp:positionH>
                <wp:positionV relativeFrom="paragraph">
                  <wp:posOffset>5080</wp:posOffset>
                </wp:positionV>
                <wp:extent cx="612140" cy="366395"/>
                <wp:effectExtent l="0" t="0" r="0" b="0"/>
                <wp:wrapSquare wrapText="bothSides"/>
                <wp:docPr id="719749463" name="文本框 2"/>
                <wp:cNvGraphicFramePr/>
                <a:graphic xmlns:a="http://schemas.openxmlformats.org/drawingml/2006/main">
                  <a:graphicData uri="http://schemas.microsoft.com/office/word/2010/wordprocessingShape">
                    <wps:wsp>
                      <wps:cNvSpPr txBox="1">
                        <a:spLocks noChangeArrowheads="1"/>
                      </wps:cNvSpPr>
                      <wps:spPr bwMode="auto">
                        <a:xfrm>
                          <a:off x="0" y="0"/>
                          <a:ext cx="612140" cy="366395"/>
                        </a:xfrm>
                        <a:prstGeom prst="rect">
                          <a:avLst/>
                        </a:prstGeom>
                        <a:solidFill>
                          <a:srgbClr val="FFFFFF"/>
                        </a:solidFill>
                        <a:ln w="9525">
                          <a:noFill/>
                          <a:miter lim="800000"/>
                        </a:ln>
                      </wps:spPr>
                      <wps:txbx>
                        <w:txbxContent>
                          <w:p>
                            <w:pPr>
                              <w:rPr>
                                <w:sz w:val="24"/>
                                <w:szCs w:val="24"/>
                              </w:rPr>
                            </w:pPr>
                            <w:r>
                              <w:rPr>
                                <w:sz w:val="24"/>
                                <w:szCs w:val="24"/>
                              </w:rPr>
                              <w:t>2029</w:t>
                            </w:r>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363pt;margin-top:0.4pt;height:28.85pt;width:48.2pt;mso-wrap-distance-bottom:3.6pt;mso-wrap-distance-left:9pt;mso-wrap-distance-right:9pt;mso-wrap-distance-top:3.6pt;z-index:251662336;mso-width-relative:page;mso-height-relative:page;" fillcolor="#FFFFFF" filled="t" stroked="f" coordsize="21600,21600" o:gfxdata="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dyZJU9YAAAAHAQAADwAAAAAAAAABACAAAAAiAAAAZHJz&#10;L2Rvd25yZXYueG1sUEsBAhQAFAAAAAgAh07iQERtxbA/AgAAWQQAAA4AAAAAAAAAAQAgAAAAJQEA&#10;AGRycy9lMm9Eb2MueG1sUEsFBgAAAAAGAAYAWQEAANYFAAAAAA==&#10;">
                <v:fill on="t" focussize="0,0"/>
                <v:stroke on="f" miterlimit="8" joinstyle="miter"/>
                <v:imagedata o:title=""/>
                <o:lock v:ext="edit" aspectratio="f"/>
                <v:textbox>
                  <w:txbxContent>
                    <w:p>
                      <w:pPr>
                        <w:rPr>
                          <w:sz w:val="24"/>
                          <w:szCs w:val="24"/>
                        </w:rPr>
                      </w:pPr>
                      <w:r>
                        <w:rPr>
                          <w:sz w:val="24"/>
                          <w:szCs w:val="24"/>
                        </w:rPr>
                        <w:t>2029</w:t>
                      </w:r>
                    </w:p>
                  </w:txbxContent>
                </v:textbox>
                <w10:wrap type="square"/>
              </v:shape>
            </w:pict>
          </mc:Fallback>
        </mc:AlternateContent>
      </w:r>
    </w:p>
    <w:p>
      <w:pPr>
        <w:pStyle w:val="145"/>
        <w:rPr>
          <w:lang w:eastAsia="zh-CN"/>
        </w:rPr>
      </w:pPr>
    </w:p>
    <w:p>
      <w:pPr>
        <w:pStyle w:val="145"/>
        <w:rPr>
          <w:lang w:eastAsia="zh-CN"/>
        </w:rPr>
      </w:pPr>
    </w:p>
    <w:p>
      <w:pPr>
        <w:pStyle w:val="145"/>
        <w:rPr>
          <w:lang w:eastAsia="zh-CN"/>
        </w:rPr>
      </w:pPr>
    </w:p>
    <w:p>
      <w:pPr>
        <w:pStyle w:val="145"/>
        <w:rPr>
          <w:lang w:eastAsia="zh-CN"/>
        </w:rPr>
      </w:pPr>
      <w:r>
        <w:drawing>
          <wp:inline distT="0" distB="0" distL="0" distR="0">
            <wp:extent cx="6188710" cy="2895600"/>
            <wp:effectExtent l="0" t="0" r="2540" b="0"/>
            <wp:docPr id="71524120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pPr>
        <w:pStyle w:val="143"/>
        <w:rPr>
          <w:lang w:eastAsia="zh-CN"/>
        </w:rPr>
      </w:pPr>
      <w:r>
        <w:rPr>
          <w:rFonts w:hint="eastAsia"/>
          <w:lang w:eastAsia="zh-CN"/>
        </w:rPr>
        <w:t>如上图表/数据，摘自QYResearch最新报告“全球</w:t>
      </w:r>
      <w:r>
        <w:rPr>
          <w:lang w:eastAsia="zh-CN"/>
        </w:rPr>
        <w:t>奶瓶奶嘴</w:t>
      </w:r>
      <w:r>
        <w:rPr>
          <w:rFonts w:hint="eastAsia"/>
          <w:lang w:eastAsia="zh-CN"/>
        </w:rPr>
        <w:t>市场研究报告2023-2029</w:t>
      </w:r>
      <w:r>
        <w:rPr>
          <w:lang w:eastAsia="zh-CN"/>
        </w:rPr>
        <w:t>.</w:t>
      </w:r>
    </w:p>
    <w:p>
      <w:pPr>
        <w:widowControl/>
        <w:topLinePunct w:val="0"/>
        <w:spacing w:after="0"/>
        <w:jc w:val="left"/>
        <w:rPr>
          <w:rFonts w:cs="Arial"/>
          <w:b/>
          <w:color w:val="FF8200"/>
          <w:kern w:val="0"/>
          <w:szCs w:val="22"/>
        </w:rPr>
      </w:pPr>
      <w:r>
        <w:rPr>
          <w:rFonts w:hint="eastAsia"/>
          <w:color w:val="0D0D0D" w:themeColor="text1" w:themeTint="F2"/>
          <w:kern w:val="0"/>
          <w:szCs w:val="22"/>
          <w:lang w:val="en-IN"/>
          <w14:textFill>
            <w14:solidFill>
              <w14:schemeClr w14:val="tx1">
                <w14:lumMod w14:val="95000"/>
                <w14:lumOff w14:val="5000"/>
              </w14:schemeClr>
            </w14:solidFill>
          </w14:textFill>
        </w:rPr>
        <w:t>就产品类型而言，目前漫流奶嘴是最主要的细分产品，占据大约53.0%的份额。</w:t>
      </w:r>
      <w:r>
        <w:br w:type="page"/>
      </w:r>
    </w:p>
    <w:p>
      <w:pPr>
        <w:pStyle w:val="148"/>
        <w:rPr>
          <w:lang w:eastAsia="zh-CN"/>
        </w:rPr>
      </w:pPr>
      <w:r>
        <mc:AlternateContent>
          <mc:Choice Requires="wpg">
            <w:drawing>
              <wp:anchor distT="0" distB="0" distL="114300" distR="114300" simplePos="0" relativeHeight="251659264" behindDoc="0" locked="0" layoutInCell="1" allowOverlap="1">
                <wp:simplePos x="0" y="0"/>
                <wp:positionH relativeFrom="column">
                  <wp:posOffset>-3810</wp:posOffset>
                </wp:positionH>
                <wp:positionV relativeFrom="paragraph">
                  <wp:posOffset>222250</wp:posOffset>
                </wp:positionV>
                <wp:extent cx="6344920" cy="2981960"/>
                <wp:effectExtent l="0" t="0" r="17780" b="8890"/>
                <wp:wrapNone/>
                <wp:docPr id="12" name="组合 11"/>
                <wp:cNvGraphicFramePr/>
                <a:graphic xmlns:a="http://schemas.openxmlformats.org/drawingml/2006/main">
                  <a:graphicData uri="http://schemas.microsoft.com/office/word/2010/wordprocessingGroup">
                    <wpg:wgp>
                      <wpg:cNvGrpSpPr/>
                      <wpg:grpSpPr>
                        <a:xfrm>
                          <a:off x="0" y="0"/>
                          <a:ext cx="6345141" cy="2981932"/>
                          <a:chOff x="0" y="-84027"/>
                          <a:chExt cx="6089688" cy="3491943"/>
                        </a:xfrm>
                      </wpg:grpSpPr>
                      <wpg:graphicFrame>
                        <wpg:cNvPr id="427896979" name="图表 427896979"/>
                        <wpg:cNvFrPr/>
                        <wpg:xfrm>
                          <a:off x="3249706" y="0"/>
                          <a:ext cx="2839982" cy="3385504"/>
                        </wpg:xfrm>
                        <a:graphic>
                          <a:graphicData uri="http://schemas.openxmlformats.org/drawingml/2006/chart">
                            <c:chart xmlns:c="http://schemas.openxmlformats.org/drawingml/2006/chart" xmlns:r="http://schemas.openxmlformats.org/officeDocument/2006/relationships" r:id="rId16"/>
                          </a:graphicData>
                        </a:graphic>
                      </wpg:graphicFrame>
                      <wpg:graphicFrame>
                        <wpg:cNvPr id="175668345" name="图表 175668345"/>
                        <wpg:cNvFrPr/>
                        <wpg:xfrm>
                          <a:off x="0" y="22412"/>
                          <a:ext cx="2839982" cy="3385504"/>
                        </wpg:xfrm>
                        <a:graphic>
                          <a:graphicData uri="http://schemas.openxmlformats.org/drawingml/2006/chart">
                            <c:chart xmlns:c="http://schemas.openxmlformats.org/drawingml/2006/chart" xmlns:r="http://schemas.openxmlformats.org/officeDocument/2006/relationships" r:id="rId17"/>
                          </a:graphicData>
                        </a:graphic>
                      </wpg:graphicFrame>
                      <wps:wsp>
                        <wps:cNvPr id="2091916605" name="文本框 14"/>
                        <wps:cNvSpPr txBox="1"/>
                        <wps:spPr>
                          <a:xfrm>
                            <a:off x="1741217" y="-84027"/>
                            <a:ext cx="2409181" cy="496724"/>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pPr>
                                <w:jc w:val="center"/>
                                <w:rPr>
                                  <w:rFonts w:ascii="Book Antiqua" w:hAnsi="Book Antiqua" w:eastAsiaTheme="minorEastAsia"/>
                                  <w:color w:val="000000" w:themeColor="dark1"/>
                                  <w:kern w:val="0"/>
                                  <w:sz w:val="22"/>
                                  <w:szCs w:val="22"/>
                                  <w14:textFill>
                                    <w14:solidFill>
                                      <w14:schemeClr w14:val="dk1"/>
                                    </w14:solidFill>
                                  </w14:textFill>
                                </w:rPr>
                              </w:pPr>
                              <w:r>
                                <w:rPr>
                                  <w:rFonts w:ascii="Book Antiqua" w:hAnsi="Book Antiqua" w:eastAsiaTheme="minorEastAsia"/>
                                  <w:color w:val="000000" w:themeColor="dark1"/>
                                  <w:sz w:val="22"/>
                                  <w:szCs w:val="22"/>
                                  <w14:textFill>
                                    <w14:solidFill>
                                      <w14:schemeClr w14:val="dk1"/>
                                    </w14:solidFill>
                                  </w14:textFill>
                                </w:rPr>
                                <w:t>CAGR:  4.7%, 2023-2029</w:t>
                              </w:r>
                            </w:p>
                          </w:txbxContent>
                        </wps:txbx>
                        <wps:bodyPr wrap="square" rtlCol="0" anchor="ctr"/>
                      </wps:wsp>
                    </wpg:wgp>
                  </a:graphicData>
                </a:graphic>
              </wp:anchor>
            </w:drawing>
          </mc:Choice>
          <mc:Fallback>
            <w:pict>
              <v:group id="组合 11" o:spid="_x0000_s1026" o:spt="203" style="position:absolute;left:0pt;margin-left:-0.3pt;margin-top:17.5pt;height:234.8pt;width:499.6pt;z-index:251659264;mso-width-relative:page;mso-height-relative:page;" coordorigin="0,-84027" coordsize="6089688,3491943" o:gfxdata="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">
                <o:lock v:ext="edit" aspectratio="f"/>
                <v:rect id="_x0000_s1026" o:spid="_x0000_s1026" o:spt="75" style="position:absolute;left:3249706;top:0;height:3385504;width:2839982;" coordsize="21600,21600" o:gfxdata="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u7RQ&#10;psEAAADiAAAADwAAAAAAAAABACAAAAAiAAAAZHJzL2Rvd25yZXYueG1sUEsBAhQAFAAAAAgAh07i&#10;QDMvBZ47AAAAOQAAABAAAAAAAAAAAQAgAAAAEAEAAGRycy9zaGFwZXhtbC54bWxQSwUGAAAAAAYA&#10;BgBbAQAAugMAAAAA&#10;">
                  <v:imagedata r:id="rId18" o:title=""/>
                  <o:lock v:ext="edit"/>
                </v:rect>
                <v:rect id="_x0000_s1026" o:spid="_x0000_s1026" o:spt="75" style="position:absolute;left:0;top:22412;height:3385504;width:2839982;" coordsize="21600,21600" o:gfxdata="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KNtfy/&#10;AAAA4gAAAA8AAAAAAAAAAQAgAAAAIgAAAGRycy9kb3ducmV2LnhtbFBLAQIUABQAAAAIAIdO4kAz&#10;LwWeOwAAADkAAAAQAAAAAAAAAAEAIAAAAA4BAABkcnMvc2hhcGV4bWwueG1sUEsFBgAAAAAGAAYA&#10;WwEAALgDAAAAAA==&#10;">
                  <v:imagedata r:id="rId19" o:title=""/>
                  <o:lock v:ext="edit"/>
                </v:rect>
                <v:shape id="文本框 14" o:spid="_x0000_s1026" o:spt="202" type="#_x0000_t202" style="position:absolute;left:1741217;top:-84027;height:496724;width:2409181;v-text-anchor:middle;" filled="f" stroked="f" coordsize="21600,21600" o:gfxdata="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BKa&#10;UG3CAAAA4wAAAA8AAAAAAAAAAQAgAAAAIgAAAGRycy9kb3ducmV2LnhtbFBLAQIUABQAAAAIAIdO&#10;4kAzLwWeOwAAADkAAAAQAAAAAAAAAAEAIAAAABEBAABkcnMvc2hhcGV4bWwueG1sUEsFBgAAAAAG&#10;AAYAWwEAALsDAAAAAA==&#10;">
                  <v:fill on="f" focussize="0,0"/>
                  <v:stroke on="f"/>
                  <v:imagedata o:title=""/>
                  <o:lock v:ext="edit" aspectratio="f"/>
                  <v:textbox>
                    <w:txbxContent>
                      <w:p>
                        <w:pPr>
                          <w:jc w:val="center"/>
                          <w:rPr>
                            <w:rFonts w:ascii="Book Antiqua" w:hAnsi="Book Antiqua" w:eastAsiaTheme="minorEastAsia"/>
                            <w:color w:val="000000" w:themeColor="dark1"/>
                            <w:kern w:val="0"/>
                            <w:sz w:val="22"/>
                            <w:szCs w:val="22"/>
                            <w14:textFill>
                              <w14:solidFill>
                                <w14:schemeClr w14:val="dk1"/>
                              </w14:solidFill>
                            </w14:textFill>
                          </w:rPr>
                        </w:pPr>
                        <w:r>
                          <w:rPr>
                            <w:rFonts w:ascii="Book Antiqua" w:hAnsi="Book Antiqua" w:eastAsiaTheme="minorEastAsia"/>
                            <w:color w:val="000000" w:themeColor="dark1"/>
                            <w:sz w:val="22"/>
                            <w:szCs w:val="22"/>
                            <w14:textFill>
                              <w14:solidFill>
                                <w14:schemeClr w14:val="dk1"/>
                              </w14:solidFill>
                            </w14:textFill>
                          </w:rPr>
                          <w:t>CAGR:  4.7%, 2023-2029</w:t>
                        </w:r>
                      </w:p>
                    </w:txbxContent>
                  </v:textbox>
                </v:shape>
              </v:group>
            </w:pict>
          </mc:Fallback>
        </mc:AlternateContent>
      </w:r>
      <w:r>
        <w:rPr>
          <w:lang w:eastAsia="zh-CN"/>
        </w:rPr>
        <w:t>奶瓶奶嘴</w:t>
      </w:r>
      <w:r>
        <w:rPr>
          <w:rFonts w:hint="eastAsia"/>
          <w:lang w:eastAsia="zh-CN"/>
        </w:rPr>
        <w:t>，就产品应用而言，目前超市是最主要的需求来源，占据大约36.0%的份额。</w:t>
      </w:r>
    </w:p>
    <w:p>
      <w:pPr>
        <w:pStyle w:val="145"/>
        <w:rPr>
          <w:rFonts w:hint="eastAsia"/>
          <w:lang w:val="en-US" w:eastAsia="zh-CN"/>
        </w:rPr>
      </w:pPr>
    </w:p>
    <w:p>
      <w:pPr>
        <w:pStyle w:val="145"/>
        <w:rPr>
          <w:lang w:eastAsia="zh-CN"/>
        </w:rPr>
      </w:pPr>
    </w:p>
    <w:p>
      <w:pPr>
        <w:pStyle w:val="145"/>
        <w:rPr>
          <w:lang w:eastAsia="zh-CN"/>
        </w:rPr>
      </w:pPr>
      <w:r>
        <w:rPr>
          <w:lang w:eastAsia="zh-CN"/>
        </w:rPr>
        <mc:AlternateContent>
          <mc:Choice Requires="wps">
            <w:drawing>
              <wp:anchor distT="45720" distB="45720" distL="114300" distR="114300" simplePos="0" relativeHeight="251665408" behindDoc="0" locked="0" layoutInCell="1" allowOverlap="1">
                <wp:simplePos x="0" y="0"/>
                <wp:positionH relativeFrom="column">
                  <wp:posOffset>4584700</wp:posOffset>
                </wp:positionH>
                <wp:positionV relativeFrom="paragraph">
                  <wp:posOffset>338455</wp:posOffset>
                </wp:positionV>
                <wp:extent cx="648970" cy="388620"/>
                <wp:effectExtent l="0" t="0" r="0" b="0"/>
                <wp:wrapSquare wrapText="bothSides"/>
                <wp:docPr id="1052629313" name="文本框 2"/>
                <wp:cNvGraphicFramePr/>
                <a:graphic xmlns:a="http://schemas.openxmlformats.org/drawingml/2006/main">
                  <a:graphicData uri="http://schemas.microsoft.com/office/word/2010/wordprocessingShape">
                    <wps:wsp>
                      <wps:cNvSpPr txBox="1">
                        <a:spLocks noChangeArrowheads="1"/>
                      </wps:cNvSpPr>
                      <wps:spPr bwMode="auto">
                        <a:xfrm>
                          <a:off x="0" y="0"/>
                          <a:ext cx="648970" cy="388620"/>
                        </a:xfrm>
                        <a:prstGeom prst="rect">
                          <a:avLst/>
                        </a:prstGeom>
                        <a:solidFill>
                          <a:srgbClr val="FFFFFF"/>
                        </a:solidFill>
                        <a:ln w="9525">
                          <a:noFill/>
                          <a:miter lim="800000"/>
                        </a:ln>
                      </wps:spPr>
                      <wps:txbx>
                        <w:txbxContent>
                          <w:p>
                            <w:pPr>
                              <w:rPr>
                                <w:sz w:val="24"/>
                                <w:szCs w:val="24"/>
                              </w:rPr>
                            </w:pPr>
                            <w:r>
                              <w:rPr>
                                <w:sz w:val="24"/>
                                <w:szCs w:val="24"/>
                              </w:rPr>
                              <w:t>2029</w:t>
                            </w:r>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361pt;margin-top:26.65pt;height:30.6pt;width:51.1pt;mso-wrap-distance-bottom:3.6pt;mso-wrap-distance-left:9pt;mso-wrap-distance-right:9pt;mso-wrap-distance-top:3.6pt;z-index:251665408;mso-width-relative:page;mso-height-relative:page;" fillcolor="#FFFFFF" filled="t" stroked="f" coordsize="21600,21600" o:gfxdata="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OpOrVfZAAAACgEAAA8AAAAAAAAAAQAgAAAAIgAA&#10;AGRycy9kb3ducmV2LnhtbFBLAQIUABQAAAAIAIdO4kBf/wvZQAIAAFoEAAAOAAAAAAAAAAEAIAAA&#10;ACgBAABkcnMvZTJvRG9jLnhtbFBLBQYAAAAABgAGAFkBAADaBQAAAAA=&#10;">
                <v:fill on="t" focussize="0,0"/>
                <v:stroke on="f" miterlimit="8" joinstyle="miter"/>
                <v:imagedata o:title=""/>
                <o:lock v:ext="edit" aspectratio="f"/>
                <v:textbox>
                  <w:txbxContent>
                    <w:p>
                      <w:pPr>
                        <w:rPr>
                          <w:sz w:val="24"/>
                          <w:szCs w:val="24"/>
                        </w:rPr>
                      </w:pPr>
                      <w:r>
                        <w:rPr>
                          <w:sz w:val="24"/>
                          <w:szCs w:val="24"/>
                        </w:rPr>
                        <w:t>2029</w:t>
                      </w:r>
                    </w:p>
                  </w:txbxContent>
                </v:textbox>
                <w10:wrap type="square"/>
              </v:shape>
            </w:pict>
          </mc:Fallback>
        </mc:AlternateContent>
      </w:r>
      <w:r>
        <w:rPr>
          <w:lang w:eastAsia="zh-CN"/>
        </w:rPr>
        <mc:AlternateContent>
          <mc:Choice Requires="wps">
            <w:drawing>
              <wp:anchor distT="45720" distB="45720" distL="114300" distR="114300" simplePos="0" relativeHeight="251663360" behindDoc="0" locked="0" layoutInCell="1" allowOverlap="1">
                <wp:simplePos x="0" y="0"/>
                <wp:positionH relativeFrom="column">
                  <wp:posOffset>1160145</wp:posOffset>
                </wp:positionH>
                <wp:positionV relativeFrom="paragraph">
                  <wp:posOffset>339090</wp:posOffset>
                </wp:positionV>
                <wp:extent cx="648970" cy="388620"/>
                <wp:effectExtent l="0" t="0" r="0" b="0"/>
                <wp:wrapSquare wrapText="bothSides"/>
                <wp:docPr id="107366704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648970" cy="388620"/>
                        </a:xfrm>
                        <a:prstGeom prst="rect">
                          <a:avLst/>
                        </a:prstGeom>
                        <a:solidFill>
                          <a:srgbClr val="FFFFFF"/>
                        </a:solidFill>
                        <a:ln w="9525">
                          <a:noFill/>
                          <a:miter lim="800000"/>
                        </a:ln>
                      </wps:spPr>
                      <wps:txbx>
                        <w:txbxContent>
                          <w:p>
                            <w:pPr>
                              <w:rPr>
                                <w:sz w:val="24"/>
                                <w:szCs w:val="24"/>
                              </w:rPr>
                            </w:pPr>
                            <w:r>
                              <w:rPr>
                                <w:sz w:val="24"/>
                                <w:szCs w:val="24"/>
                              </w:rPr>
                              <w:t>2022</w:t>
                            </w:r>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91.35pt;margin-top:26.7pt;height:30.6pt;width:51.1pt;mso-wrap-distance-bottom:3.6pt;mso-wrap-distance-left:9pt;mso-wrap-distance-right:9pt;mso-wrap-distance-top:3.6pt;z-index:251663360;mso-width-relative:page;mso-height-relative:page;" fillcolor="#FFFFFF" filled="t" stroked="f" coordsize="21600,21600" o:gfxdata="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m/4Ob1wAAAAoBAAAPAAAAAAAAAAEAIAAAACIAAABk&#10;cnMvZG93bnJldi54bWxQSwECFAAUAAAACACHTuJANC1DiEACAABaBAAADgAAAAAAAAABACAAAAAm&#10;AQAAZHJzL2Uyb0RvYy54bWxQSwUGAAAAAAYABgBZAQAA2AUAAAAA&#10;">
                <v:fill on="t" focussize="0,0"/>
                <v:stroke on="f" miterlimit="8" joinstyle="miter"/>
                <v:imagedata o:title=""/>
                <o:lock v:ext="edit" aspectratio="f"/>
                <v:textbox>
                  <w:txbxContent>
                    <w:p>
                      <w:pPr>
                        <w:rPr>
                          <w:sz w:val="24"/>
                          <w:szCs w:val="24"/>
                        </w:rPr>
                      </w:pPr>
                      <w:r>
                        <w:rPr>
                          <w:sz w:val="24"/>
                          <w:szCs w:val="24"/>
                        </w:rPr>
                        <w:t>2022</w:t>
                      </w:r>
                    </w:p>
                  </w:txbxContent>
                </v:textbox>
                <w10:wrap type="square"/>
              </v:shape>
            </w:pict>
          </mc:Fallback>
        </mc:AlternateContent>
      </w:r>
    </w:p>
    <w:p>
      <w:pPr>
        <w:pStyle w:val="145"/>
        <w:rPr>
          <w:lang w:eastAsia="zh-CN"/>
        </w:rPr>
      </w:pPr>
    </w:p>
    <w:p>
      <w:pPr>
        <w:pStyle w:val="145"/>
        <w:rPr>
          <w:lang w:eastAsia="zh-CN"/>
        </w:rPr>
      </w:pPr>
    </w:p>
    <w:p>
      <w:pPr>
        <w:pStyle w:val="145"/>
        <w:rPr>
          <w:lang w:eastAsia="zh-CN"/>
        </w:rPr>
      </w:pPr>
    </w:p>
    <w:p>
      <w:pPr>
        <w:pStyle w:val="145"/>
        <w:rPr>
          <w:lang w:eastAsia="zh-CN"/>
        </w:rPr>
      </w:pPr>
    </w:p>
    <w:p>
      <w:pPr>
        <w:pStyle w:val="145"/>
        <w:rPr>
          <w:lang w:eastAsia="zh-CN"/>
        </w:rPr>
      </w:pPr>
    </w:p>
    <w:p>
      <w:pPr>
        <w:pStyle w:val="143"/>
        <w:rPr>
          <w:lang w:eastAsia="zh-CN"/>
        </w:rPr>
      </w:pPr>
      <w:r>
        <w:rPr>
          <w:rFonts w:hint="eastAsia"/>
          <w:lang w:eastAsia="zh-CN"/>
        </w:rPr>
        <w:t>如上图表/数据，摘自QYResearch最新报告“全球</w:t>
      </w:r>
      <w:r>
        <w:rPr>
          <w:lang w:eastAsia="zh-CN"/>
        </w:rPr>
        <w:t>奶瓶奶嘴</w:t>
      </w:r>
      <w:r>
        <w:rPr>
          <w:rFonts w:hint="eastAsia"/>
          <w:lang w:eastAsia="zh-CN"/>
        </w:rPr>
        <w:t>市场研究报告2023-2029</w:t>
      </w:r>
      <w:r>
        <w:rPr>
          <w:lang w:eastAsia="zh-CN"/>
        </w:rPr>
        <w:t>.</w:t>
      </w:r>
    </w:p>
    <w:p>
      <w:pPr>
        <w:widowControl/>
        <w:topLinePunct w:val="0"/>
        <w:spacing w:after="0"/>
        <w:rPr>
          <w:rFonts w:ascii="Book Antiqua" w:hAnsi="Book Antiqua" w:cs="宋体"/>
          <w:kern w:val="0"/>
          <w:sz w:val="22"/>
          <w:szCs w:val="22"/>
        </w:rPr>
      </w:pPr>
      <w:r>
        <w:rPr>
          <w:rFonts w:ascii="Book Antiqua" w:hAnsi="Book Antiqua" w:cs="宋体"/>
          <w:kern w:val="0"/>
          <w:sz w:val="22"/>
          <w:szCs w:val="22"/>
        </w:rPr>
        <w:t>就产品应用而言，目前超市是最主要的需求来源，占据大约36.0%的份额。</w:t>
      </w:r>
    </w:p>
    <w:p>
      <w:pPr>
        <w:pStyle w:val="145"/>
        <w:rPr>
          <w:lang w:val="en-US" w:eastAsia="zh-CN"/>
        </w:rPr>
      </w:pPr>
    </w:p>
    <w:p>
      <w:pPr>
        <w:widowControl/>
        <w:topLinePunct w:val="0"/>
        <w:spacing w:after="0"/>
        <w:jc w:val="left"/>
        <w:rPr>
          <w:rFonts w:cs="Arial"/>
          <w:b/>
          <w:color w:val="FF8200"/>
          <w:kern w:val="0"/>
          <w:szCs w:val="22"/>
        </w:rPr>
      </w:pPr>
      <w:r>
        <w:br w:type="page"/>
      </w:r>
    </w:p>
    <w:p>
      <w:pPr>
        <w:pStyle w:val="148"/>
        <w:rPr>
          <w:lang w:eastAsia="zh-CN"/>
        </w:rPr>
      </w:pPr>
      <w:r>
        <w:rPr>
          <w:rFonts w:hint="eastAsia"/>
          <w:lang w:eastAsia="zh-CN"/>
        </w:rPr>
        <w:t>全球</w:t>
      </w:r>
      <w:r>
        <w:rPr>
          <w:lang w:eastAsia="zh-CN"/>
        </w:rPr>
        <w:t>奶瓶奶嘴</w:t>
      </w:r>
      <w:r>
        <w:rPr>
          <w:rFonts w:hint="eastAsia"/>
          <w:lang w:eastAsia="zh-CN"/>
        </w:rPr>
        <w:t>规模，主要生产地区份额（按产值）</w:t>
      </w:r>
    </w:p>
    <w:p>
      <w:pPr>
        <w:pStyle w:val="145"/>
        <w:rPr>
          <w:lang w:eastAsia="zh-CN"/>
        </w:rPr>
      </w:pPr>
      <w:r>
        <w:drawing>
          <wp:inline distT="0" distB="0" distL="0" distR="0">
            <wp:extent cx="6188710" cy="3409315"/>
            <wp:effectExtent l="0" t="0" r="2540" b="635"/>
            <wp:docPr id="135341592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pPr>
        <w:pStyle w:val="145"/>
        <w:rPr>
          <w:lang w:eastAsia="zh-CN"/>
        </w:rPr>
      </w:pPr>
      <w:r>
        <w:drawing>
          <wp:inline distT="0" distB="0" distL="0" distR="0">
            <wp:extent cx="6188710" cy="2896235"/>
            <wp:effectExtent l="0" t="0" r="2540" b="0"/>
            <wp:docPr id="134670927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pPr>
        <w:pStyle w:val="143"/>
        <w:rPr>
          <w:lang w:eastAsia="zh-CN"/>
        </w:rPr>
      </w:pPr>
      <w:r>
        <w:rPr>
          <w:rFonts w:hint="eastAsia"/>
          <w:lang w:eastAsia="zh-CN"/>
        </w:rPr>
        <w:t>如上图表/数据，摘自QYResearch最新报告“全球</w:t>
      </w:r>
      <w:r>
        <w:rPr>
          <w:lang w:eastAsia="zh-CN"/>
        </w:rPr>
        <w:t>奶瓶奶嘴</w:t>
      </w:r>
      <w:r>
        <w:rPr>
          <w:rFonts w:hint="eastAsia"/>
          <w:lang w:eastAsia="zh-CN"/>
        </w:rPr>
        <w:t>市场研究报告2023-2029</w:t>
      </w:r>
      <w:r>
        <w:rPr>
          <w:lang w:eastAsia="zh-CN"/>
        </w:rPr>
        <w:t>.</w:t>
      </w:r>
    </w:p>
    <w:p>
      <w:pPr>
        <w:pStyle w:val="145"/>
        <w:rPr>
          <w:lang w:eastAsia="zh-CN"/>
        </w:rPr>
      </w:pPr>
    </w:p>
    <w:p>
      <w:pPr>
        <w:widowControl/>
        <w:topLinePunct w:val="0"/>
        <w:spacing w:after="0"/>
        <w:jc w:val="left"/>
        <w:rPr>
          <w:color w:val="0D0D0D" w:themeColor="text1" w:themeTint="F2"/>
          <w:kern w:val="0"/>
          <w:szCs w:val="22"/>
          <w:lang w:val="en-IN"/>
          <w14:textFill>
            <w14:solidFill>
              <w14:schemeClr w14:val="tx1">
                <w14:lumMod w14:val="95000"/>
                <w14:lumOff w14:val="5000"/>
              </w14:schemeClr>
            </w14:solidFill>
          </w14:textFill>
        </w:rPr>
      </w:pPr>
      <w:r>
        <w:br w:type="page"/>
      </w:r>
    </w:p>
    <w:p>
      <w:pPr>
        <w:pStyle w:val="145"/>
        <w:rPr>
          <w:lang w:eastAsia="zh-CN"/>
        </w:rPr>
      </w:pPr>
      <w:r>
        <w:rPr>
          <w:rFonts w:hint="eastAsia"/>
          <w:lang w:eastAsia="zh-CN"/>
        </w:rPr>
        <w:t>主要驱动因素</w:t>
      </w:r>
      <w:r>
        <w:rPr>
          <w:lang w:eastAsia="zh-CN"/>
        </w:rPr>
        <w:t>:</w:t>
      </w:r>
    </w:p>
    <w:p>
      <w:pPr>
        <w:pStyle w:val="145"/>
        <w:rPr>
          <w:lang w:eastAsia="zh-CN"/>
        </w:rPr>
      </w:pPr>
      <w:r>
        <w:rPr>
          <w:rFonts w:hint="eastAsia"/>
          <w:lang w:eastAsia="zh-CN"/>
        </w:rPr>
        <w:t>1. 出生率上升和人口增长：全球人口持续增长，导致出生人数增加。 这推动了对婴儿喂养产品（包括奶瓶奶嘴）的需求，因为奶瓶喂养是父母喂养婴儿的常用方法。</w:t>
      </w:r>
    </w:p>
    <w:p>
      <w:pPr>
        <w:pStyle w:val="145"/>
        <w:rPr>
          <w:lang w:eastAsia="zh-CN"/>
        </w:rPr>
      </w:pPr>
      <w:r>
        <w:rPr>
          <w:rFonts w:hint="eastAsia"/>
          <w:lang w:eastAsia="zh-CN"/>
        </w:rPr>
        <w:t>2. 人们越来越认识到母乳喂养和奶瓶喂养的好处：虽然医疗保健专业人员鼓励和推荐母乳喂养，但奶瓶喂养通常是许多父母所必需或首选的。 奶瓶奶嘴提供了另一种喂养方法，允许父母用挤出的母乳或配方奶喂养婴儿。 人们越来越意识到母乳喂养和奶瓶喂养的好处，这增加了对奶瓶奶嘴的需求。</w:t>
      </w:r>
    </w:p>
    <w:p>
      <w:pPr>
        <w:pStyle w:val="145"/>
        <w:rPr>
          <w:lang w:eastAsia="zh-CN"/>
        </w:rPr>
      </w:pPr>
      <w:r>
        <w:rPr>
          <w:rFonts w:hint="eastAsia"/>
          <w:lang w:eastAsia="zh-CN"/>
        </w:rPr>
        <w:t>3.奶嘴设计的技术进步：制造商不断创新和改进奶嘴设计，以增强婴儿的喂养体验。 奶嘴中融入了防胀气系统、可变流速和柔软且有弹性的材料等功能，以模仿自然母乳喂养体验并减少喂养相关问题。 奶嘴设计的技术进步通过为父母和婴儿提供改进的功能和便利性来推动市场。</w:t>
      </w:r>
    </w:p>
    <w:p>
      <w:pPr>
        <w:pStyle w:val="145"/>
        <w:rPr>
          <w:lang w:eastAsia="zh-CN"/>
        </w:rPr>
      </w:pPr>
      <w:r>
        <w:rPr>
          <w:rFonts w:hint="eastAsia"/>
          <w:lang w:eastAsia="zh-CN"/>
        </w:rPr>
        <w:t>4. 越来越关注婴儿护理和营养：父母越来越意识到为婴儿提供最好的护理和营养。 这包括选择高质量的喂养产品，例如奶瓶奶嘴，以促进健康的喂养习惯并减少喂养期间的不适。 人们对婴儿护理和营养的日益重视推动了对提供安全舒适喂养体验的奶嘴的需求。</w:t>
      </w:r>
    </w:p>
    <w:p>
      <w:pPr>
        <w:pStyle w:val="145"/>
        <w:rPr>
          <w:lang w:eastAsia="zh-CN"/>
        </w:rPr>
      </w:pPr>
      <w:r>
        <w:rPr>
          <w:rFonts w:hint="eastAsia"/>
          <w:lang w:eastAsia="zh-CN"/>
        </w:rPr>
        <w:t>5.城市化和生活方式的改变：城市化和生活方式的改变导致工作父母的增加和对奶瓶喂养的更高依赖。 奶嘴为旅途中的婴儿喂养提供了方便、便携的解决方案。 对易于使用、清洁和运输的奶嘴的需求促进了市场的增长。</w:t>
      </w:r>
    </w:p>
    <w:p>
      <w:pPr>
        <w:pStyle w:val="145"/>
        <w:rPr>
          <w:lang w:eastAsia="zh-CN"/>
        </w:rPr>
      </w:pPr>
      <w:r>
        <w:rPr>
          <w:rFonts w:hint="eastAsia"/>
          <w:lang w:eastAsia="zh-CN"/>
        </w:rPr>
        <w:t>6. 增加可支配收入和购买力：消费者可支配收入的增加和购买力的增加，特别是在新兴经济体，使父母能够投资于高质量的婴儿护理产品。 奶嘴作为婴儿喂养的重要组成部分，属于这一类别，推动了市场的增长。</w:t>
      </w:r>
    </w:p>
    <w:p>
      <w:pPr>
        <w:pStyle w:val="145"/>
        <w:rPr>
          <w:lang w:eastAsia="zh-CN"/>
        </w:rPr>
      </w:pPr>
      <w:r>
        <w:rPr>
          <w:rFonts w:hint="eastAsia"/>
          <w:lang w:eastAsia="zh-CN"/>
        </w:rPr>
        <w:t>主要阻碍因素</w:t>
      </w:r>
      <w:r>
        <w:rPr>
          <w:lang w:eastAsia="zh-CN"/>
        </w:rPr>
        <w:t>:</w:t>
      </w:r>
    </w:p>
    <w:p>
      <w:pPr>
        <w:pStyle w:val="145"/>
        <w:rPr>
          <w:lang w:eastAsia="zh-CN"/>
        </w:rPr>
      </w:pPr>
      <w:r>
        <w:rPr>
          <w:rFonts w:hint="eastAsia"/>
          <w:lang w:eastAsia="zh-CN"/>
        </w:rPr>
        <w:t>奶嘴市场的主要限制之一是人们对塑料废物和环境可持续性的日益关注。 由于奶嘴通常由塑料材料制成，人们越来越意识到塑料废物对环境的负面影响，包括污染和垃圾填埋场堆积。</w:t>
      </w:r>
    </w:p>
    <w:p>
      <w:pPr>
        <w:pStyle w:val="145"/>
        <w:rPr>
          <w:lang w:eastAsia="zh-CN"/>
        </w:rPr>
      </w:pPr>
      <w:r>
        <w:rPr>
          <w:rFonts w:hint="eastAsia"/>
          <w:lang w:eastAsia="zh-CN"/>
        </w:rPr>
        <w:t>这种担忧导致消费者偏好转向更可持续和环保的替代品。 家长越来越多地寻求由可生物降解或可回收材料制成的奶嘴，或探索带有硅胶奶嘴的玻璃奶瓶等选择。 消费者偏好的这种转变给主要依靠塑料材料生产奶嘴的制造商带来了挑战。</w:t>
      </w:r>
    </w:p>
    <w:p>
      <w:pPr>
        <w:pStyle w:val="145"/>
        <w:rPr>
          <w:lang w:eastAsia="zh-CN"/>
        </w:rPr>
      </w:pPr>
      <w:r>
        <w:rPr>
          <w:rFonts w:hint="eastAsia"/>
          <w:lang w:eastAsia="zh-CN"/>
        </w:rPr>
        <w:t>此外，旨在减少塑料废物和促进环境可持续性的法规和政策可能会影响奶瓶奶嘴市场。 政府和监管机构可能会对某些塑料材料的使用实施更严格的规定，或鼓励采用更可持续的替代品。 遵守此类法规可能需要制造商投资于研发，以开发创新且可持续的奶嘴材料。</w:t>
      </w:r>
    </w:p>
    <w:p>
      <w:pPr>
        <w:pStyle w:val="145"/>
        <w:rPr>
          <w:lang w:eastAsia="zh-CN"/>
        </w:rPr>
      </w:pPr>
      <w:r>
        <w:rPr>
          <w:rFonts w:hint="eastAsia"/>
          <w:lang w:eastAsia="zh-CN"/>
        </w:rPr>
        <w:t>此外，与传统塑料奶嘴相比，制造可持续奶嘴的成本可能更高。 这一成本因素可能会给制造商带来挑战，因为他们可能需要调整定价策略或寻找具有成本效益的替代品来满足对可持续奶嘴的需求。</w:t>
      </w:r>
    </w:p>
    <w:p>
      <w:pPr>
        <w:pStyle w:val="145"/>
        <w:rPr>
          <w:lang w:eastAsia="zh-CN"/>
        </w:rPr>
      </w:pPr>
      <w:r>
        <w:rPr>
          <w:rFonts w:hint="eastAsia"/>
          <w:lang w:eastAsia="zh-CN"/>
        </w:rPr>
        <w:t>总体而言，对塑料废物和环境可持续性的日益关注对奶瓶奶嘴市场构成了重大限制。 制造商需要适应不断变化的消费者偏好，并投资可持续的解决方案，以解决这种限制并保持其在市场上的竞争力。</w:t>
      </w:r>
    </w:p>
    <w:p>
      <w:pPr>
        <w:pStyle w:val="145"/>
        <w:rPr>
          <w:lang w:eastAsia="zh-CN"/>
        </w:rPr>
      </w:pPr>
      <w:r>
        <w:rPr>
          <w:rFonts w:hint="eastAsia"/>
          <w:lang w:eastAsia="zh-CN"/>
        </w:rPr>
        <w:t>行业发展机遇</w:t>
      </w:r>
      <w:r>
        <w:rPr>
          <w:lang w:eastAsia="zh-CN"/>
        </w:rPr>
        <w:t>:</w:t>
      </w:r>
    </w:p>
    <w:p>
      <w:pPr>
        <w:pStyle w:val="145"/>
        <w:rPr>
          <w:lang w:eastAsia="zh-CN"/>
        </w:rPr>
      </w:pPr>
      <w:r>
        <w:rPr>
          <w:rFonts w:hint="eastAsia"/>
          <w:lang w:eastAsia="zh-CN"/>
        </w:rPr>
        <w:t>奶嘴市场的主要机遇之一是对专用奶嘴的需求不断增长，以解决特定的喂养挑战或偏好。 每个婴儿都是独一无二的，有些婴儿可能有特定的喂养需求或困难，需要专门的奶瓶奶嘴。</w:t>
      </w:r>
    </w:p>
    <w:p>
      <w:pPr>
        <w:pStyle w:val="145"/>
        <w:rPr>
          <w:lang w:eastAsia="zh-CN"/>
        </w:rPr>
      </w:pPr>
      <w:r>
        <w:rPr>
          <w:rFonts w:hint="eastAsia"/>
          <w:lang w:eastAsia="zh-CN"/>
        </w:rPr>
        <w:t>例如，一些婴儿可能会出现过多胀气或绞痛的问题，因此需要具有防绞痛功能的奶嘴，例如通气系统或特殊阀门设计。 这些专门的奶嘴有助于减少喂养期间的空气摄入量，最大限度地减少婴儿的不适。</w:t>
      </w:r>
    </w:p>
    <w:p>
      <w:pPr>
        <w:pStyle w:val="145"/>
        <w:rPr>
          <w:lang w:eastAsia="zh-CN"/>
        </w:rPr>
      </w:pPr>
      <w:r>
        <w:rPr>
          <w:rFonts w:hint="eastAsia"/>
          <w:lang w:eastAsia="zh-CN"/>
        </w:rPr>
        <w:t>另一个机会在于对模仿自然母乳喂养体验的奶瓶奶嘴的需求。 母乳喂养给婴儿带来了许多好处，父母希望在奶瓶喂养时复制这种体验。 制造商可以开发形状、材料和纹理与母亲乳头非常相似的奶嘴，为婴儿提供更自然、更舒适的喂养体验。</w:t>
      </w:r>
    </w:p>
    <w:p>
      <w:pPr>
        <w:pStyle w:val="145"/>
        <w:rPr>
          <w:lang w:eastAsia="zh-CN"/>
        </w:rPr>
      </w:pPr>
      <w:r>
        <w:rPr>
          <w:rFonts w:hint="eastAsia"/>
          <w:lang w:eastAsia="zh-CN"/>
        </w:rPr>
        <w:t>此外，还有机会迎合不同年龄段和发展阶段的需求。 随着婴儿的成长和喂养需求的变化，需要不同流量的奶嘴。 制造商可以提供具有不同奶嘴尺寸或流量选项的奶嘴，以适应新生儿、婴儿和年龄较大的婴儿。</w:t>
      </w:r>
    </w:p>
    <w:p>
      <w:pPr>
        <w:pStyle w:val="145"/>
        <w:rPr>
          <w:lang w:eastAsia="zh-CN"/>
        </w:rPr>
      </w:pPr>
      <w:r>
        <w:rPr>
          <w:rFonts w:hint="eastAsia"/>
          <w:lang w:eastAsia="zh-CN"/>
        </w:rPr>
        <w:t>此外，奶嘴市场可以受益于在线零售平台和电子商务的日益普及。 在线渠道为制造商提供了更广泛的覆盖范围，使他们能够瞄准更广泛的客户群。 可以利用直接面向消费者的销售模式和个性化营销策略，向为婴儿寻求特定解决方案的父母有效地推广和销售专用奶嘴。</w:t>
      </w:r>
    </w:p>
    <w:p>
      <w:pPr>
        <w:pStyle w:val="145"/>
        <w:rPr>
          <w:lang w:eastAsia="zh-CN"/>
        </w:rPr>
      </w:pPr>
      <w:r>
        <w:rPr>
          <w:rFonts w:hint="eastAsia"/>
          <w:lang w:eastAsia="zh-CN"/>
        </w:rPr>
        <w:t>此外，随着新兴经济体的经济持续增长和医疗基础设施的改善，这些地区存在市场扩张的机会。 可支配收入的增加和婴儿护理产品意识的提高为奶嘴创造了潜在的市场，特别是在高出生率的国家。</w:t>
      </w:r>
    </w:p>
    <w:p>
      <w:pPr>
        <w:pStyle w:val="145"/>
        <w:rPr>
          <w:lang w:eastAsia="zh-CN"/>
        </w:rPr>
      </w:pPr>
      <w:r>
        <w:rPr>
          <w:rFonts w:hint="eastAsia"/>
          <w:lang w:eastAsia="zh-CN"/>
        </w:rPr>
        <w:t>总体而言，奶嘴市场有很多值得探索和利用的机会，包括专业奶嘴的需求、自然母乳喂养体验的复制、迎合不同年龄段、利用在线零售平台以及拓展新兴市场等。 能够有效利用这些机会的制造商有潜力获得竞争优势并推动市场增长。</w:t>
      </w:r>
    </w:p>
    <w:p>
      <w:pPr>
        <w:pStyle w:val="145"/>
        <w:rPr>
          <w:lang w:eastAsia="zh-CN"/>
        </w:rPr>
      </w:pPr>
    </w:p>
    <w:bookmarkEnd w:id="0"/>
    <w:bookmarkEnd w:id="1"/>
    <w:bookmarkEnd w:id="2"/>
    <w:bookmarkEnd w:id="3"/>
    <w:bookmarkEnd w:id="4"/>
    <w:bookmarkEnd w:id="5"/>
    <w:bookmarkEnd w:id="6"/>
    <w:bookmarkEnd w:id="7"/>
    <w:bookmarkEnd w:id="8"/>
    <w:bookmarkEnd w:id="9"/>
    <w:bookmarkEnd w:id="10"/>
    <w:bookmarkEnd w:id="11"/>
    <w:bookmarkEnd w:id="12"/>
    <w:p>
      <w:pPr>
        <w:widowControl/>
        <w:topLinePunct w:val="0"/>
        <w:spacing w:after="0"/>
        <w:jc w:val="left"/>
        <w:rPr>
          <w:lang w:eastAsia="zh-CN"/>
        </w:rPr>
      </w:pPr>
      <w:bookmarkStart w:id="19" w:name="_GoBack"/>
      <w:bookmarkEnd w:id="19"/>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等线 Light">
    <w:altName w:val="宋体"/>
    <w:panose1 w:val="02010600030101010101"/>
    <w:charset w:val="86"/>
    <w:family w:val="auto"/>
    <w:pitch w:val="default"/>
    <w:sig w:usb0="00000000" w:usb1="00000000"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80F3C52" w:usb2="00000016" w:usb3="00000000" w:csb0="0004001F" w:csb1="00000000"/>
  </w:font>
  <w:font w:name="Microsoft YaHei UI">
    <w:altName w:val="宋体"/>
    <w:panose1 w:val="020B0503020204020204"/>
    <w:charset w:val="86"/>
    <w:family w:val="swiss"/>
    <w:pitch w:val="default"/>
    <w:sig w:usb0="00000000" w:usb1="00000000" w:usb2="00000016" w:usb3="00000000" w:csb0="0004001F" w:csb1="00000000"/>
  </w:font>
  <w:font w:name="Courier New">
    <w:panose1 w:val="02070309020205020404"/>
    <w:charset w:val="00"/>
    <w:family w:val="modern"/>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Arial">
    <w:panose1 w:val="020B0604020202020204"/>
    <w:charset w:val="00"/>
    <w:family w:val="swiss"/>
    <w:pitch w:val="default"/>
    <w:sig w:usb0="E0002AFF" w:usb1="C0007843" w:usb2="00000009" w:usb3="00000000" w:csb0="400001FF" w:csb1="FFFF0000"/>
  </w:font>
  <w:font w:name="Century Gothic">
    <w:altName w:val="Segoe Print"/>
    <w:panose1 w:val="020B0502020202020204"/>
    <w:charset w:val="00"/>
    <w:family w:val="swiss"/>
    <w:pitch w:val="default"/>
    <w:sig w:usb0="00000000" w:usb1="00000000" w:usb2="00000000" w:usb3="00000000" w:csb0="0000009F" w:csb1="00000000"/>
  </w:font>
  <w:font w:name="Franklin Gothic Demi">
    <w:altName w:val="Trebuchet MS"/>
    <w:panose1 w:val="020B07030201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Trebuchet MS">
    <w:panose1 w:val="020B0603020202020204"/>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bookmarkStart w:id="13" w:name="_Hlk149300691"/>
    <w:bookmarkStart w:id="14" w:name="_Hlk149300688"/>
    <w:bookmarkStart w:id="15" w:name="_Hlk149300689"/>
    <w:bookmarkStart w:id="16" w:name="_Hlk149300692"/>
    <w:bookmarkStart w:id="17" w:name="_Hlk149300690"/>
    <w:bookmarkStart w:id="18" w:name="_Hlk149300687"/>
    <w:r>
      <w:t xml:space="preserve">Copyright © QYResearch | market@qyresearch.com | </w:t>
    </w:r>
    <w:bookmarkEnd w:id="13"/>
    <w:bookmarkEnd w:id="14"/>
    <w:bookmarkEnd w:id="15"/>
    <w:bookmarkEnd w:id="16"/>
    <w:bookmarkEnd w:id="17"/>
    <w:bookmarkEnd w:id="18"/>
    <w:r>
      <w:t>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643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745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745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107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209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ZTA5ZDQ3NWE4ZjMxYjI3YzM5ZGFlMGQxODk1NDA3MmI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6A5"/>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0B"/>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33F"/>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36E"/>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B3"/>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B39"/>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C1A"/>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5CBE"/>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0DC5"/>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831"/>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04"/>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0E2"/>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0A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527"/>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7A9"/>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8E"/>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9CD"/>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406"/>
    <w:rsid w:val="00842592"/>
    <w:rsid w:val="00842844"/>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2"/>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4CD"/>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69F"/>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1C6"/>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AEB"/>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954"/>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BBB"/>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43"/>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3A3"/>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51E"/>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7E9"/>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5E4"/>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D15"/>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4E4C"/>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7FE"/>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46C"/>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17C5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AF7"/>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2925"/>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5E"/>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D5275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unhideWhenUsed="0" w:uiPriority="0" w:semiHidden="0" w:name="Table Columns 3"/>
    <w:lsdException w:uiPriority="99" w:name="Table Columns 4"/>
    <w:lsdException w:unhideWhenUsed="0" w:uiPriority="0" w:semiHidden="0" w:name="Table Columns 5"/>
    <w:lsdException w:uiPriority="99" w:name="Table Grid 1"/>
    <w:lsdException w:uiPriority="99" w:name="Table Grid 2"/>
    <w:lsdException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uiPriority w:val="99"/>
    <w:rPr>
      <w:vertAlign w:val="superscript"/>
    </w:rPr>
  </w:style>
  <w:style w:type="character" w:styleId="70">
    <w:name w:val="Emphasis"/>
    <w:autoRedefine/>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uiPriority w:val="9"/>
    <w:rPr>
      <w:rFonts w:ascii="Times New Roman" w:hAnsi="Times New Roman" w:eastAsia="Times New Roman" w:cs="Times New Roman"/>
      <w:b/>
      <w:bCs/>
      <w:sz w:val="28"/>
      <w:szCs w:val="28"/>
    </w:rPr>
  </w:style>
  <w:style w:type="character" w:customStyle="1" w:styleId="80">
    <w:name w:val="标题 6 字符"/>
    <w:basedOn w:val="67"/>
    <w:autoRedefine/>
    <w:uiPriority w:val="9"/>
    <w:rPr>
      <w:rFonts w:asciiTheme="majorHAnsi" w:hAnsiTheme="majorHAnsi" w:eastAsiaTheme="majorEastAsia" w:cstheme="majorBidi"/>
      <w:b/>
      <w:bCs/>
      <w:sz w:val="24"/>
      <w:szCs w:val="24"/>
    </w:rPr>
  </w:style>
  <w:style w:type="character" w:customStyle="1" w:styleId="81">
    <w:name w:val="标题 1 字符1"/>
    <w:link w:val="2"/>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autoRedefine/>
    <w:semiHidden/>
    <w:unhideWhenUsed/>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uiPriority w:val="99"/>
    <w:rPr>
      <w:rFonts w:eastAsia="Times New Roman"/>
      <w:color w:val="00B050"/>
      <w:kern w:val="0"/>
      <w:sz w:val="20"/>
      <w:szCs w:val="20"/>
    </w:rPr>
  </w:style>
  <w:style w:type="character" w:customStyle="1" w:styleId="162">
    <w:name w:val="未处理的提及31"/>
    <w:basedOn w:val="67"/>
    <w:autoRedefine/>
    <w:semiHidden/>
    <w:unhideWhenUsed/>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5" Type="http://schemas.openxmlformats.org/officeDocument/2006/relationships/fontTable" Target="fontTable.xml"/><Relationship Id="rId24" Type="http://schemas.openxmlformats.org/officeDocument/2006/relationships/customXml" Target="../customXml/item2.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chart" Target="charts/chart9.xml"/><Relationship Id="rId20" Type="http://schemas.openxmlformats.org/officeDocument/2006/relationships/chart" Target="charts/chart8.xml"/><Relationship Id="rId2" Type="http://schemas.openxmlformats.org/officeDocument/2006/relationships/settings" Target="settings.xml"/><Relationship Id="rId19" Type="http://schemas.openxmlformats.org/officeDocument/2006/relationships/image" Target="media/image6.png"/><Relationship Id="rId18" Type="http://schemas.openxmlformats.org/officeDocument/2006/relationships/image" Target="media/image5.png"/><Relationship Id="rId17" Type="http://schemas.openxmlformats.org/officeDocument/2006/relationships/chart" Target="charts/chart7.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image" Target="media/image4.png"/><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4" Type="http://schemas.microsoft.com/office/2011/relationships/chartColorStyle" Target="colors2.xml"/><Relationship Id="rId3" Type="http://schemas.microsoft.com/office/2011/relationships/chartStyle" Target="style2.xml"/><Relationship Id="rId2" Type="http://schemas.openxmlformats.org/officeDocument/2006/relationships/chartUserShapes" Target="../drawings/drawing1.xml"/><Relationship Id="rId1" Type="http://schemas.openxmlformats.org/officeDocument/2006/relationships/oleObject" Target="file:///I:\&#25490;&#21517;%20&#35266;&#28857;&#20889;&#20316;\&#35266;&#28857;&#25968;&#25454;&#22270;&#34920;&#27169;&#26495;-&#20840;&#29699;20230925.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10380\Desktop\&#35266;&#28857;%20&#26368;&#26032;\&#35266;&#28857;&#25968;&#25454;&#22270;&#34920;&#27169;&#26495;-&#27169;&#26495;%2020231220.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10380\Desktop\&#35266;&#28857;%20&#26368;&#26032;\&#35266;&#28857;&#25968;&#25454;&#22270;&#34920;&#27169;&#26495;-&#27169;&#26495;%2020231220.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10380\Desktop\&#35266;&#28857;%20&#26368;&#26032;\&#35266;&#28857;&#25968;&#25454;&#22270;&#34920;&#27169;&#26495;-&#27169;&#26495;%2020231220.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10380\Desktop\&#35266;&#28857;%20&#26368;&#26032;\&#35266;&#28857;&#25968;&#25454;&#22270;&#34920;&#27169;&#26495;-&#27169;&#26495;%2020231220.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C:\Users\10380\Desktop\&#35266;&#28857;%20&#26368;&#26032;\&#35266;&#28857;&#25968;&#25454;&#22270;&#34920;&#27169;&#26495;-&#27169;&#26495;%2020231220.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C:\Users\10380\Desktop\&#35266;&#28857;%20&#26368;&#26032;\&#35266;&#28857;&#25968;&#25454;&#22270;&#34920;&#27169;&#26495;-&#27169;&#26495;%2020231220.xlsx" TargetMode="External"/></Relationships>
</file>

<file path=word/charts/_rels/chart8.xml.rels><?xml version="1.0" encoding="UTF-8" standalone="yes"?>
<Relationships xmlns="http://schemas.openxmlformats.org/package/2006/relationships"><Relationship Id="rId3" Type="http://schemas.microsoft.com/office/2011/relationships/chartColorStyle" Target="colors8.xml"/><Relationship Id="rId2" Type="http://schemas.microsoft.com/office/2011/relationships/chartStyle" Target="style8.xml"/><Relationship Id="rId1" Type="http://schemas.openxmlformats.org/officeDocument/2006/relationships/oleObject" Target="file:///C:\Users\10380\Desktop\&#35266;&#28857;%20&#26368;&#26032;\&#35266;&#28857;&#25968;&#25454;&#22270;&#34920;&#27169;&#26495;-&#27169;&#26495;%2020231220.xlsx" TargetMode="External"/></Relationships>
</file>

<file path=word/charts/_rels/chart9.xml.rels><?xml version="1.0" encoding="UTF-8" standalone="yes"?>
<Relationships xmlns="http://schemas.openxmlformats.org/package/2006/relationships"><Relationship Id="rId3" Type="http://schemas.microsoft.com/office/2011/relationships/chartColorStyle" Target="colors9.xml"/><Relationship Id="rId2" Type="http://schemas.microsoft.com/office/2011/relationships/chartStyle" Target="style9.xml"/><Relationship Id="rId1" Type="http://schemas.openxmlformats.org/officeDocument/2006/relationships/oleObject" Target="file:///C:\Users\10380\Desktop\&#35266;&#28857;%20&#26368;&#26032;\&#35266;&#28857;&#25968;&#25454;&#22270;&#34920;&#27169;&#26495;-&#27169;&#26495;%20202312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100" b="0" i="0" u="none" strike="noStrike" kern="1200" spc="0" baseline="0">
                <a:solidFill>
                  <a:schemeClr val="tx1">
                    <a:lumMod val="65000"/>
                    <a:lumOff val="35000"/>
                  </a:schemeClr>
                </a:solidFill>
                <a:latin typeface="+mn-lt"/>
                <a:ea typeface="+mn-ea"/>
                <a:cs typeface="+mn-cs"/>
              </a:defRPr>
            </a:pPr>
            <a:r>
              <a:rPr lang="en-US" altLang="zh-CN" sz="1100">
                <a:latin typeface="Book Antiqua" panose="02040602050305030304" pitchFamily="1" charset="0"/>
              </a:rPr>
              <a:t>Global Market Size ($ Mn)</a:t>
            </a:r>
            <a:endParaRPr lang="en-US" altLang="zh-CN" sz="1100">
              <a:latin typeface="Book Antiqua" panose="02040602050305030304" pitchFamily="1" charset="0"/>
            </a:endParaRPr>
          </a:p>
        </c:rich>
      </c:tx>
      <c:layout/>
      <c:overlay val="0"/>
      <c:spPr>
        <a:noFill/>
        <a:ln>
          <a:noFill/>
        </a:ln>
        <a:effectLst/>
      </c:spPr>
    </c:title>
    <c:autoTitleDeleted val="0"/>
    <c:plotArea>
      <c:layout>
        <c:manualLayout>
          <c:layoutTarget val="inner"/>
          <c:xMode val="edge"/>
          <c:yMode val="edge"/>
          <c:x val="0.0254884259259259"/>
          <c:y val="0.131440849673203"/>
          <c:w val="0.937283950617284"/>
          <c:h val="0.793030392156863"/>
        </c:manualLayout>
      </c:layout>
      <c:barChart>
        <c:barDir val="col"/>
        <c:grouping val="clustered"/>
        <c:varyColors val="0"/>
        <c:ser>
          <c:idx val="0"/>
          <c:order val="0"/>
          <c:tx>
            <c:strRef>
              <c:f>全球总体!$A$22</c:f>
              <c:strCache>
                <c:ptCount val="1"/>
                <c:pt idx="0">
                  <c:v>Global Market Size ($ Mn)</c:v>
                </c:pt>
              </c:strCache>
            </c:strRef>
          </c:tx>
          <c:spPr>
            <a:solidFill>
              <a:srgbClr val="002060"/>
            </a:solidFill>
            <a:ln>
              <a:noFill/>
            </a:ln>
            <a:effectLst/>
          </c:spPr>
          <c:invertIfNegative val="0"/>
          <c:dLbls>
            <c:delete val="1"/>
          </c:dLbls>
          <c:cat>
            <c:numRef>
              <c:f>全球总体!$B$21:$D$21</c:f>
              <c:numCache>
                <c:formatCode>General</c:formatCode>
                <c:ptCount val="3"/>
                <c:pt idx="0">
                  <c:v>2018</c:v>
                </c:pt>
                <c:pt idx="1">
                  <c:v>2022</c:v>
                </c:pt>
                <c:pt idx="2">
                  <c:v>2029</c:v>
                </c:pt>
              </c:numCache>
            </c:numRef>
          </c:cat>
          <c:val>
            <c:numRef>
              <c:f>全球总体!$B$22:$D$22</c:f>
              <c:numCache>
                <c:formatCode>#,##0_ </c:formatCode>
                <c:ptCount val="3"/>
                <c:pt idx="0">
                  <c:v>45</c:v>
                </c:pt>
                <c:pt idx="1">
                  <c:v>88</c:v>
                </c:pt>
                <c:pt idx="2">
                  <c:v>166</c:v>
                </c:pt>
              </c:numCache>
            </c:numRef>
          </c:val>
        </c:ser>
        <c:dLbls>
          <c:showLegendKey val="0"/>
          <c:showVal val="0"/>
          <c:showCatName val="0"/>
          <c:showSerName val="0"/>
          <c:showPercent val="0"/>
          <c:showBubbleSize val="0"/>
        </c:dLbls>
        <c:gapWidth val="219"/>
        <c:overlap val="-27"/>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957134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全球市场主要企业排名</a:t>
            </a:r>
            <a:endParaRPr lang="en-US" altLang="zh-CN" sz="1050">
              <a:latin typeface="Book Antiqua" panose="02040602050305030304" pitchFamily="1" charset="0"/>
            </a:endParaRPr>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企业排序!$G$1</c:f>
              <c:strCache>
                <c:ptCount val="1"/>
                <c:pt idx="0">
                  <c:v>2022</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Lbls>
            <c:delete val="1"/>
          </c:dLbls>
          <c:cat>
            <c:strRef>
              <c:f>企业排序!$F$2:$F$25</c:f>
              <c:strCache>
                <c:ptCount val="10"/>
                <c:pt idx="0">
                  <c:v>Philips Avent</c:v>
                </c:pt>
                <c:pt idx="1">
                  <c:v>Tommee Tippee</c:v>
                </c:pt>
                <c:pt idx="2">
                  <c:v>Dr. Brown's</c:v>
                </c:pt>
                <c:pt idx="3">
                  <c:v>Medela</c:v>
                </c:pt>
                <c:pt idx="4">
                  <c:v>NUK</c:v>
                </c:pt>
                <c:pt idx="5">
                  <c:v>Playtex</c:v>
                </c:pt>
                <c:pt idx="6">
                  <c:v>Evenflo</c:v>
                </c:pt>
                <c:pt idx="7">
                  <c:v>MAM</c:v>
                </c:pt>
                <c:pt idx="8">
                  <c:v>Lansinoh</c:v>
                </c:pt>
                <c:pt idx="9">
                  <c:v>Comotomo</c:v>
                </c:pt>
              </c:strCache>
            </c:strRef>
          </c:cat>
          <c:val>
            <c:numRef>
              <c:f>企业排序!$G$2:$G$25</c:f>
              <c:numCache>
                <c:formatCode>#,##0.00_ </c:formatCode>
                <c:ptCount val="10"/>
                <c:pt idx="0">
                  <c:v>106.54536</c:v>
                </c:pt>
                <c:pt idx="1">
                  <c:v>81.23408</c:v>
                </c:pt>
                <c:pt idx="2">
                  <c:v>73.60396</c:v>
                </c:pt>
                <c:pt idx="3">
                  <c:v>71.29354</c:v>
                </c:pt>
                <c:pt idx="4">
                  <c:v>70.56352</c:v>
                </c:pt>
                <c:pt idx="5">
                  <c:v>62.6628</c:v>
                </c:pt>
                <c:pt idx="6">
                  <c:v>44.76167</c:v>
                </c:pt>
                <c:pt idx="7">
                  <c:v>30.71392</c:v>
                </c:pt>
                <c:pt idx="8">
                  <c:v>27.11954</c:v>
                </c:pt>
                <c:pt idx="9">
                  <c:v>12.5</c:v>
                </c:pt>
              </c:numCache>
            </c:numRef>
          </c:val>
        </c:ser>
        <c:dLbls>
          <c:showLegendKey val="0"/>
          <c:showVal val="0"/>
          <c:showCatName val="0"/>
          <c:showSerName val="0"/>
          <c:showPercent val="0"/>
          <c:showBubbleSize val="0"/>
        </c:dLbls>
        <c:gapWidth val="75"/>
        <c:axId val="1272139183"/>
        <c:axId val="1326546959"/>
      </c:barChart>
      <c:catAx>
        <c:axId val="1272139183"/>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t"/>
        <c:majorGridlines>
          <c:spPr>
            <a:ln w="9525" cap="flat" cmpd="sng" algn="ctr">
              <a:noFill/>
              <a:round/>
            </a:ln>
            <a:effectLst/>
          </c:spPr>
        </c:majorGridlines>
        <c:numFmt formatCode="#,##0.0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doughnutChart>
        <c:varyColors val="1"/>
        <c:ser>
          <c:idx val="0"/>
          <c:order val="0"/>
          <c:tx>
            <c:strRef>
              <c:f>分类!$AG$1</c:f>
              <c:strCache>
                <c:ptCount val="1"/>
                <c:pt idx="0">
                  <c:v>2029</c:v>
                </c:pt>
              </c:strCache>
            </c:strRef>
          </c:tx>
          <c:spPr/>
          <c:explosion val="2"/>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delete val="1"/>
          </c:dLbls>
          <c:cat>
            <c:strRef>
              <c:f>分类!$R$2:$R$10</c:f>
              <c:strCache>
                <c:ptCount val="3"/>
                <c:pt idx="0">
                  <c:v>漫流奶嘴</c:v>
                </c:pt>
                <c:pt idx="1">
                  <c:v>快流奶嘴</c:v>
                </c:pt>
                <c:pt idx="2">
                  <c:v>其他</c:v>
                </c:pt>
              </c:strCache>
            </c:strRef>
          </c:cat>
          <c:val>
            <c:numRef>
              <c:f>分类!$AG$2:$AG$10</c:f>
              <c:numCache>
                <c:formatCode>0.0%</c:formatCode>
                <c:ptCount val="3"/>
                <c:pt idx="0">
                  <c:v>0.53</c:v>
                </c:pt>
                <c:pt idx="1">
                  <c:v>0.41</c:v>
                </c:pt>
                <c:pt idx="2">
                  <c:v>0.0599999999999999</c:v>
                </c:pt>
              </c:numCache>
            </c:numRef>
          </c:val>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doughnutChart>
        <c:varyColors val="1"/>
        <c:ser>
          <c:idx val="0"/>
          <c:order val="0"/>
          <c:tx>
            <c:strRef>
              <c:f>分类!$AF$1</c:f>
              <c:strCache>
                <c:ptCount val="1"/>
                <c:pt idx="0">
                  <c:v>2022</c:v>
                </c:pt>
              </c:strCache>
            </c:strRef>
          </c:tx>
          <c:spPr/>
          <c:explosion val="2"/>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delete val="1"/>
          </c:dLbls>
          <c:cat>
            <c:strRef>
              <c:f>分类!$R$2:$R$10</c:f>
              <c:strCache>
                <c:ptCount val="3"/>
                <c:pt idx="0">
                  <c:v>漫流奶嘴</c:v>
                </c:pt>
                <c:pt idx="1">
                  <c:v>快流奶嘴</c:v>
                </c:pt>
                <c:pt idx="2">
                  <c:v>其他</c:v>
                </c:pt>
              </c:strCache>
            </c:strRef>
          </c:cat>
          <c:val>
            <c:numRef>
              <c:f>分类!$AF$2:$AF$10</c:f>
              <c:numCache>
                <c:formatCode>0.0%</c:formatCode>
                <c:ptCount val="3"/>
                <c:pt idx="0">
                  <c:v>0.53</c:v>
                </c:pt>
                <c:pt idx="1">
                  <c:v>0.41</c:v>
                </c:pt>
                <c:pt idx="2">
                  <c:v>0.0599999999999999</c:v>
                </c:pt>
              </c:numCache>
            </c:numRef>
          </c:val>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299878086419753"/>
          <c:y val="0.0211666666666667"/>
          <c:w val="0.936207098765432"/>
          <c:h val="0.755441666666667"/>
        </c:manualLayout>
      </c:layout>
      <c:barChart>
        <c:barDir val="col"/>
        <c:grouping val="stacked"/>
        <c:varyColors val="0"/>
        <c:ser>
          <c:idx val="0"/>
          <c:order val="0"/>
          <c:tx>
            <c:strRef>
              <c:f>分类!$A$2</c:f>
              <c:strCache>
                <c:ptCount val="1"/>
                <c:pt idx="0">
                  <c:v>漫流奶嘴</c:v>
                </c:pt>
              </c:strCache>
            </c:strRef>
          </c:tx>
          <c:spPr>
            <a:solidFill>
              <a:srgbClr val="002060"/>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分类!$B$2:$M$2</c:f>
              <c:numCache>
                <c:formatCode>#,##0_);[Red]\(#,##0\)</c:formatCode>
                <c:ptCount val="12"/>
                <c:pt idx="0">
                  <c:v>298</c:v>
                </c:pt>
                <c:pt idx="1">
                  <c:v>310.368</c:v>
                </c:pt>
                <c:pt idx="2">
                  <c:v>325.95</c:v>
                </c:pt>
                <c:pt idx="3">
                  <c:v>337.08</c:v>
                </c:pt>
                <c:pt idx="4">
                  <c:v>362.308</c:v>
                </c:pt>
                <c:pt idx="5">
                  <c:v>389.073</c:v>
                </c:pt>
                <c:pt idx="6">
                  <c:v>409.955</c:v>
                </c:pt>
                <c:pt idx="7">
                  <c:v>432.692</c:v>
                </c:pt>
                <c:pt idx="8">
                  <c:v>459.934</c:v>
                </c:pt>
                <c:pt idx="9">
                  <c:v>470.004</c:v>
                </c:pt>
                <c:pt idx="10">
                  <c:v>493.642</c:v>
                </c:pt>
                <c:pt idx="11">
                  <c:v>513.517</c:v>
                </c:pt>
              </c:numCache>
            </c:numRef>
          </c:val>
        </c:ser>
        <c:ser>
          <c:idx val="1"/>
          <c:order val="1"/>
          <c:tx>
            <c:strRef>
              <c:f>分类!$A$3</c:f>
              <c:strCache>
                <c:ptCount val="1"/>
                <c:pt idx="0">
                  <c:v>快流奶嘴</c:v>
                </c:pt>
              </c:strCache>
            </c:strRef>
          </c:tx>
          <c:spPr>
            <a:solidFill>
              <a:schemeClr val="bg1">
                <a:lumMod val="5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分类!$B$3:$M$3</c:f>
            </c:numRef>
          </c:val>
        </c:ser>
        <c:ser>
          <c:idx val="2"/>
          <c:order val="2"/>
          <c:tx>
            <c:strRef>
              <c:f>分类!#REF!</c:f>
              <c:strCache>
                <c:ptCount val="1"/>
                <c:pt idx="0">
                  <c:v>#REF!</c:v>
                </c:pt>
              </c:strCache>
            </c:strRef>
          </c:tx>
          <c:spPr>
            <a:solidFill>
              <a:schemeClr val="accent6">
                <a:lumMod val="75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分类!#REF!</c:f>
              <c:numCache>
                <c:formatCode>General</c:formatCode>
                <c:ptCount val="1"/>
                <c:pt idx="0">
                  <c:v>1</c:v>
                </c:pt>
              </c:numCache>
            </c:numRef>
          </c:val>
        </c:ser>
        <c:ser>
          <c:idx val="3"/>
          <c:order val="3"/>
          <c:tx>
            <c:strRef>
              <c:f>分类!$A$5</c:f>
              <c:strCache>
                <c:ptCount val="1"/>
                <c:pt idx="0">
                  <c:v>快流奶嘴</c:v>
                </c:pt>
              </c:strCache>
            </c:strRef>
          </c:tx>
          <c:spPr>
            <a:solidFill>
              <a:schemeClr val="tx2">
                <a:lumMod val="60000"/>
                <a:lumOff val="4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分类!$B$5:$M$5</c:f>
              <c:numCache>
                <c:formatCode>#,##0_);[Red]\(#,##0\)</c:formatCode>
                <c:ptCount val="12"/>
                <c:pt idx="0">
                  <c:v>226</c:v>
                </c:pt>
                <c:pt idx="1">
                  <c:v>240.096</c:v>
                </c:pt>
                <c:pt idx="2">
                  <c:v>252.15</c:v>
                </c:pt>
                <c:pt idx="3">
                  <c:v>260.76</c:v>
                </c:pt>
                <c:pt idx="4">
                  <c:v>280.276</c:v>
                </c:pt>
                <c:pt idx="5">
                  <c:v>300.981</c:v>
                </c:pt>
                <c:pt idx="6">
                  <c:v>317.135</c:v>
                </c:pt>
                <c:pt idx="7">
                  <c:v>334.724</c:v>
                </c:pt>
                <c:pt idx="8">
                  <c:v>355.798</c:v>
                </c:pt>
                <c:pt idx="9">
                  <c:v>363.588</c:v>
                </c:pt>
                <c:pt idx="10">
                  <c:v>381.874</c:v>
                </c:pt>
                <c:pt idx="11">
                  <c:v>397.249</c:v>
                </c:pt>
              </c:numCache>
            </c:numRef>
          </c:val>
        </c:ser>
        <c:ser>
          <c:idx val="4"/>
          <c:order val="4"/>
          <c:tx>
            <c:strRef>
              <c:f>分类!$A$6</c:f>
              <c:strCache>
                <c:ptCount val="1"/>
                <c:pt idx="0">
                  <c:v>其他</c:v>
                </c:pt>
              </c:strCache>
            </c:strRef>
          </c:tx>
          <c:spPr>
            <a:solidFill>
              <a:schemeClr val="accent1">
                <a:lumMod val="75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分类!$B$6:$M$6</c:f>
              <c:numCache>
                <c:formatCode>#,##0_);[Red]\(#,##0\)</c:formatCode>
                <c:ptCount val="12"/>
                <c:pt idx="0">
                  <c:v>28</c:v>
                </c:pt>
                <c:pt idx="1">
                  <c:v>35.136</c:v>
                </c:pt>
                <c:pt idx="2">
                  <c:v>36.9000000000001</c:v>
                </c:pt>
                <c:pt idx="3">
                  <c:v>38.16</c:v>
                </c:pt>
                <c:pt idx="4">
                  <c:v>41.016</c:v>
                </c:pt>
                <c:pt idx="5">
                  <c:v>44.0459999999999</c:v>
                </c:pt>
                <c:pt idx="6">
                  <c:v>46.41</c:v>
                </c:pt>
                <c:pt idx="7">
                  <c:v>48.984</c:v>
                </c:pt>
                <c:pt idx="8">
                  <c:v>52.068</c:v>
                </c:pt>
                <c:pt idx="9">
                  <c:v>53.208</c:v>
                </c:pt>
                <c:pt idx="10">
                  <c:v>55.884</c:v>
                </c:pt>
                <c:pt idx="11">
                  <c:v>58.1339999999999</c:v>
                </c:pt>
              </c:numCache>
            </c:numRef>
          </c:val>
        </c:ser>
        <c:ser>
          <c:idx val="5"/>
          <c:order val="5"/>
          <c:tx>
            <c:strRef>
              <c:f>分类!$A$7</c:f>
              <c:strCache>
                <c:ptCount val="1"/>
                <c:pt idx="0">
                  <c:v/>
                </c:pt>
              </c:strCache>
            </c:strRef>
          </c:tx>
          <c:spPr>
            <a:solidFill>
              <a:schemeClr val="accent4">
                <a:lumMod val="60000"/>
                <a:lumOff val="4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分类!$B$7:$M$7</c:f>
            </c:numRef>
          </c:val>
        </c:ser>
        <c:ser>
          <c:idx val="6"/>
          <c:order val="6"/>
          <c:tx>
            <c:strRef>
              <c:f>分类!$A$8</c:f>
              <c:strCache>
                <c:ptCount val="1"/>
                <c:pt idx="0">
                  <c:v/>
                </c:pt>
              </c:strCache>
            </c:strRef>
          </c:tx>
          <c:spPr>
            <a:solidFill>
              <a:schemeClr val="accent2">
                <a:lumMod val="60000"/>
                <a:lumOff val="4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分类!$B$8:$M$8</c:f>
            </c:numRef>
          </c:val>
        </c:ser>
        <c:ser>
          <c:idx val="7"/>
          <c:order val="7"/>
          <c:tx>
            <c:strRef>
              <c:f>分类!$A$9</c:f>
              <c:strCache>
                <c:ptCount val="1"/>
                <c:pt idx="0">
                  <c:v/>
                </c:pt>
              </c:strCache>
            </c:strRef>
          </c:tx>
          <c:spPr>
            <a:solidFill>
              <a:schemeClr val="bg2">
                <a:lumMod val="5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分类!$B$9:$M$9</c:f>
            </c:numRef>
          </c:val>
        </c:ser>
        <c:ser>
          <c:idx val="8"/>
          <c:order val="8"/>
          <c:tx>
            <c:strRef>
              <c:f>分类!$A$10</c:f>
              <c:strCache>
                <c:ptCount val="1"/>
                <c:pt idx="0">
                  <c:v/>
                </c:pt>
              </c:strCache>
            </c:strRef>
          </c:tx>
          <c:spPr>
            <a:solidFill>
              <a:schemeClr val="accent5">
                <a:lumMod val="60000"/>
                <a:lumOff val="4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分类!$B$10:$M$10</c:f>
            </c:numRef>
          </c:val>
        </c:ser>
        <c:dLbls>
          <c:showLegendKey val="0"/>
          <c:showVal val="0"/>
          <c:showCatName val="0"/>
          <c:showSerName val="0"/>
          <c:showPercent val="0"/>
          <c:showBubbleSize val="0"/>
        </c:dLbls>
        <c:gapWidth val="25"/>
        <c:overlap val="100"/>
        <c:axId val="2101581920"/>
        <c:axId val="2101559456"/>
      </c:barChart>
      <c:lineChart>
        <c:grouping val="stacked"/>
        <c:varyColors val="0"/>
        <c:ser>
          <c:idx val="9"/>
          <c:order val="9"/>
          <c:tx>
            <c:strRef>
              <c:f>分类!$A$11</c:f>
              <c:strCache>
                <c:ptCount val="1"/>
                <c:pt idx="0">
                  <c:v>共计</c:v>
                </c:pt>
              </c:strCache>
            </c:strRef>
          </c:tx>
          <c:spPr>
            <a:ln w="28575" cap="rnd">
              <a:solidFill>
                <a:srgbClr val="002060"/>
              </a:solidFill>
              <a:round/>
            </a:ln>
            <a:effectLst/>
          </c:spPr>
          <c:marker>
            <c:symbol val="diamond"/>
            <c:size val="8"/>
            <c:spPr>
              <a:solidFill>
                <a:srgbClr val="FFC000"/>
              </a:solidFill>
              <a:ln w="9525">
                <a:solidFill>
                  <a:schemeClr val="accent4">
                    <a:lumMod val="60000"/>
                  </a:schemeClr>
                </a:solidFill>
              </a:ln>
              <a:effectLst/>
            </c:spPr>
          </c:marker>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分类!$B$11:$M$11</c:f>
              <c:numCache>
                <c:formatCode>#,##0_);[Red]\(#,##0\)</c:formatCode>
                <c:ptCount val="12"/>
                <c:pt idx="0">
                  <c:v>533.5</c:v>
                </c:pt>
                <c:pt idx="1">
                  <c:v>585.6</c:v>
                </c:pt>
                <c:pt idx="2">
                  <c:v>615</c:v>
                </c:pt>
                <c:pt idx="3">
                  <c:v>636</c:v>
                </c:pt>
                <c:pt idx="4">
                  <c:v>683.6</c:v>
                </c:pt>
                <c:pt idx="5">
                  <c:v>734.1</c:v>
                </c:pt>
                <c:pt idx="6">
                  <c:v>773.5</c:v>
                </c:pt>
                <c:pt idx="7">
                  <c:v>816.4</c:v>
                </c:pt>
                <c:pt idx="8">
                  <c:v>867.8</c:v>
                </c:pt>
                <c:pt idx="9">
                  <c:v>886.8</c:v>
                </c:pt>
                <c:pt idx="10">
                  <c:v>931.4</c:v>
                </c:pt>
                <c:pt idx="11">
                  <c:v>968.9</c:v>
                </c:pt>
              </c:numCache>
            </c:numRef>
          </c:val>
          <c:smooth val="0"/>
        </c:ser>
        <c:dLbls>
          <c:showLegendKey val="0"/>
          <c:showVal val="0"/>
          <c:showCatName val="0"/>
          <c:showSerName val="0"/>
          <c:showPercent val="0"/>
          <c:showBubbleSize val="0"/>
        </c:dLbls>
        <c:marker val="1"/>
        <c:smooth val="0"/>
        <c:axId val="2101602720"/>
        <c:axId val="2101608960"/>
      </c:line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81920"/>
        <c:crosses val="autoZero"/>
        <c:crossBetween val="between"/>
      </c:valAx>
      <c:catAx>
        <c:axId val="2101602720"/>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608960"/>
        <c:crosses val="autoZero"/>
        <c:auto val="1"/>
        <c:lblAlgn val="ctr"/>
        <c:lblOffset val="100"/>
        <c:noMultiLvlLbl val="0"/>
      </c:catAx>
      <c:valAx>
        <c:axId val="2101608960"/>
        <c:scaling>
          <c:orientation val="minMax"/>
        </c:scaling>
        <c:delete val="0"/>
        <c:axPos val="r"/>
        <c:numFmt formatCode="0.0%"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602720"/>
        <c:crosses val="max"/>
        <c:crossBetween val="between"/>
      </c:valAx>
      <c:spPr>
        <a:noFill/>
        <a:ln>
          <a:noFill/>
        </a:ln>
        <a:effectLst/>
      </c:spPr>
    </c:plotArea>
    <c:legend>
      <c:legendPos val="b"/>
      <c:layout>
        <c:manualLayout>
          <c:xMode val="edge"/>
          <c:yMode val="edge"/>
          <c:x val="0.0695485312899106"/>
          <c:y val="0.865502222222222"/>
          <c:w val="0.860902937420179"/>
          <c:h val="0.113331111111111"/>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doughnutChart>
        <c:varyColors val="1"/>
        <c:ser>
          <c:idx val="0"/>
          <c:order val="0"/>
          <c:tx>
            <c:strRef>
              <c:f>应用!$AG$1</c:f>
              <c:strCache>
                <c:ptCount val="1"/>
                <c:pt idx="0">
                  <c:v>2029</c:v>
                </c:pt>
              </c:strCache>
            </c:strRef>
          </c:tx>
          <c:spPr/>
          <c:explosion val="2"/>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delete val="1"/>
          </c:dLbls>
          <c:cat>
            <c:strRef>
              <c:f>应用!$R$2:$R$11</c:f>
              <c:strCache>
                <c:ptCount val="4"/>
                <c:pt idx="0">
                  <c:v>超市</c:v>
                </c:pt>
                <c:pt idx="1">
                  <c:v>专卖店</c:v>
                </c:pt>
                <c:pt idx="2">
                  <c:v>线上销售</c:v>
                </c:pt>
                <c:pt idx="3">
                  <c:v>其他</c:v>
                </c:pt>
              </c:strCache>
            </c:strRef>
          </c:cat>
          <c:val>
            <c:numRef>
              <c:f>应用!$AG$2:$AG$11</c:f>
              <c:numCache>
                <c:formatCode>0.0%</c:formatCode>
                <c:ptCount val="4"/>
                <c:pt idx="0">
                  <c:v>0.36</c:v>
                </c:pt>
                <c:pt idx="2">
                  <c:v>0.26</c:v>
                </c:pt>
                <c:pt idx="3">
                  <c:v>0.0499308494168645</c:v>
                </c:pt>
              </c:numCache>
            </c:numRef>
          </c:val>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doughnutChart>
        <c:varyColors val="1"/>
        <c:ser>
          <c:idx val="0"/>
          <c:order val="0"/>
          <c:tx>
            <c:strRef>
              <c:f>应用!$AF$1</c:f>
              <c:strCache>
                <c:ptCount val="1"/>
                <c:pt idx="0">
                  <c:v>2022</c:v>
                </c:pt>
              </c:strCache>
            </c:strRef>
          </c:tx>
          <c:spPr/>
          <c:explosion val="2"/>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delete val="1"/>
          </c:dLbls>
          <c:cat>
            <c:strRef>
              <c:f>应用!$R$2:$R$11</c:f>
              <c:strCache>
                <c:ptCount val="4"/>
                <c:pt idx="0">
                  <c:v>超市</c:v>
                </c:pt>
                <c:pt idx="1">
                  <c:v>专卖店</c:v>
                </c:pt>
                <c:pt idx="2">
                  <c:v>线上销售</c:v>
                </c:pt>
                <c:pt idx="3">
                  <c:v>其他</c:v>
                </c:pt>
              </c:strCache>
            </c:strRef>
          </c:cat>
          <c:val>
            <c:numRef>
              <c:f>应用!$AF$2:$AF$11</c:f>
              <c:numCache>
                <c:formatCode>0.0%</c:formatCode>
                <c:ptCount val="4"/>
                <c:pt idx="0">
                  <c:v>0.36</c:v>
                </c:pt>
                <c:pt idx="2">
                  <c:v>0.26</c:v>
                </c:pt>
                <c:pt idx="3">
                  <c:v>0.0624224692802809</c:v>
                </c:pt>
              </c:numCache>
            </c:numRef>
          </c:val>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162686728395062"/>
          <c:y val="0.0400506535947712"/>
          <c:w val="0.949926234567901"/>
          <c:h val="0.755441666666667"/>
        </c:manualLayout>
      </c:layout>
      <c:barChart>
        <c:barDir val="col"/>
        <c:grouping val="stacked"/>
        <c:varyColors val="0"/>
        <c:ser>
          <c:idx val="0"/>
          <c:order val="0"/>
          <c:tx>
            <c:strRef>
              <c:f>'地区-生产'!$A$2</c:f>
              <c:strCache>
                <c:ptCount val="1"/>
                <c:pt idx="0">
                  <c:v>北美</c:v>
                </c:pt>
              </c:strCache>
            </c:strRef>
          </c:tx>
          <c:spPr>
            <a:solidFill>
              <a:srgbClr val="002060"/>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'地区-生产'!$B$2:$M$2</c:f>
              <c:numCache>
                <c:formatCode>#,##0_);[Red]\(#,##0\)</c:formatCode>
                <c:ptCount val="12"/>
                <c:pt idx="0">
                  <c:v>213</c:v>
                </c:pt>
                <c:pt idx="1">
                  <c:v>213</c:v>
                </c:pt>
                <c:pt idx="2">
                  <c:v>238</c:v>
                </c:pt>
                <c:pt idx="3">
                  <c:v>223</c:v>
                </c:pt>
                <c:pt idx="4">
                  <c:v>286</c:v>
                </c:pt>
                <c:pt idx="5">
                  <c:v>237</c:v>
                </c:pt>
                <c:pt idx="6">
                  <c:v>326</c:v>
                </c:pt>
                <c:pt idx="7">
                  <c:v>296</c:v>
                </c:pt>
                <c:pt idx="8">
                  <c:v>316</c:v>
                </c:pt>
                <c:pt idx="9">
                  <c:v>363</c:v>
                </c:pt>
                <c:pt idx="10">
                  <c:v>385</c:v>
                </c:pt>
                <c:pt idx="11">
                  <c:v>416</c:v>
                </c:pt>
              </c:numCache>
            </c:numRef>
          </c:val>
        </c:ser>
        <c:ser>
          <c:idx val="1"/>
          <c:order val="1"/>
          <c:tx>
            <c:strRef>
              <c:f>'地区-生产'!$A$3</c:f>
              <c:strCache>
                <c:ptCount val="1"/>
                <c:pt idx="0">
                  <c:v>欧洲</c:v>
                </c:pt>
              </c:strCache>
            </c:strRef>
          </c:tx>
          <c:spPr>
            <a:solidFill>
              <a:schemeClr val="bg1">
                <a:lumMod val="50000"/>
              </a:schemeClr>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'地区-生产'!$B$3:$M$3</c:f>
              <c:numCache>
                <c:formatCode>#,##0_);[Red]\(#,##0\)</c:formatCode>
                <c:ptCount val="12"/>
                <c:pt idx="0">
                  <c:v>134</c:v>
                </c:pt>
                <c:pt idx="1">
                  <c:v>145</c:v>
                </c:pt>
                <c:pt idx="2">
                  <c:v>147</c:v>
                </c:pt>
                <c:pt idx="3">
                  <c:v>155</c:v>
                </c:pt>
                <c:pt idx="4">
                  <c:v>162</c:v>
                </c:pt>
                <c:pt idx="5">
                  <c:v>169</c:v>
                </c:pt>
                <c:pt idx="6">
                  <c:v>236</c:v>
                </c:pt>
                <c:pt idx="7">
                  <c:v>195</c:v>
                </c:pt>
                <c:pt idx="8">
                  <c:v>235</c:v>
                </c:pt>
                <c:pt idx="9">
                  <c:v>262</c:v>
                </c:pt>
                <c:pt idx="10">
                  <c:v>224</c:v>
                </c:pt>
                <c:pt idx="11">
                  <c:v>232</c:v>
                </c:pt>
              </c:numCache>
            </c:numRef>
          </c:val>
        </c:ser>
        <c:ser>
          <c:idx val="2"/>
          <c:order val="2"/>
          <c:tx>
            <c:strRef>
              <c:f>'地区-生产'!$A$4</c:f>
              <c:strCache>
                <c:ptCount val="1"/>
                <c:pt idx="0">
                  <c:v>亚太</c:v>
                </c:pt>
              </c:strCache>
            </c:strRef>
          </c:tx>
          <c:spPr>
            <a:solidFill>
              <a:schemeClr val="accent6">
                <a:lumMod val="75000"/>
              </a:schemeClr>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'地区-生产'!$B$4:$M$4</c:f>
              <c:numCache>
                <c:formatCode>#,##0_);[Red]\(#,##0\)</c:formatCode>
                <c:ptCount val="12"/>
                <c:pt idx="0">
                  <c:v>86</c:v>
                </c:pt>
                <c:pt idx="1">
                  <c:v>89</c:v>
                </c:pt>
                <c:pt idx="2">
                  <c:v>91</c:v>
                </c:pt>
                <c:pt idx="3">
                  <c:v>99</c:v>
                </c:pt>
                <c:pt idx="4">
                  <c:v>106</c:v>
                </c:pt>
                <c:pt idx="5">
                  <c:v>113</c:v>
                </c:pt>
                <c:pt idx="6">
                  <c:v>123</c:v>
                </c:pt>
                <c:pt idx="7">
                  <c:v>139</c:v>
                </c:pt>
                <c:pt idx="8">
                  <c:v>145</c:v>
                </c:pt>
                <c:pt idx="9">
                  <c:v>158</c:v>
                </c:pt>
                <c:pt idx="10">
                  <c:v>168</c:v>
                </c:pt>
                <c:pt idx="11">
                  <c:v>176</c:v>
                </c:pt>
              </c:numCache>
            </c:numRef>
          </c:val>
        </c:ser>
        <c:ser>
          <c:idx val="3"/>
          <c:order val="3"/>
          <c:tx>
            <c:strRef>
              <c:f>'地区-生产'!$A$5</c:f>
              <c:strCache>
                <c:ptCount val="1"/>
                <c:pt idx="0">
                  <c:v>南美洲</c:v>
                </c:pt>
              </c:strCache>
            </c:strRef>
          </c:tx>
          <c:spPr>
            <a:solidFill>
              <a:schemeClr val="tx2">
                <a:lumMod val="60000"/>
                <a:lumOff val="40000"/>
              </a:schemeClr>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'地区-生产'!$B$5:$M$5</c:f>
              <c:numCache>
                <c:formatCode>#,##0_);[Red]\(#,##0\)</c:formatCode>
                <c:ptCount val="12"/>
                <c:pt idx="0">
                  <c:v>74.895847928404</c:v>
                </c:pt>
                <c:pt idx="1">
                  <c:v>94.540799815294</c:v>
                </c:pt>
                <c:pt idx="2">
                  <c:v>74.540799815294</c:v>
                </c:pt>
                <c:pt idx="3">
                  <c:v>64.540799815294</c:v>
                </c:pt>
                <c:pt idx="4">
                  <c:v>64.540799815294</c:v>
                </c:pt>
                <c:pt idx="5">
                  <c:v>74.540799815294</c:v>
                </c:pt>
                <c:pt idx="6">
                  <c:v>54.540799815294</c:v>
                </c:pt>
                <c:pt idx="7">
                  <c:v>64.540799815294</c:v>
                </c:pt>
                <c:pt idx="8">
                  <c:v>84.540799815294</c:v>
                </c:pt>
                <c:pt idx="9">
                  <c:v>84.540799815294</c:v>
                </c:pt>
                <c:pt idx="10">
                  <c:v>91.540799815294</c:v>
                </c:pt>
                <c:pt idx="11">
                  <c:v>92.540799815294</c:v>
                </c:pt>
              </c:numCache>
            </c:numRef>
          </c:val>
        </c:ser>
        <c:ser>
          <c:idx val="8"/>
          <c:order val="8"/>
          <c:tx>
            <c:strRef>
              <c:f>'地区-生产'!$A$6</c:f>
              <c:strCache>
                <c:ptCount val="1"/>
                <c:pt idx="0">
                  <c:v>中东和非洲</c:v>
                </c:pt>
              </c:strCache>
            </c:strRef>
          </c:tx>
          <c:spPr>
            <a:solidFill>
              <a:schemeClr val="accent5">
                <a:lumMod val="60000"/>
                <a:lumOff val="40000"/>
              </a:schemeClr>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'地区-生产'!$B$6:$M$6</c:f>
              <c:numCache>
                <c:formatCode>#,##0_);[Red]\(#,##0\)</c:formatCode>
                <c:ptCount val="12"/>
                <c:pt idx="0">
                  <c:v>25.604152071596</c:v>
                </c:pt>
                <c:pt idx="1">
                  <c:v>44.059200184706</c:v>
                </c:pt>
                <c:pt idx="2">
                  <c:v>64.459200184706</c:v>
                </c:pt>
                <c:pt idx="3">
                  <c:v>94.459200184706</c:v>
                </c:pt>
                <c:pt idx="4">
                  <c:v>65.059200184706</c:v>
                </c:pt>
                <c:pt idx="5">
                  <c:v>140.559200184706</c:v>
                </c:pt>
                <c:pt idx="6">
                  <c:v>33.959200184706</c:v>
                </c:pt>
                <c:pt idx="7">
                  <c:v>121.859200184706</c:v>
                </c:pt>
                <c:pt idx="8">
                  <c:v>87.2592001847059</c:v>
                </c:pt>
                <c:pt idx="9">
                  <c:v>19.2592001847059</c:v>
                </c:pt>
                <c:pt idx="10">
                  <c:v>62.859200184706</c:v>
                </c:pt>
                <c:pt idx="11">
                  <c:v>52.359200184706</c:v>
                </c:pt>
              </c:numCache>
            </c:numRef>
          </c:val>
        </c:ser>
        <c:dLbls>
          <c:showLegendKey val="0"/>
          <c:showVal val="0"/>
          <c:showCatName val="0"/>
          <c:showSerName val="0"/>
          <c:showPercent val="0"/>
          <c:showBubbleSize val="0"/>
        </c:dLbls>
        <c:gapWidth val="25"/>
        <c:overlap val="100"/>
        <c:axId val="2101581920"/>
        <c:axId val="2101559456"/>
        <c:extLst>
          <c:ext xmlns:c15="http://schemas.microsoft.com/office/drawing/2012/chart" uri="{02D57815-91ED-43cb-92C2-25804820EDAC}">
            <c15:filteredBarSeries>
              <c15:ser>
                <c:idx val="4"/>
                <c:order val="4"/>
                <c:tx>
                  <c:strRef>
                    <c:extLst>
                      <c:ext uri="{02D57815-91ED-43cb-92C2-25804820EDAC}">
                        <c15:formulaRef>
                          <c15:sqref>'地区-生产'!#REF!</c15:sqref>
                        </c15:formulaRef>
                      </c:ext>
                    </c:extLst>
                    <c:strCache>
                      <c:ptCount val="1"/>
                      <c:pt idx="0">
                        <c:v>#REF!</c:v>
                      </c:pt>
                    </c:strCache>
                  </c:strRef>
                </c:tx>
                <c:spPr>
                  <a:solidFill>
                    <a:schemeClr val="accent1">
                      <a:lumMod val="75000"/>
                    </a:schemeClr>
                  </a:solidFill>
                  <a:ln>
                    <a:noFill/>
                  </a:ln>
                  <a:effectLst/>
                </c:spPr>
                <c:invertIfNegative val="0"/>
                <c:dLbls>
                  <c:delete val="1"/>
                </c:dLbls>
                <c:cat>
                  <c:numRef>
                    <c:extLst>
                      <c:ext uri="{02D57815-91ED-43cb-92C2-25804820EDAC}">
                        <c15:fullRef>
                          <c15:sqref/>
                        </c15:fullRef>
                        <c15:formulaRef>
                          <c15:sqref>'地区-生产'!$B$1:$M$1</c15:sqref>
                        </c15:formulaRef>
                      </c:ext>
                    </c:extLst>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extLst>
                      <c:ext uri="{02D57815-91ED-43cb-92C2-25804820EDAC}">
                        <c15:formulaRef>
                          <c15:sqref>'地区-生产'!#REF!</c15:sqref>
                        </c15:formulaRef>
                      </c:ext>
                    </c:extLst>
                    <c:numCache>
                      <c:formatCode>General</c:formatCode>
                      <c:ptCount val="1"/>
                      <c:pt idx="0">
                        <c:v>1</c:v>
                      </c:pt>
                    </c:numCache>
                  </c:numRef>
                </c:val>
              </c15:ser>
            </c15:filteredBarSeries>
            <c15:filteredBarSeries>
              <c15:ser>
                <c:idx val="5"/>
                <c:order val="5"/>
                <c:tx>
                  <c:strRef>
                    <c:extLst>
                      <c:ext uri="{02D57815-91ED-43cb-92C2-25804820EDAC}">
                        <c15:formulaRef>
                          <c15:sqref>'地区-生产'!#REF!</c15:sqref>
                        </c15:formulaRef>
                      </c:ext>
                    </c:extLst>
                    <c:strCache>
                      <c:ptCount val="1"/>
                      <c:pt idx="0">
                        <c:v>#REF!</c:v>
                      </c:pt>
                    </c:strCache>
                  </c:strRef>
                </c:tx>
                <c:spPr>
                  <a:solidFill>
                    <a:schemeClr val="accent4">
                      <a:lumMod val="60000"/>
                      <a:lumOff val="40000"/>
                    </a:schemeClr>
                  </a:solidFill>
                  <a:ln>
                    <a:noFill/>
                  </a:ln>
                  <a:effectLst/>
                </c:spPr>
                <c:invertIfNegative val="0"/>
                <c:dLbls>
                  <c:delete val="1"/>
                </c:dLbls>
                <c:cat>
                  <c:numRef>
                    <c:extLst>
                      <c:ext uri="{02D57815-91ED-43cb-92C2-25804820EDAC}">
                        <c15:fullRef>
                          <c15:sqref/>
                        </c15:fullRef>
                        <c15:formulaRef>
                          <c15:sqref>'地区-生产'!$B$1:$M$1</c15:sqref>
                        </c15:formulaRef>
                      </c:ext>
                    </c:extLst>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extLst>
                      <c:ext uri="{02D57815-91ED-43cb-92C2-25804820EDAC}">
                        <c15:formulaRef>
                          <c15:sqref>'地区-生产'!#REF!</c15:sqref>
                        </c15:formulaRef>
                      </c:ext>
                    </c:extLst>
                    <c:numCache>
                      <c:formatCode>General</c:formatCode>
                      <c:ptCount val="1"/>
                      <c:pt idx="0">
                        <c:v>1</c:v>
                      </c:pt>
                    </c:numCache>
                  </c:numRef>
                </c:val>
              </c15:ser>
            </c15:filteredBarSeries>
            <c15:filteredBarSeries>
              <c15:ser>
                <c:idx val="6"/>
                <c:order val="6"/>
                <c:tx>
                  <c:strRef>
                    <c:extLst>
                      <c:ext uri="{02D57815-91ED-43cb-92C2-25804820EDAC}">
                        <c15:formulaRef>
                          <c15:sqref>'地区-生产'!#REF!</c15:sqref>
                        </c15:formulaRef>
                      </c:ext>
                    </c:extLst>
                    <c:strCache>
                      <c:ptCount val="1"/>
                      <c:pt idx="0">
                        <c:v>#REF!</c:v>
                      </c:pt>
                    </c:strCache>
                  </c:strRef>
                </c:tx>
                <c:spPr>
                  <a:solidFill>
                    <a:schemeClr val="accent2">
                      <a:lumMod val="60000"/>
                      <a:lumOff val="40000"/>
                    </a:schemeClr>
                  </a:solidFill>
                  <a:ln>
                    <a:noFill/>
                  </a:ln>
                  <a:effectLst/>
                </c:spPr>
                <c:invertIfNegative val="0"/>
                <c:dLbls>
                  <c:delete val="1"/>
                </c:dLbls>
                <c:cat>
                  <c:numRef>
                    <c:extLst>
                      <c:ext uri="{02D57815-91ED-43cb-92C2-25804820EDAC}">
                        <c15:fullRef>
                          <c15:sqref/>
                        </c15:fullRef>
                        <c15:formulaRef>
                          <c15:sqref>'地区-生产'!$B$1:$M$1</c15:sqref>
                        </c15:formulaRef>
                      </c:ext>
                    </c:extLst>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extLst>
                      <c:ext uri="{02D57815-91ED-43cb-92C2-25804820EDAC}">
                        <c15:formulaRef>
                          <c15:sqref>'地区-生产'!#REF!</c15:sqref>
                        </c15:formulaRef>
                      </c:ext>
                    </c:extLst>
                    <c:numCache>
                      <c:formatCode>General</c:formatCode>
                      <c:ptCount val="1"/>
                      <c:pt idx="0">
                        <c:v>1</c:v>
                      </c:pt>
                    </c:numCache>
                  </c:numRef>
                </c:val>
              </c15:ser>
            </c15:filteredBarSeries>
            <c15:filteredBarSeries>
              <c15:ser>
                <c:idx val="7"/>
                <c:order val="7"/>
                <c:tx>
                  <c:strRef>
                    <c:extLst>
                      <c:ext uri="{02D57815-91ED-43cb-92C2-25804820EDAC}">
                        <c15:formulaRef>
                          <c15:sqref>'地区-生产'!#REF!</c15:sqref>
                        </c15:formulaRef>
                      </c:ext>
                    </c:extLst>
                    <c:strCache>
                      <c:ptCount val="1"/>
                      <c:pt idx="0">
                        <c:v>#REF!</c:v>
                      </c:pt>
                    </c:strCache>
                  </c:strRef>
                </c:tx>
                <c:spPr>
                  <a:solidFill>
                    <a:schemeClr val="bg2">
                      <a:lumMod val="50000"/>
                    </a:schemeClr>
                  </a:solidFill>
                  <a:ln>
                    <a:noFill/>
                  </a:ln>
                  <a:effectLst/>
                </c:spPr>
                <c:invertIfNegative val="0"/>
                <c:dLbls>
                  <c:delete val="1"/>
                </c:dLbls>
                <c:cat>
                  <c:numRef>
                    <c:extLst>
                      <c:ext uri="{02D57815-91ED-43cb-92C2-25804820EDAC}">
                        <c15:fullRef>
                          <c15:sqref/>
                        </c15:fullRef>
                        <c15:formulaRef>
                          <c15:sqref>'地区-生产'!$B$1:$M$1</c15:sqref>
                        </c15:formulaRef>
                      </c:ext>
                    </c:extLst>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extLst>
                      <c:ext uri="{02D57815-91ED-43cb-92C2-25804820EDAC}">
                        <c15:formulaRef>
                          <c15:sqref>'地区-生产'!#REF!</c15:sqref>
                        </c15:formulaRef>
                      </c:ext>
                    </c:extLst>
                    <c:numCache>
                      <c:formatCode>General</c:formatCode>
                      <c:ptCount val="1"/>
                      <c:pt idx="0">
                        <c:v>1</c:v>
                      </c:pt>
                    </c:numCache>
                  </c:numRef>
                </c:val>
              </c15:ser>
            </c15:filteredBarSeries>
          </c:ext>
        </c:extLst>
      </c:barChart>
      <c:lineChart>
        <c:grouping val="stacked"/>
        <c:varyColors val="0"/>
        <c:ser>
          <c:idx val="9"/>
          <c:order val="9"/>
          <c:tx>
            <c:strRef>
              <c:f>'地区-生产'!$A$7</c:f>
              <c:strCache>
                <c:ptCount val="1"/>
                <c:pt idx="0">
                  <c:v>共计</c:v>
                </c:pt>
              </c:strCache>
            </c:strRef>
          </c:tx>
          <c:spPr>
            <a:ln w="28575" cap="rnd">
              <a:solidFill>
                <a:srgbClr val="002060"/>
              </a:solidFill>
              <a:round/>
            </a:ln>
            <a:effectLst/>
          </c:spPr>
          <c:marker>
            <c:symbol val="diamond"/>
            <c:size val="8"/>
            <c:spPr>
              <a:solidFill>
                <a:srgbClr val="FFC000"/>
              </a:solidFill>
              <a:ln w="9525">
                <a:solidFill>
                  <a:schemeClr val="accent4">
                    <a:lumMod val="60000"/>
                  </a:schemeClr>
                </a:solidFill>
              </a:ln>
              <a:effectLst/>
            </c:spPr>
          </c:marker>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'地区-生产'!$B$7:$M$7</c:f>
              <c:numCache>
                <c:formatCode>#,##0_);[Red]\(#,##0\)</c:formatCode>
                <c:ptCount val="12"/>
                <c:pt idx="0">
                  <c:v>533.5</c:v>
                </c:pt>
                <c:pt idx="1">
                  <c:v>585.6</c:v>
                </c:pt>
                <c:pt idx="2">
                  <c:v>615</c:v>
                </c:pt>
                <c:pt idx="3">
                  <c:v>636</c:v>
                </c:pt>
                <c:pt idx="4">
                  <c:v>683.6</c:v>
                </c:pt>
                <c:pt idx="5">
                  <c:v>734.1</c:v>
                </c:pt>
                <c:pt idx="6">
                  <c:v>773.5</c:v>
                </c:pt>
                <c:pt idx="7">
                  <c:v>816.4</c:v>
                </c:pt>
                <c:pt idx="8">
                  <c:v>867.8</c:v>
                </c:pt>
                <c:pt idx="9">
                  <c:v>886.8</c:v>
                </c:pt>
                <c:pt idx="10">
                  <c:v>931.4</c:v>
                </c:pt>
                <c:pt idx="11">
                  <c:v>968.9</c:v>
                </c:pt>
              </c:numCache>
            </c:numRef>
          </c:val>
          <c:smooth val="0"/>
        </c:ser>
        <c:dLbls>
          <c:showLegendKey val="0"/>
          <c:showVal val="0"/>
          <c:showCatName val="0"/>
          <c:showSerName val="0"/>
          <c:showPercent val="0"/>
          <c:showBubbleSize val="0"/>
        </c:dLbls>
        <c:marker val="1"/>
        <c:smooth val="0"/>
        <c:axId val="2101602720"/>
        <c:axId val="2101608960"/>
      </c:line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81920"/>
        <c:crosses val="autoZero"/>
        <c:crossBetween val="between"/>
      </c:valAx>
      <c:catAx>
        <c:axId val="2101602720"/>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608960"/>
        <c:crosses val="autoZero"/>
        <c:auto val="1"/>
        <c:lblAlgn val="ctr"/>
        <c:lblOffset val="100"/>
        <c:noMultiLvlLbl val="0"/>
      </c:catAx>
      <c:valAx>
        <c:axId val="2101608960"/>
        <c:scaling>
          <c:orientation val="minMax"/>
        </c:scaling>
        <c:delete val="0"/>
        <c:axPos val="r"/>
        <c:numFmt formatCode="0.0%"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602720"/>
        <c:crosses val="max"/>
        <c:crossBetween val="between"/>
      </c:valAx>
      <c:spPr>
        <a:noFill/>
        <a:ln>
          <a:noFill/>
        </a:ln>
        <a:effectLst/>
      </c:spPr>
    </c:plotArea>
    <c:legend>
      <c:legendPos val="b"/>
      <c:layout>
        <c:manualLayout>
          <c:xMode val="edge"/>
          <c:yMode val="edge"/>
          <c:x val="0.0323108024691358"/>
          <c:y val="0.865502222222222"/>
          <c:w val="0.898140586419753"/>
          <c:h val="0.113331111111111"/>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Book Antiqua" panose="02040602050305030304" pitchFamily="1" charset="0"/>
                <a:ea typeface="+mn-ea"/>
                <a:cs typeface="+mn-cs"/>
              </a:defRPr>
            </a:pPr>
            <a:r>
              <a:rPr lang="en-US" altLang="zh-CN" sz="1200">
                <a:latin typeface="Book Antiqua" panose="02040602050305030304" pitchFamily="1" charset="0"/>
              </a:rPr>
              <a:t>Market Size By Region, 2018 Vs 2022 VS 2029</a:t>
            </a:r>
            <a:endParaRPr lang="zh-CN" altLang="en-US" sz="1200">
              <a:latin typeface="Book Antiqua" panose="02040602050305030304" pitchFamily="1" charset="0"/>
            </a:endParaRPr>
          </a:p>
        </c:rich>
      </c:tx>
      <c:layout/>
      <c:overlay val="0"/>
      <c:spPr>
        <a:noFill/>
        <a:ln>
          <a:noFill/>
        </a:ln>
        <a:effectLst/>
      </c:spPr>
    </c:title>
    <c:autoTitleDeleted val="0"/>
    <c:plotArea>
      <c:layout/>
      <c:barChart>
        <c:barDir val="col"/>
        <c:grouping val="clustered"/>
        <c:varyColors val="0"/>
        <c:ser>
          <c:idx val="0"/>
          <c:order val="0"/>
          <c:tx>
            <c:strRef>
              <c:f>'地区-生产'!$AE$1</c:f>
              <c:strCache>
                <c:ptCount val="1"/>
                <c:pt idx="0">
                  <c:v>2018</c:v>
                </c:pt>
              </c:strCache>
            </c:strRef>
          </c:tx>
          <c:spPr>
            <a:solidFill>
              <a:srgbClr val="FFC000"/>
            </a:solidFill>
            <a:ln>
              <a:noFill/>
            </a:ln>
            <a:effectLst/>
          </c:spPr>
          <c:invertIfNegative val="0"/>
          <c:dLbls>
            <c:delete val="1"/>
          </c:dLbls>
          <c:cat>
            <c:strRef>
              <c:f>'地区-生产'!$AD$2:$AD$6</c:f>
              <c:strCache>
                <c:ptCount val="5"/>
                <c:pt idx="0">
                  <c:v>北美</c:v>
                </c:pt>
                <c:pt idx="1">
                  <c:v>欧洲</c:v>
                </c:pt>
                <c:pt idx="2">
                  <c:v>亚太</c:v>
                </c:pt>
                <c:pt idx="3">
                  <c:v>南美洲</c:v>
                </c:pt>
                <c:pt idx="4">
                  <c:v>中东和非洲</c:v>
                </c:pt>
              </c:strCache>
            </c:strRef>
          </c:cat>
          <c:val>
            <c:numRef>
              <c:f>'地区-生产'!$AE$2:$AE$6</c:f>
              <c:numCache>
                <c:formatCode>#,##0_);[Red]\(#,##0\)</c:formatCode>
                <c:ptCount val="5"/>
                <c:pt idx="0">
                  <c:v>213</c:v>
                </c:pt>
                <c:pt idx="1">
                  <c:v>134</c:v>
                </c:pt>
                <c:pt idx="2">
                  <c:v>86</c:v>
                </c:pt>
                <c:pt idx="3">
                  <c:v>74.895847928404</c:v>
                </c:pt>
                <c:pt idx="4">
                  <c:v>25.604152071596</c:v>
                </c:pt>
              </c:numCache>
            </c:numRef>
          </c:val>
        </c:ser>
        <c:ser>
          <c:idx val="1"/>
          <c:order val="1"/>
          <c:tx>
            <c:strRef>
              <c:f>'地区-生产'!$AF$1</c:f>
              <c:strCache>
                <c:ptCount val="1"/>
                <c:pt idx="0">
                  <c:v>2022</c:v>
                </c:pt>
              </c:strCache>
            </c:strRef>
          </c:tx>
          <c:spPr>
            <a:solidFill>
              <a:schemeClr val="bg1">
                <a:lumMod val="50000"/>
              </a:schemeClr>
            </a:solidFill>
            <a:ln>
              <a:noFill/>
            </a:ln>
            <a:effectLst/>
          </c:spPr>
          <c:invertIfNegative val="0"/>
          <c:dLbls>
            <c:delete val="1"/>
          </c:dLbls>
          <c:cat>
            <c:strRef>
              <c:f>'地区-生产'!$AD$2:$AD$6</c:f>
              <c:strCache>
                <c:ptCount val="5"/>
                <c:pt idx="0">
                  <c:v>北美</c:v>
                </c:pt>
                <c:pt idx="1">
                  <c:v>欧洲</c:v>
                </c:pt>
                <c:pt idx="2">
                  <c:v>亚太</c:v>
                </c:pt>
                <c:pt idx="3">
                  <c:v>南美洲</c:v>
                </c:pt>
                <c:pt idx="4">
                  <c:v>中东和非洲</c:v>
                </c:pt>
              </c:strCache>
            </c:strRef>
          </c:cat>
          <c:val>
            <c:numRef>
              <c:f>'地区-生产'!$AF$2:$AF$6</c:f>
              <c:numCache>
                <c:formatCode>#,##0_);[Red]\(#,##0\)</c:formatCode>
                <c:ptCount val="5"/>
                <c:pt idx="0">
                  <c:v>286</c:v>
                </c:pt>
                <c:pt idx="1">
                  <c:v>162</c:v>
                </c:pt>
                <c:pt idx="2">
                  <c:v>106</c:v>
                </c:pt>
                <c:pt idx="3">
                  <c:v>64.540799815294</c:v>
                </c:pt>
                <c:pt idx="4">
                  <c:v>65.059200184706</c:v>
                </c:pt>
              </c:numCache>
            </c:numRef>
          </c:val>
        </c:ser>
        <c:ser>
          <c:idx val="2"/>
          <c:order val="2"/>
          <c:tx>
            <c:strRef>
              <c:f>'地区-生产'!$AG$1</c:f>
              <c:strCache>
                <c:ptCount val="1"/>
                <c:pt idx="0">
                  <c:v>2029</c:v>
                </c:pt>
              </c:strCache>
            </c:strRef>
          </c:tx>
          <c:spPr>
            <a:solidFill>
              <a:srgbClr val="002060"/>
            </a:solidFill>
            <a:ln>
              <a:noFill/>
            </a:ln>
            <a:effectLst/>
          </c:spPr>
          <c:invertIfNegative val="0"/>
          <c:dLbls>
            <c:delete val="1"/>
          </c:dLbls>
          <c:cat>
            <c:strRef>
              <c:f>'地区-生产'!$AD$2:$AD$6</c:f>
              <c:strCache>
                <c:ptCount val="5"/>
                <c:pt idx="0">
                  <c:v>北美</c:v>
                </c:pt>
                <c:pt idx="1">
                  <c:v>欧洲</c:v>
                </c:pt>
                <c:pt idx="2">
                  <c:v>亚太</c:v>
                </c:pt>
                <c:pt idx="3">
                  <c:v>南美洲</c:v>
                </c:pt>
                <c:pt idx="4">
                  <c:v>中东和非洲</c:v>
                </c:pt>
              </c:strCache>
            </c:strRef>
          </c:cat>
          <c:val>
            <c:numRef>
              <c:f>'地区-生产'!$AG$2:$AG$6</c:f>
              <c:numCache>
                <c:formatCode>#,##0_);[Red]\(#,##0\)</c:formatCode>
                <c:ptCount val="5"/>
                <c:pt idx="0">
                  <c:v>416</c:v>
                </c:pt>
                <c:pt idx="1">
                  <c:v>232</c:v>
                </c:pt>
                <c:pt idx="2">
                  <c:v>176</c:v>
                </c:pt>
                <c:pt idx="3">
                  <c:v>92.540799815294</c:v>
                </c:pt>
                <c:pt idx="4">
                  <c:v>52.359200184706</c:v>
                </c:pt>
              </c:numCache>
            </c:numRef>
          </c:val>
        </c:ser>
        <c:dLbls>
          <c:showLegendKey val="0"/>
          <c:showVal val="0"/>
          <c:showCatName val="0"/>
          <c:showSerName val="0"/>
          <c:showPercent val="0"/>
          <c:showBubbleSize val="0"/>
        </c:dLbls>
        <c:gapWidth val="75"/>
        <c:axId val="25844928"/>
        <c:axId val="1875643855"/>
      </c:barChart>
      <c:catAx>
        <c:axId val="258449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875643855"/>
        <c:crosses val="autoZero"/>
        <c:auto val="1"/>
        <c:lblAlgn val="ctr"/>
        <c:lblOffset val="100"/>
        <c:noMultiLvlLbl val="0"/>
      </c:catAx>
      <c:valAx>
        <c:axId val="1875643855"/>
        <c:scaling>
          <c:orientation val="minMax"/>
        </c:scaling>
        <c:delete val="0"/>
        <c:axPos val="l"/>
        <c:majorGridlines>
          <c:spPr>
            <a:ln w="9525" cap="flat" cmpd="sng" algn="ctr">
              <a:noFill/>
              <a:round/>
            </a:ln>
            <a:effectLst/>
          </c:spPr>
        </c:majorGridlines>
        <c:numFmt formatCode="#,##0_);[Red]\(#,##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2584492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0.54734</cdr:x>
      <cdr:y>0.17465</cdr:y>
    </cdr:from>
    <cdr:to>
      <cdr:x>0.73876</cdr:x>
      <cdr:y>0.50504</cdr:y>
    </cdr:to>
    <cdr:grpSp>
      <cdr:nvGrpSpPr>
        <cdr:cNvPr id="2" name="组合 1"/>
        <cdr:cNvGrpSpPr/>
      </cdr:nvGrpSpPr>
      <cdr:grpSpPr xmlns:a="http://schemas.openxmlformats.org/drawingml/2006/main">
        <a:xfrm rot="439955">
          <a:off x="3387329" y="510374"/>
          <a:ext cx="1184643" cy="965489"/>
          <a:chOff x="2860153" y="1082070"/>
          <a:chExt cx="808296" cy="797129"/>
        </a:xfrm>
        <a:solidFill>
          <a:srgbClr val="FFC000"/>
        </a:solidFill>
      </cdr:grpSpPr>
      <cdr:cxnSp>
        <cdr:nvCxnSpPr>
          <cdr:cNvPr id="3" name="直接箭头连接符 2"/>
          <cdr:cNvCxnSpPr/>
        </cdr:nvCxnSpPr>
        <cdr:spPr xmlns:a="http://schemas.openxmlformats.org/drawingml/2006/main">
          <a:xfrm xmlns:a="http://schemas.openxmlformats.org/drawingml/2006/main" rot="21160045" flipV="1">
            <a:off x="2860153" y="1082070"/>
            <a:ext cx="808296" cy="797129"/>
          </a:xfrm>
          <a:prstGeom xmlns:a="http://schemas.openxmlformats.org/drawingml/2006/main" prst="straightConnector1">
            <a:avLst/>
          </a:prstGeom>
          <a:grpFill/>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4" name="椭圆 3"/>
          <cdr:cNvSpPr/>
        </cdr:nvSpPr>
        <cdr:spPr xmlns:a="http://schemas.openxmlformats.org/drawingml/2006/main">
          <a:xfrm xmlns:a="http://schemas.openxmlformats.org/drawingml/2006/main" rot="18797512">
            <a:off x="2927679" y="1405657"/>
            <a:ext cx="661239" cy="185799"/>
          </a:xfrm>
          <a:prstGeom xmlns:a="http://schemas.openxmlformats.org/drawingml/2006/main" prst="ellipse">
            <a:avLst/>
          </a:prstGeom>
          <a:grp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baseline="0">
                <a:solidFill>
                  <a:sysClr val="windowText" lastClr="000000"/>
                </a:solidFill>
                <a:latin typeface="Book Antiqua" panose="02040602050305030304" pitchFamily="1" charset="0"/>
                <a:ea typeface="宋体" panose="02010600030101010101" charset="-122"/>
              </a:rPr>
              <a:t>4.7%</a:t>
            </a:r>
            <a:endParaRPr lang="zh-CN" baseline="0">
              <a:solidFill>
                <a:sysClr val="windowText" lastClr="000000"/>
              </a:solidFill>
              <a:latin typeface="Book Antiqua" panose="02040602050305030304" pitchFamily="1" charset="0"/>
              <a:ea typeface="宋体" panose="02010600030101010101" charset="-122"/>
            </a:endParaRPr>
          </a:p>
        </cdr:txBody>
      </cdr:sp>
    </cdr:grpSp>
  </cdr:relSizeAnchor>
  <cdr:relSizeAnchor xmlns:cdr="http://schemas.openxmlformats.org/drawingml/2006/chartDrawing">
    <cdr:from>
      <cdr:x>0.23892</cdr:x>
      <cdr:y>0.50594</cdr:y>
    </cdr:from>
    <cdr:to>
      <cdr:x>0.41468</cdr:x>
      <cdr:y>0.78159</cdr:y>
    </cdr:to>
    <cdr:grpSp>
      <cdr:nvGrpSpPr>
        <cdr:cNvPr id="5" name="组合 4"/>
        <cdr:cNvGrpSpPr/>
      </cdr:nvGrpSpPr>
      <cdr:grpSpPr xmlns:a="http://schemas.openxmlformats.org/drawingml/2006/main">
        <a:xfrm rot="1783323">
          <a:off x="1478607" y="1478493"/>
          <a:ext cx="1087728" cy="805524"/>
          <a:chOff x="3056630" y="1688526"/>
          <a:chExt cx="860779" cy="814928"/>
        </a:xfrm>
      </cdr:grpSpPr>
      <cdr:cxnSp>
        <cdr:nvCxnSpPr>
          <cdr:cNvPr id="6" name="直接箭头连接符 5"/>
          <cdr:cNvCxnSpPr/>
        </cdr:nvCxnSpPr>
        <cdr:spPr xmlns:a="http://schemas.openxmlformats.org/drawingml/2006/main">
          <a:xfrm xmlns:a="http://schemas.openxmlformats.org/drawingml/2006/main" rot="19816677" flipV="1">
            <a:off x="3056630" y="1780104"/>
            <a:ext cx="860779" cy="560852"/>
          </a:xfrm>
          <a:prstGeom xmlns:a="http://schemas.openxmlformats.org/drawingml/2006/main" prst="straightConnector1">
            <a:avLst/>
          </a:prstGeom>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7" name="椭圆 6"/>
          <cdr:cNvSpPr/>
        </cdr:nvSpPr>
        <cdr:spPr xmlns:a="http://schemas.openxmlformats.org/drawingml/2006/main">
          <a:xfrm xmlns:a="http://schemas.openxmlformats.org/drawingml/2006/main" rot="18230322">
            <a:off x="3051620" y="2008392"/>
            <a:ext cx="814928" cy="175195"/>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a:solidFill>
                  <a:sysClr val="windowText" lastClr="000000"/>
                </a:solidFill>
              </a:rPr>
              <a:t>6.4%</a:t>
            </a:r>
            <a:endParaRPr lang="zh-CN">
              <a:solidFill>
                <a:sysClr val="windowText" lastClr="000000"/>
              </a:solidFill>
            </a:endParaRPr>
          </a:p>
        </cdr:txBody>
      </cdr:sp>
    </cdr:grp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8</Pages>
  <Words>497</Words>
  <Characters>2835</Characters>
  <Lines>23</Lines>
  <Paragraphs>6</Paragraphs>
  <TotalTime>60</TotalTime>
  <ScaleCrop>false</ScaleCrop>
  <LinksUpToDate>false</LinksUpToDate>
  <CharactersWithSpaces>3326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2023-12-28T06:13:00Z</dcterms:created>
  <dc:creator>yangj</dc:creator>
  <cp:lastModifiedBy>Administrator</cp:lastModifiedBy>
  <dcterms:modified xsi:type="dcterms:W3CDTF">2024-01-05T07:35:20Z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D209E23A6C6B4E36829E6CF613987BBA_13</vt:lpwstr>
  </property>
</Properties>
</file>