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032DD2">
      <w:pPr>
        <w:keepNext w:val="0"/>
        <w:keepLines w:val="0"/>
        <w:pageBreakBefore w:val="0"/>
        <w:widowControl w:val="0"/>
        <w:kinsoku/>
        <w:wordWrap/>
        <w:overflowPunct/>
        <w:topLinePunct w:val="0"/>
        <w:autoSpaceDE/>
        <w:autoSpaceDN/>
        <w:bidi w:val="0"/>
        <w:adjustRightInd/>
        <w:snapToGrid/>
        <w:spacing w:line="360" w:lineRule="auto"/>
        <w:ind w:firstLine="964"/>
        <w:jc w:val="center"/>
        <w:textAlignment w:val="auto"/>
        <w:rPr>
          <w:rFonts w:hint="eastAsia" w:ascii="仿宋" w:hAnsi="仿宋" w:eastAsia="仿宋"/>
          <w:b/>
          <w:color w:val="000000"/>
          <w:sz w:val="48"/>
          <w:szCs w:val="48"/>
        </w:rPr>
      </w:pPr>
      <w:r>
        <w:rPr>
          <w:color w:val="000000"/>
        </w:rPr>
        <w:drawing>
          <wp:anchor distT="0" distB="0" distL="114300" distR="114300" simplePos="0" relativeHeight="251659264" behindDoc="1" locked="0" layoutInCell="1" allowOverlap="0">
            <wp:simplePos x="0" y="0"/>
            <wp:positionH relativeFrom="column">
              <wp:posOffset>-1174750</wp:posOffset>
            </wp:positionH>
            <wp:positionV relativeFrom="paragraph">
              <wp:posOffset>-1456055</wp:posOffset>
            </wp:positionV>
            <wp:extent cx="7809865" cy="11497945"/>
            <wp:effectExtent l="0" t="0" r="635" b="825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a:stretch>
                      <a:fillRect/>
                    </a:stretch>
                  </pic:blipFill>
                  <pic:spPr>
                    <a:xfrm>
                      <a:off x="0" y="0"/>
                      <a:ext cx="7809865" cy="11497945"/>
                    </a:xfrm>
                    <a:prstGeom prst="rect">
                      <a:avLst/>
                    </a:prstGeom>
                    <a:noFill/>
                    <a:ln>
                      <a:noFill/>
                    </a:ln>
                  </pic:spPr>
                </pic:pic>
              </a:graphicData>
            </a:graphic>
          </wp:anchor>
        </w:drawing>
      </w:r>
    </w:p>
    <w:p w14:paraId="62A22D5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b/>
          <w:color w:val="000000"/>
          <w:sz w:val="52"/>
          <w:szCs w:val="52"/>
          <w:lang w:val="en-US" w:eastAsia="zh-CN"/>
        </w:rPr>
      </w:pPr>
    </w:p>
    <w:p w14:paraId="45988D2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b/>
          <w:color w:val="000000"/>
          <w:sz w:val="52"/>
          <w:szCs w:val="52"/>
          <w:lang w:val="en-US" w:eastAsia="zh-CN"/>
        </w:rPr>
      </w:pPr>
      <w:r>
        <w:rPr>
          <w:rFonts w:hint="eastAsia" w:ascii="仿宋" w:hAnsi="仿宋" w:eastAsia="仿宋" w:cs="仿宋"/>
          <w:b/>
          <w:bCs/>
          <w:color w:val="000000"/>
          <w:sz w:val="44"/>
          <w:szCs w:val="44"/>
        </w:rPr>
        <w:t>水溶性肥料生产项目可行性研究报告-水溶肥大面积应用及推广</w:t>
      </w:r>
      <w:bookmarkStart w:id="0" w:name="_GoBack"/>
      <w:bookmarkEnd w:id="0"/>
    </w:p>
    <w:p w14:paraId="434032F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b/>
          <w:color w:val="000000"/>
          <w:sz w:val="52"/>
          <w:szCs w:val="52"/>
        </w:rPr>
      </w:pPr>
    </w:p>
    <w:p w14:paraId="51A38404">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1B650EE8">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18A01CD0">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5CA4C0E7">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352CB838">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5D40C82D">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1FA01B18">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0830EF1D">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16F098FB">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6D850456">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69FBE3E8">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6190D485">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09AF63D2">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40204902">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32C0DBEC">
      <w:pPr>
        <w:keepNext w:val="0"/>
        <w:keepLines w:val="0"/>
        <w:pageBreakBefore w:val="0"/>
        <w:widowControl w:val="0"/>
        <w:kinsoku/>
        <w:wordWrap/>
        <w:overflowPunct/>
        <w:topLinePunct w:val="0"/>
        <w:autoSpaceDE/>
        <w:autoSpaceDN/>
        <w:bidi w:val="0"/>
        <w:adjustRightInd/>
        <w:snapToGrid/>
        <w:spacing w:line="360" w:lineRule="auto"/>
        <w:ind w:firstLine="723"/>
        <w:jc w:val="center"/>
        <w:textAlignment w:val="auto"/>
        <w:rPr>
          <w:rFonts w:hint="eastAsia" w:ascii="仿宋" w:hAnsi="仿宋" w:eastAsia="仿宋"/>
          <w:b/>
          <w:color w:val="000000"/>
          <w:sz w:val="36"/>
          <w:szCs w:val="36"/>
        </w:rPr>
      </w:pPr>
    </w:p>
    <w:p w14:paraId="6898F960">
      <w:pPr>
        <w:keepNext w:val="0"/>
        <w:keepLines w:val="0"/>
        <w:pageBreakBefore w:val="0"/>
        <w:widowControl w:val="0"/>
        <w:kinsoku/>
        <w:wordWrap/>
        <w:overflowPunct/>
        <w:topLinePunct w:val="0"/>
        <w:autoSpaceDE/>
        <w:autoSpaceDN/>
        <w:bidi w:val="0"/>
        <w:adjustRightInd/>
        <w:snapToGrid/>
        <w:spacing w:line="360" w:lineRule="auto"/>
        <w:ind w:firstLine="723"/>
        <w:jc w:val="center"/>
        <w:textAlignment w:val="auto"/>
        <w:rPr>
          <w:rFonts w:hint="eastAsia" w:ascii="仿宋" w:hAnsi="仿宋" w:eastAsia="仿宋"/>
          <w:b/>
          <w:color w:val="000000"/>
          <w:sz w:val="36"/>
          <w:szCs w:val="36"/>
        </w:rPr>
      </w:pPr>
    </w:p>
    <w:p w14:paraId="0BCA6BDE">
      <w:pPr>
        <w:keepNext w:val="0"/>
        <w:keepLines w:val="0"/>
        <w:pageBreakBefore w:val="0"/>
        <w:widowControl w:val="0"/>
        <w:kinsoku/>
        <w:wordWrap/>
        <w:overflowPunct/>
        <w:topLinePunct w:val="0"/>
        <w:autoSpaceDE/>
        <w:autoSpaceDN/>
        <w:bidi w:val="0"/>
        <w:adjustRightInd/>
        <w:snapToGrid/>
        <w:spacing w:line="360" w:lineRule="auto"/>
        <w:ind w:firstLine="723"/>
        <w:jc w:val="center"/>
        <w:textAlignment w:val="auto"/>
        <w:rPr>
          <w:rFonts w:hint="eastAsia" w:ascii="仿宋" w:hAnsi="仿宋" w:eastAsia="仿宋"/>
          <w:b/>
          <w:color w:val="000000"/>
          <w:sz w:val="36"/>
          <w:szCs w:val="36"/>
        </w:rPr>
      </w:pPr>
    </w:p>
    <w:p w14:paraId="61C3FFA0">
      <w:pPr>
        <w:ind w:firstLine="723" w:firstLineChars="200"/>
      </w:pPr>
      <w:r>
        <w:rPr>
          <w:rFonts w:hint="eastAsia" w:ascii="仿宋" w:hAnsi="仿宋" w:eastAsia="仿宋"/>
          <w:b/>
          <w:color w:val="000000"/>
          <w:sz w:val="36"/>
          <w:szCs w:val="36"/>
        </w:rPr>
        <w:t>编制单位：北京智博睿</w:t>
      </w:r>
      <w:r>
        <w:rPr>
          <w:rFonts w:hint="eastAsia" w:ascii="仿宋" w:hAnsi="仿宋" w:eastAsia="仿宋"/>
          <w:b/>
          <w:color w:val="000000"/>
          <w:sz w:val="36"/>
          <w:szCs w:val="36"/>
          <w:lang w:val="en-US" w:eastAsia="zh-CN"/>
        </w:rPr>
        <w:t>项目管理</w:t>
      </w:r>
      <w:r>
        <w:rPr>
          <w:rFonts w:hint="eastAsia" w:ascii="仿宋" w:hAnsi="仿宋" w:eastAsia="仿宋"/>
          <w:b/>
          <w:color w:val="000000"/>
          <w:sz w:val="36"/>
          <w:szCs w:val="36"/>
        </w:rPr>
        <w:t>有限公司</w:t>
      </w:r>
    </w:p>
    <w:p w14:paraId="30C518B5">
      <w:pPr>
        <w:ind w:firstLine="562" w:firstLineChars="200"/>
        <w:jc w:val="center"/>
        <w:outlineLvl w:val="9"/>
        <w:rPr>
          <w:rFonts w:hint="eastAsia" w:ascii="仿宋" w:hAnsi="仿宋" w:eastAsia="仿宋" w:cs="仿宋"/>
          <w:b/>
          <w:bCs/>
          <w:color w:val="000000" w:themeColor="text1"/>
          <w:sz w:val="28"/>
          <w:szCs w:val="28"/>
          <w:lang w:val="en-US" w:eastAsia="zh-CN"/>
          <w14:textFill>
            <w14:solidFill>
              <w14:schemeClr w14:val="tx1"/>
            </w14:solidFill>
          </w14:textFill>
        </w:rPr>
      </w:pPr>
    </w:p>
    <w:p w14:paraId="2E55CFA1">
      <w:pPr>
        <w:ind w:firstLine="562" w:firstLineChars="200"/>
        <w:jc w:val="center"/>
        <w:outlineLvl w:val="9"/>
        <w:rPr>
          <w:rFonts w:hint="default" w:ascii="仿宋" w:hAnsi="仿宋" w:eastAsia="仿宋" w:cs="仿宋"/>
          <w:b/>
          <w:bCs/>
          <w:color w:val="000000" w:themeColor="text1"/>
          <w:sz w:val="28"/>
          <w:szCs w:val="28"/>
          <w:lang w:val="en-US" w:eastAsia="zh-CN"/>
          <w14:textFill>
            <w14:solidFill>
              <w14:schemeClr w14:val="tx1"/>
            </w14:solidFill>
          </w14:textFill>
        </w:rPr>
      </w:pPr>
    </w:p>
    <w:p w14:paraId="46E52AC7">
      <w:pPr>
        <w:ind w:firstLine="562" w:firstLineChars="200"/>
        <w:jc w:val="left"/>
        <w:outlineLvl w:val="9"/>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一、水溶肥行业概述</w:t>
      </w:r>
    </w:p>
    <w:p w14:paraId="248AC54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水溶肥大面积应用及推广形成市场共识，工业级磷酸一铵在农业领域的应用有望迎来较快增长。水溶性肥料简称水溶肥，是指能够完全溶解于水的含氮、磷、钾、钙、镁、微量元素、氨基酸、腐植酸、海藻酸等复合型肥料。水溶肥从形态分有固体水溶肥和液体水溶肥两种，从养分含量分有大量元素水溶肥料、中量元素水溶肥料、微量元素水溶肥料、含氨基酸水溶肥料、含腐植酸水溶肥料、有机水溶肥料等。水溶肥是与水肥一体化相配套，经水溶解或稀释，用于灌溉施肥、叶面施肥、无土栽培、浸种蘸根等，水溶性在95%以上的液体或固体肥料。</w:t>
      </w:r>
    </w:p>
    <w:p w14:paraId="633F0EB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与传统的复合肥产品相比，通过滴灌施用方式可以使水溶性肥料养分更容易被作物吸收，且利用率相对较高，其吸收率高出普通化肥1倍多，能达到70%～80%，更为关键的是可以通过与喷灌、滴灌等农业设施相结合，实现水肥一体化，达到省水省肥省工的效果。在水资源相对短缺的情况下，水溶性肥料成为保证农业持续、高效发展的有效途径之一，是未来肥料发展的主要方向之一。磷酸铵类系列水溶肥主要包含磷酸一铵、磷酸二铵和聚磷酸铵。在农业领域，工业级磷酸一铵主要用于生产高端水溶肥或者作为高端水溶肥直接施用，水肥一体化工作的推进将持续拉动工业级磷酸一铵的需求。</w:t>
      </w:r>
    </w:p>
    <w:p w14:paraId="43BFA007">
      <w:pPr>
        <w:ind w:firstLine="562" w:firstLineChars="200"/>
        <w:jc w:val="left"/>
        <w:outlineLvl w:val="9"/>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水溶肥原料构成及来源物质</w:t>
      </w:r>
    </w:p>
    <w:p w14:paraId="77502CEE">
      <w:pPr>
        <w:ind w:firstLine="42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drawing>
          <wp:inline distT="0" distB="0" distL="114300" distR="114300">
            <wp:extent cx="5269230" cy="1450975"/>
            <wp:effectExtent l="0" t="0" r="7620" b="158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69230" cy="1450975"/>
                    </a:xfrm>
                    <a:prstGeom prst="rect">
                      <a:avLst/>
                    </a:prstGeom>
                    <a:noFill/>
                    <a:ln>
                      <a:noFill/>
                    </a:ln>
                  </pic:spPr>
                </pic:pic>
              </a:graphicData>
            </a:graphic>
          </wp:inline>
        </w:drawing>
      </w:r>
    </w:p>
    <w:p w14:paraId="2A7B1A60">
      <w:pPr>
        <w:ind w:firstLine="562" w:firstLineChars="200"/>
        <w:jc w:val="left"/>
        <w:outlineLvl w:val="9"/>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二、鼓励政策</w:t>
      </w:r>
    </w:p>
    <w:p w14:paraId="1FDC9CE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为推进国内水肥一体化技术发展，国家近年来相继出台了一系列政策：《全国农业可持续发展规划(2015-2030年)》提出“一控两减三基本”目标；2017年中央“一号文件”明确指出要大规模实施农业节水工程，与此同时还要加大水肥一体化等先进农艺节水技术的推广力度；2019年发布的《〈国家节水行动方案〉分工方案》指出，要大力推进水肥一体化技术，每年发展水肥一体化面积133.3万hm2(2000万亩)。</w:t>
      </w:r>
    </w:p>
    <w:p w14:paraId="38B71E2D">
      <w:pPr>
        <w:ind w:firstLine="562" w:firstLineChars="200"/>
        <w:jc w:val="left"/>
        <w:outlineLvl w:val="9"/>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国家鼓励水肥一体化出台的主要政策</w:t>
      </w:r>
    </w:p>
    <w:p w14:paraId="242761BC">
      <w:pPr>
        <w:ind w:firstLine="420" w:firstLineChars="200"/>
        <w:jc w:val="center"/>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drawing>
          <wp:inline distT="0" distB="0" distL="114300" distR="114300">
            <wp:extent cx="5267960" cy="2023110"/>
            <wp:effectExtent l="0" t="0" r="889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267960" cy="2023110"/>
                    </a:xfrm>
                    <a:prstGeom prst="rect">
                      <a:avLst/>
                    </a:prstGeom>
                    <a:noFill/>
                    <a:ln>
                      <a:noFill/>
                    </a:ln>
                  </pic:spPr>
                </pic:pic>
              </a:graphicData>
            </a:graphic>
          </wp:inline>
        </w:drawing>
      </w:r>
    </w:p>
    <w:p w14:paraId="53EBEEA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水肥资源约束已成为制约农业可持续发展的瓶颈因素，我国已具备推广水肥一体化的条件。据农业农村部印发的《推进水肥一体化实施方案（2016—2020年）》，我国农业用水存在以下几点问题：一是水资源紧缺，每年农业灌溉用水缺口超过300亿方，因缺水约有1亿亩灌溉面积得不到灌溉。二是水分生产效率偏低。2014年我国主要粮食作物水分生产效率平均仅约1公斤/方，与发达国家平均2公斤/方相比，存在较大差距。三是化肥利用率偏低，2014年我国主要粮食作物化肥利用率35.2%。从国外发展看，美国、以色列、加拿大、澳大利亚等国家水肥一体化技术均快速发展，广泛应用于农业生产，有成熟的经验可以借鉴。从国内实践看，近年来，通过水肥一体化技术试验示范，在不同区域、不同作物开展系列试验研究，全国形成了多种适用技术模式。且物联网智能化技术日趋成熟，为推广水肥一体化技术、精确调控水肥管理奠定了基础。</w:t>
      </w:r>
    </w:p>
    <w:p w14:paraId="0C927C4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水肥一体化工作的推进将持续拉动高品质磷酸一铵的需求。2017年，为进一步加快推进水肥一体化工作，我国农业农村部特印发《推进水肥一体化实施方案（2016—2020年）》，指出到2020年我国水肥一体化技术推广面积要达到1.5亿亩，新增8000万亩。增产粮食450亿斤，节水150亿方，节肥30万吨，增效500亿元。据观研天下数据，2020年我国水溶肥市场容量已从2017年的487.30亿元增长至589.11亿元，年复合增长率6.53%。据肥料行业统计，2022年我国水溶肥市场规模为697.5亿元，预计2025年我国水溶肥市场将增长到860.48亿元，复合增长率为5.16%。目前水溶肥只占国内化肥市场份额的5%左右，但预计未来水溶肥市场份额将有望增至10%。值得一提的是，伴随新疆滴灌技术的快速发展，使得该地区滴灌技术可节水50%，而使用水肥一体化技术后，肥料利用率相对于传统施肥方式可以提高30%—50%，产量也大幅度提升。</w:t>
      </w:r>
    </w:p>
    <w:p w14:paraId="5E66C168">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631A66E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第一章概论</w:t>
      </w:r>
    </w:p>
    <w:p w14:paraId="162DA15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第二章项目建设背景及必要性</w:t>
      </w:r>
    </w:p>
    <w:p w14:paraId="59CB562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第三章项目需求分析与产出方案</w:t>
      </w:r>
    </w:p>
    <w:p w14:paraId="255D854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第四章项目选址与要素保障</w:t>
      </w:r>
    </w:p>
    <w:p w14:paraId="127BB8A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第五章建设方案</w:t>
      </w:r>
    </w:p>
    <w:p w14:paraId="65058B9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第六章项目运营方案</w:t>
      </w:r>
    </w:p>
    <w:p w14:paraId="4DAEADE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第七章环境保护</w:t>
      </w:r>
    </w:p>
    <w:p w14:paraId="1350DE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第八章节能分析</w:t>
      </w:r>
    </w:p>
    <w:p w14:paraId="10B5E83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第九章项目投资估算与资金筹措</w:t>
      </w:r>
    </w:p>
    <w:p w14:paraId="7AFCD315">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第十章项目影响效果分析</w:t>
      </w:r>
    </w:p>
    <w:p w14:paraId="5660FCA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第十一章项目风险管控方案</w:t>
      </w:r>
    </w:p>
    <w:p w14:paraId="6D82D6B4">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第十二章社会稳定性风险分析</w:t>
      </w:r>
    </w:p>
    <w:p w14:paraId="226495E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第十三章研究结论及建议</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5B03CF"/>
    <w:rsid w:val="00D060C0"/>
    <w:rsid w:val="00DB3696"/>
    <w:rsid w:val="00E77192"/>
    <w:rsid w:val="01012540"/>
    <w:rsid w:val="017E63B3"/>
    <w:rsid w:val="01A1683A"/>
    <w:rsid w:val="01BE4DA9"/>
    <w:rsid w:val="01CA7CCE"/>
    <w:rsid w:val="01CC28E7"/>
    <w:rsid w:val="01ED0523"/>
    <w:rsid w:val="01FD0759"/>
    <w:rsid w:val="02026E30"/>
    <w:rsid w:val="02402EC0"/>
    <w:rsid w:val="029C57D8"/>
    <w:rsid w:val="02B0164D"/>
    <w:rsid w:val="02B913EC"/>
    <w:rsid w:val="02CA179F"/>
    <w:rsid w:val="02E45BCC"/>
    <w:rsid w:val="02F900F0"/>
    <w:rsid w:val="02FE20CD"/>
    <w:rsid w:val="031D37A8"/>
    <w:rsid w:val="03546191"/>
    <w:rsid w:val="03772BBD"/>
    <w:rsid w:val="03BC0928"/>
    <w:rsid w:val="03D34F82"/>
    <w:rsid w:val="042A3104"/>
    <w:rsid w:val="0448745D"/>
    <w:rsid w:val="04921C4C"/>
    <w:rsid w:val="04E4640D"/>
    <w:rsid w:val="054908B9"/>
    <w:rsid w:val="05DC4B7A"/>
    <w:rsid w:val="061B59E2"/>
    <w:rsid w:val="062A342B"/>
    <w:rsid w:val="07025650"/>
    <w:rsid w:val="07D76969"/>
    <w:rsid w:val="07E15804"/>
    <w:rsid w:val="07FB58A4"/>
    <w:rsid w:val="07FD6BA9"/>
    <w:rsid w:val="08986A27"/>
    <w:rsid w:val="08DF3F4A"/>
    <w:rsid w:val="098C0CFB"/>
    <w:rsid w:val="09953447"/>
    <w:rsid w:val="0A550002"/>
    <w:rsid w:val="0A592759"/>
    <w:rsid w:val="0A67379F"/>
    <w:rsid w:val="0A817343"/>
    <w:rsid w:val="0A866F73"/>
    <w:rsid w:val="0AEA4C54"/>
    <w:rsid w:val="0AF56886"/>
    <w:rsid w:val="0B1C7CAA"/>
    <w:rsid w:val="0BB30DED"/>
    <w:rsid w:val="0BD75567"/>
    <w:rsid w:val="0C105FB5"/>
    <w:rsid w:val="0CB17E61"/>
    <w:rsid w:val="0D051CD8"/>
    <w:rsid w:val="0D397A5A"/>
    <w:rsid w:val="0D5F089D"/>
    <w:rsid w:val="0D7C07BE"/>
    <w:rsid w:val="0DC3546E"/>
    <w:rsid w:val="0DD43A3C"/>
    <w:rsid w:val="0E316003"/>
    <w:rsid w:val="0E7938DE"/>
    <w:rsid w:val="0EC42733"/>
    <w:rsid w:val="0EE630DC"/>
    <w:rsid w:val="0F500BC3"/>
    <w:rsid w:val="0F59303C"/>
    <w:rsid w:val="0F822828"/>
    <w:rsid w:val="0FD9610F"/>
    <w:rsid w:val="10615A49"/>
    <w:rsid w:val="10F13359"/>
    <w:rsid w:val="11AF5EC5"/>
    <w:rsid w:val="125E493F"/>
    <w:rsid w:val="12727EA3"/>
    <w:rsid w:val="12C5503E"/>
    <w:rsid w:val="13270D7A"/>
    <w:rsid w:val="13C61AF2"/>
    <w:rsid w:val="13C82EA6"/>
    <w:rsid w:val="14294AD0"/>
    <w:rsid w:val="145D0D13"/>
    <w:rsid w:val="14AC764E"/>
    <w:rsid w:val="14B26B80"/>
    <w:rsid w:val="153B2D0D"/>
    <w:rsid w:val="155178FD"/>
    <w:rsid w:val="155838BF"/>
    <w:rsid w:val="155B3298"/>
    <w:rsid w:val="15EB3A81"/>
    <w:rsid w:val="16550F32"/>
    <w:rsid w:val="166B4467"/>
    <w:rsid w:val="166B462C"/>
    <w:rsid w:val="168B3820"/>
    <w:rsid w:val="17561F51"/>
    <w:rsid w:val="175F2D5D"/>
    <w:rsid w:val="17654D55"/>
    <w:rsid w:val="1783759C"/>
    <w:rsid w:val="17AB4E89"/>
    <w:rsid w:val="17D35235"/>
    <w:rsid w:val="180B049B"/>
    <w:rsid w:val="18135A81"/>
    <w:rsid w:val="18461C22"/>
    <w:rsid w:val="187B50E8"/>
    <w:rsid w:val="18C23FCC"/>
    <w:rsid w:val="18F3727C"/>
    <w:rsid w:val="19461C80"/>
    <w:rsid w:val="19565959"/>
    <w:rsid w:val="19656A5A"/>
    <w:rsid w:val="196B3A43"/>
    <w:rsid w:val="19A96D61"/>
    <w:rsid w:val="19B14A30"/>
    <w:rsid w:val="19B45BCA"/>
    <w:rsid w:val="19C73562"/>
    <w:rsid w:val="19E85757"/>
    <w:rsid w:val="19FE52B1"/>
    <w:rsid w:val="1A031AB7"/>
    <w:rsid w:val="1A111C52"/>
    <w:rsid w:val="1A2D7A1F"/>
    <w:rsid w:val="1B702E93"/>
    <w:rsid w:val="1BBB568A"/>
    <w:rsid w:val="1BCA508C"/>
    <w:rsid w:val="1C215235"/>
    <w:rsid w:val="1C442E6B"/>
    <w:rsid w:val="1CBC1555"/>
    <w:rsid w:val="1CDF3B2A"/>
    <w:rsid w:val="1D0253E4"/>
    <w:rsid w:val="1D525FA2"/>
    <w:rsid w:val="1DBB4FD6"/>
    <w:rsid w:val="1DFE71E1"/>
    <w:rsid w:val="1E403142"/>
    <w:rsid w:val="1E675D1B"/>
    <w:rsid w:val="1ED25159"/>
    <w:rsid w:val="1F2F70B6"/>
    <w:rsid w:val="1F3A79D5"/>
    <w:rsid w:val="1F8110BF"/>
    <w:rsid w:val="1FA220F8"/>
    <w:rsid w:val="1FEC076E"/>
    <w:rsid w:val="20170DEB"/>
    <w:rsid w:val="202F4288"/>
    <w:rsid w:val="2061172C"/>
    <w:rsid w:val="210203E9"/>
    <w:rsid w:val="21CA447C"/>
    <w:rsid w:val="22014652"/>
    <w:rsid w:val="221413F8"/>
    <w:rsid w:val="224B4AF6"/>
    <w:rsid w:val="226338A3"/>
    <w:rsid w:val="230D15DA"/>
    <w:rsid w:val="233A3AAB"/>
    <w:rsid w:val="23463F84"/>
    <w:rsid w:val="23765481"/>
    <w:rsid w:val="23A835BD"/>
    <w:rsid w:val="23F549CE"/>
    <w:rsid w:val="24394AB8"/>
    <w:rsid w:val="24412260"/>
    <w:rsid w:val="24703491"/>
    <w:rsid w:val="249B7766"/>
    <w:rsid w:val="24AD7057"/>
    <w:rsid w:val="24D6799D"/>
    <w:rsid w:val="251915B4"/>
    <w:rsid w:val="253D3903"/>
    <w:rsid w:val="259011F8"/>
    <w:rsid w:val="25A84F00"/>
    <w:rsid w:val="25B44FE1"/>
    <w:rsid w:val="260128E8"/>
    <w:rsid w:val="26032822"/>
    <w:rsid w:val="26B14C8A"/>
    <w:rsid w:val="26FF36D7"/>
    <w:rsid w:val="274554FD"/>
    <w:rsid w:val="274E0EEF"/>
    <w:rsid w:val="27743E5C"/>
    <w:rsid w:val="27A22014"/>
    <w:rsid w:val="27EC19E6"/>
    <w:rsid w:val="27F37477"/>
    <w:rsid w:val="28670377"/>
    <w:rsid w:val="2897327F"/>
    <w:rsid w:val="28B81403"/>
    <w:rsid w:val="28DD1D90"/>
    <w:rsid w:val="28E16FD0"/>
    <w:rsid w:val="28E3573D"/>
    <w:rsid w:val="292D1B6B"/>
    <w:rsid w:val="29381D5F"/>
    <w:rsid w:val="29FA3022"/>
    <w:rsid w:val="29FD0000"/>
    <w:rsid w:val="2A3C1140"/>
    <w:rsid w:val="2A5354CE"/>
    <w:rsid w:val="2A5A5715"/>
    <w:rsid w:val="2A8647FB"/>
    <w:rsid w:val="2A870159"/>
    <w:rsid w:val="2A9A62D0"/>
    <w:rsid w:val="2AB67A5E"/>
    <w:rsid w:val="2ACA1641"/>
    <w:rsid w:val="2B2773ED"/>
    <w:rsid w:val="2BA20995"/>
    <w:rsid w:val="2BA84F24"/>
    <w:rsid w:val="2BE43B4A"/>
    <w:rsid w:val="2BEB1112"/>
    <w:rsid w:val="2BF12E7A"/>
    <w:rsid w:val="2BF81500"/>
    <w:rsid w:val="2C0167A4"/>
    <w:rsid w:val="2C5E06D8"/>
    <w:rsid w:val="2CB94D5E"/>
    <w:rsid w:val="2DAA7E9C"/>
    <w:rsid w:val="2DB41456"/>
    <w:rsid w:val="2DB604DD"/>
    <w:rsid w:val="2DE14EBB"/>
    <w:rsid w:val="2DE5725A"/>
    <w:rsid w:val="2DEF2105"/>
    <w:rsid w:val="2E6F0090"/>
    <w:rsid w:val="2E883A48"/>
    <w:rsid w:val="2E8F6852"/>
    <w:rsid w:val="2E9D638E"/>
    <w:rsid w:val="2EEF16BC"/>
    <w:rsid w:val="2EF06BB9"/>
    <w:rsid w:val="2F3D528D"/>
    <w:rsid w:val="2F480302"/>
    <w:rsid w:val="2F5F067B"/>
    <w:rsid w:val="2F697F3B"/>
    <w:rsid w:val="300F0E69"/>
    <w:rsid w:val="30D10F27"/>
    <w:rsid w:val="30EB705B"/>
    <w:rsid w:val="30FE7050"/>
    <w:rsid w:val="31C543F4"/>
    <w:rsid w:val="31CF2D03"/>
    <w:rsid w:val="31E7004C"/>
    <w:rsid w:val="31F46081"/>
    <w:rsid w:val="324B718F"/>
    <w:rsid w:val="32D01D02"/>
    <w:rsid w:val="32D372F6"/>
    <w:rsid w:val="33055AF5"/>
    <w:rsid w:val="3306047F"/>
    <w:rsid w:val="330D0810"/>
    <w:rsid w:val="33323ECE"/>
    <w:rsid w:val="33A05842"/>
    <w:rsid w:val="34130BF4"/>
    <w:rsid w:val="346D06AE"/>
    <w:rsid w:val="347B2A5F"/>
    <w:rsid w:val="34D61D4F"/>
    <w:rsid w:val="34E57BDD"/>
    <w:rsid w:val="350B4EB3"/>
    <w:rsid w:val="35301450"/>
    <w:rsid w:val="35312755"/>
    <w:rsid w:val="35324954"/>
    <w:rsid w:val="355E0F17"/>
    <w:rsid w:val="35762033"/>
    <w:rsid w:val="35A1628C"/>
    <w:rsid w:val="360E55BB"/>
    <w:rsid w:val="36A857BA"/>
    <w:rsid w:val="36E5781D"/>
    <w:rsid w:val="36EC2A2B"/>
    <w:rsid w:val="36EE5F2E"/>
    <w:rsid w:val="36F36B33"/>
    <w:rsid w:val="36F47E38"/>
    <w:rsid w:val="37136FD6"/>
    <w:rsid w:val="374A7542"/>
    <w:rsid w:val="375A7D60"/>
    <w:rsid w:val="376765E1"/>
    <w:rsid w:val="37682375"/>
    <w:rsid w:val="37BE2D84"/>
    <w:rsid w:val="37F5325E"/>
    <w:rsid w:val="38A01822"/>
    <w:rsid w:val="38F6728A"/>
    <w:rsid w:val="39065299"/>
    <w:rsid w:val="39123BB1"/>
    <w:rsid w:val="3948754F"/>
    <w:rsid w:val="39836BEC"/>
    <w:rsid w:val="398413EB"/>
    <w:rsid w:val="39974868"/>
    <w:rsid w:val="39C20ECF"/>
    <w:rsid w:val="39D72073"/>
    <w:rsid w:val="3A04538C"/>
    <w:rsid w:val="3A1A2BE3"/>
    <w:rsid w:val="3A297F4F"/>
    <w:rsid w:val="3A444921"/>
    <w:rsid w:val="3A824DB6"/>
    <w:rsid w:val="3AAD5BAB"/>
    <w:rsid w:val="3B535E3C"/>
    <w:rsid w:val="3B742860"/>
    <w:rsid w:val="3B9C3FD8"/>
    <w:rsid w:val="3C087AF1"/>
    <w:rsid w:val="3C9056B7"/>
    <w:rsid w:val="3CBB6F67"/>
    <w:rsid w:val="3CE434CE"/>
    <w:rsid w:val="3D0F3E8F"/>
    <w:rsid w:val="3D1244C0"/>
    <w:rsid w:val="3D295073"/>
    <w:rsid w:val="3D370B3E"/>
    <w:rsid w:val="3D422253"/>
    <w:rsid w:val="3D8C6ADA"/>
    <w:rsid w:val="3DCB54D0"/>
    <w:rsid w:val="3DDA0A65"/>
    <w:rsid w:val="3DF91311"/>
    <w:rsid w:val="3E1A70B4"/>
    <w:rsid w:val="3E5318E4"/>
    <w:rsid w:val="3E845DE6"/>
    <w:rsid w:val="3E995BBF"/>
    <w:rsid w:val="3EBB2C7C"/>
    <w:rsid w:val="3ECC295E"/>
    <w:rsid w:val="3F184542"/>
    <w:rsid w:val="3F4802E2"/>
    <w:rsid w:val="3F7D5B4C"/>
    <w:rsid w:val="3FA72420"/>
    <w:rsid w:val="3FC46AE7"/>
    <w:rsid w:val="40073DFD"/>
    <w:rsid w:val="40A811A3"/>
    <w:rsid w:val="40E24800"/>
    <w:rsid w:val="412C019D"/>
    <w:rsid w:val="4135208B"/>
    <w:rsid w:val="415154E1"/>
    <w:rsid w:val="419D24D5"/>
    <w:rsid w:val="41A1553C"/>
    <w:rsid w:val="41B56F36"/>
    <w:rsid w:val="41B831AA"/>
    <w:rsid w:val="41DD28D2"/>
    <w:rsid w:val="426F3144"/>
    <w:rsid w:val="42AD50EE"/>
    <w:rsid w:val="433E1863"/>
    <w:rsid w:val="43E27E0B"/>
    <w:rsid w:val="44190483"/>
    <w:rsid w:val="44246EDE"/>
    <w:rsid w:val="4428205E"/>
    <w:rsid w:val="442A41B4"/>
    <w:rsid w:val="44562F2D"/>
    <w:rsid w:val="447A00BE"/>
    <w:rsid w:val="448E0ADD"/>
    <w:rsid w:val="44A761AF"/>
    <w:rsid w:val="44BB5F87"/>
    <w:rsid w:val="44ED72D0"/>
    <w:rsid w:val="44F17528"/>
    <w:rsid w:val="45053FCB"/>
    <w:rsid w:val="457F5E93"/>
    <w:rsid w:val="45F572A7"/>
    <w:rsid w:val="46126C14"/>
    <w:rsid w:val="46362EF9"/>
    <w:rsid w:val="465F740B"/>
    <w:rsid w:val="46B00D49"/>
    <w:rsid w:val="471C5C4A"/>
    <w:rsid w:val="476B4739"/>
    <w:rsid w:val="47834F7D"/>
    <w:rsid w:val="47E0311C"/>
    <w:rsid w:val="47FC6BF4"/>
    <w:rsid w:val="4838131C"/>
    <w:rsid w:val="48AB62AA"/>
    <w:rsid w:val="48E32CA1"/>
    <w:rsid w:val="48E40723"/>
    <w:rsid w:val="48FC3F85"/>
    <w:rsid w:val="49940F29"/>
    <w:rsid w:val="49A844DA"/>
    <w:rsid w:val="49DF6CB2"/>
    <w:rsid w:val="4A0654DC"/>
    <w:rsid w:val="4A146896"/>
    <w:rsid w:val="4A255B06"/>
    <w:rsid w:val="4A2F2CC3"/>
    <w:rsid w:val="4ABF170F"/>
    <w:rsid w:val="4AC72371"/>
    <w:rsid w:val="4AE57DB0"/>
    <w:rsid w:val="4AEB42B2"/>
    <w:rsid w:val="4B517A0A"/>
    <w:rsid w:val="4B947843"/>
    <w:rsid w:val="4C194E4E"/>
    <w:rsid w:val="4CA77E5A"/>
    <w:rsid w:val="4CC17779"/>
    <w:rsid w:val="4CD051DE"/>
    <w:rsid w:val="4CE71BB7"/>
    <w:rsid w:val="4D084097"/>
    <w:rsid w:val="4D2770F7"/>
    <w:rsid w:val="4D414255"/>
    <w:rsid w:val="4DAC067B"/>
    <w:rsid w:val="4DC70853"/>
    <w:rsid w:val="4DFD0528"/>
    <w:rsid w:val="4E27051E"/>
    <w:rsid w:val="4E401035"/>
    <w:rsid w:val="4E464D84"/>
    <w:rsid w:val="4E81775A"/>
    <w:rsid w:val="4EA0220D"/>
    <w:rsid w:val="4F0025EC"/>
    <w:rsid w:val="4F0D4DC0"/>
    <w:rsid w:val="4F190D64"/>
    <w:rsid w:val="4F260D68"/>
    <w:rsid w:val="4F7F146C"/>
    <w:rsid w:val="4FF91545"/>
    <w:rsid w:val="4FFD0EF1"/>
    <w:rsid w:val="501367D8"/>
    <w:rsid w:val="502771CE"/>
    <w:rsid w:val="506A2926"/>
    <w:rsid w:val="50EA5464"/>
    <w:rsid w:val="50F13E21"/>
    <w:rsid w:val="514A436A"/>
    <w:rsid w:val="51545631"/>
    <w:rsid w:val="51883D8E"/>
    <w:rsid w:val="51BC1964"/>
    <w:rsid w:val="51D5415B"/>
    <w:rsid w:val="51EE67A6"/>
    <w:rsid w:val="52277960"/>
    <w:rsid w:val="525C788D"/>
    <w:rsid w:val="528A0854"/>
    <w:rsid w:val="52C87073"/>
    <w:rsid w:val="52E50ECD"/>
    <w:rsid w:val="53160B7D"/>
    <w:rsid w:val="531F0A6D"/>
    <w:rsid w:val="535D4D1B"/>
    <w:rsid w:val="53827989"/>
    <w:rsid w:val="53937294"/>
    <w:rsid w:val="53BA0C6B"/>
    <w:rsid w:val="53F229C4"/>
    <w:rsid w:val="54004D75"/>
    <w:rsid w:val="547D422D"/>
    <w:rsid w:val="549809D1"/>
    <w:rsid w:val="54AA6F8B"/>
    <w:rsid w:val="54BE1AE8"/>
    <w:rsid w:val="54C05F9B"/>
    <w:rsid w:val="54D648BB"/>
    <w:rsid w:val="5620433A"/>
    <w:rsid w:val="566F09D5"/>
    <w:rsid w:val="567A07EF"/>
    <w:rsid w:val="56B241CC"/>
    <w:rsid w:val="56D4639E"/>
    <w:rsid w:val="56D952A8"/>
    <w:rsid w:val="570C2D6E"/>
    <w:rsid w:val="57326672"/>
    <w:rsid w:val="57497744"/>
    <w:rsid w:val="5756394B"/>
    <w:rsid w:val="575B6F2E"/>
    <w:rsid w:val="57763155"/>
    <w:rsid w:val="57A8345F"/>
    <w:rsid w:val="57E417E0"/>
    <w:rsid w:val="58426A50"/>
    <w:rsid w:val="58CA290B"/>
    <w:rsid w:val="58E5183E"/>
    <w:rsid w:val="59134C30"/>
    <w:rsid w:val="59362967"/>
    <w:rsid w:val="597D20E1"/>
    <w:rsid w:val="59C42A07"/>
    <w:rsid w:val="5A0F1A20"/>
    <w:rsid w:val="5A4E0416"/>
    <w:rsid w:val="5ADD0727"/>
    <w:rsid w:val="5B402954"/>
    <w:rsid w:val="5BB12F7A"/>
    <w:rsid w:val="5BC97600"/>
    <w:rsid w:val="5BED0BE1"/>
    <w:rsid w:val="5BF117E5"/>
    <w:rsid w:val="5C4F70EF"/>
    <w:rsid w:val="5C5C3190"/>
    <w:rsid w:val="5CA95D7B"/>
    <w:rsid w:val="5D330125"/>
    <w:rsid w:val="5D4F626D"/>
    <w:rsid w:val="5D87118C"/>
    <w:rsid w:val="5E2D602E"/>
    <w:rsid w:val="5E436E4C"/>
    <w:rsid w:val="5E540FCF"/>
    <w:rsid w:val="5E920018"/>
    <w:rsid w:val="5EB80CF4"/>
    <w:rsid w:val="5EBB27B7"/>
    <w:rsid w:val="5ED52E57"/>
    <w:rsid w:val="5EE475B9"/>
    <w:rsid w:val="5EF14F39"/>
    <w:rsid w:val="5F355114"/>
    <w:rsid w:val="5F4B3119"/>
    <w:rsid w:val="5F5D3615"/>
    <w:rsid w:val="5FF320FE"/>
    <w:rsid w:val="60366AE9"/>
    <w:rsid w:val="603D4441"/>
    <w:rsid w:val="608B7265"/>
    <w:rsid w:val="60B66ADC"/>
    <w:rsid w:val="60DD4A59"/>
    <w:rsid w:val="610918E2"/>
    <w:rsid w:val="614860F7"/>
    <w:rsid w:val="615E2F29"/>
    <w:rsid w:val="61657658"/>
    <w:rsid w:val="61E16FA2"/>
    <w:rsid w:val="62285198"/>
    <w:rsid w:val="622D4B39"/>
    <w:rsid w:val="623F6839"/>
    <w:rsid w:val="62BC31DC"/>
    <w:rsid w:val="63753FEA"/>
    <w:rsid w:val="637A0055"/>
    <w:rsid w:val="63B07EEF"/>
    <w:rsid w:val="64002BE9"/>
    <w:rsid w:val="644A57F4"/>
    <w:rsid w:val="64AA2690"/>
    <w:rsid w:val="64FD39BC"/>
    <w:rsid w:val="658D71C3"/>
    <w:rsid w:val="65B57819"/>
    <w:rsid w:val="661C64F2"/>
    <w:rsid w:val="663437E5"/>
    <w:rsid w:val="6635067F"/>
    <w:rsid w:val="66495BDD"/>
    <w:rsid w:val="66CD2666"/>
    <w:rsid w:val="66E856F1"/>
    <w:rsid w:val="66E86CF7"/>
    <w:rsid w:val="66F82582"/>
    <w:rsid w:val="673F6082"/>
    <w:rsid w:val="674F2DB7"/>
    <w:rsid w:val="676A4BDC"/>
    <w:rsid w:val="678B4B30"/>
    <w:rsid w:val="67AB3E7C"/>
    <w:rsid w:val="67D740EA"/>
    <w:rsid w:val="6806141D"/>
    <w:rsid w:val="682664D1"/>
    <w:rsid w:val="6844251F"/>
    <w:rsid w:val="68451F52"/>
    <w:rsid w:val="6846773F"/>
    <w:rsid w:val="685C1EF3"/>
    <w:rsid w:val="68707A81"/>
    <w:rsid w:val="6936532B"/>
    <w:rsid w:val="69A36249"/>
    <w:rsid w:val="69EC37D4"/>
    <w:rsid w:val="6A1F48CB"/>
    <w:rsid w:val="6A2931E3"/>
    <w:rsid w:val="6A624A2F"/>
    <w:rsid w:val="6A633B05"/>
    <w:rsid w:val="6A6E56A3"/>
    <w:rsid w:val="6A767148"/>
    <w:rsid w:val="6A8D4C80"/>
    <w:rsid w:val="6AF311A6"/>
    <w:rsid w:val="6B0E2490"/>
    <w:rsid w:val="6B170851"/>
    <w:rsid w:val="6B1C7DB6"/>
    <w:rsid w:val="6B3A720F"/>
    <w:rsid w:val="6B426304"/>
    <w:rsid w:val="6B5B73A1"/>
    <w:rsid w:val="6B796D44"/>
    <w:rsid w:val="6BA22313"/>
    <w:rsid w:val="6BD85E8F"/>
    <w:rsid w:val="6C2334DB"/>
    <w:rsid w:val="6C843B3E"/>
    <w:rsid w:val="6CEB7CE9"/>
    <w:rsid w:val="6D2C3D3B"/>
    <w:rsid w:val="6D7C2B3B"/>
    <w:rsid w:val="6E0C201B"/>
    <w:rsid w:val="6E2F0BDE"/>
    <w:rsid w:val="6E66128D"/>
    <w:rsid w:val="6F4F630E"/>
    <w:rsid w:val="6F6A0833"/>
    <w:rsid w:val="6F875CF8"/>
    <w:rsid w:val="6FAA7F8C"/>
    <w:rsid w:val="6FB16FC8"/>
    <w:rsid w:val="6FCC5888"/>
    <w:rsid w:val="70007ECC"/>
    <w:rsid w:val="700F1FCA"/>
    <w:rsid w:val="70B51F79"/>
    <w:rsid w:val="70FA499F"/>
    <w:rsid w:val="71153B87"/>
    <w:rsid w:val="711D64A7"/>
    <w:rsid w:val="712A56F7"/>
    <w:rsid w:val="71441E53"/>
    <w:rsid w:val="716E488C"/>
    <w:rsid w:val="71BD6F28"/>
    <w:rsid w:val="71C92D3B"/>
    <w:rsid w:val="71D60BA6"/>
    <w:rsid w:val="71EE2817"/>
    <w:rsid w:val="72534367"/>
    <w:rsid w:val="725D71CF"/>
    <w:rsid w:val="72C7270A"/>
    <w:rsid w:val="73092C77"/>
    <w:rsid w:val="730E6E12"/>
    <w:rsid w:val="732D5122"/>
    <w:rsid w:val="735637C7"/>
    <w:rsid w:val="738549F4"/>
    <w:rsid w:val="742D5A28"/>
    <w:rsid w:val="745C4103"/>
    <w:rsid w:val="74846437"/>
    <w:rsid w:val="74F60CF4"/>
    <w:rsid w:val="75414E2E"/>
    <w:rsid w:val="75973D58"/>
    <w:rsid w:val="75D51537"/>
    <w:rsid w:val="76051E1C"/>
    <w:rsid w:val="768C460E"/>
    <w:rsid w:val="769A2923"/>
    <w:rsid w:val="76B15747"/>
    <w:rsid w:val="7709593C"/>
    <w:rsid w:val="7719746F"/>
    <w:rsid w:val="773062C6"/>
    <w:rsid w:val="779969FD"/>
    <w:rsid w:val="785C1006"/>
    <w:rsid w:val="7879277A"/>
    <w:rsid w:val="789F0098"/>
    <w:rsid w:val="78B95B1C"/>
    <w:rsid w:val="78BB7343"/>
    <w:rsid w:val="78E004AB"/>
    <w:rsid w:val="79090B7C"/>
    <w:rsid w:val="79BE2849"/>
    <w:rsid w:val="79C505D8"/>
    <w:rsid w:val="79F62EF9"/>
    <w:rsid w:val="7A5614FA"/>
    <w:rsid w:val="7AA57C46"/>
    <w:rsid w:val="7AA67A12"/>
    <w:rsid w:val="7B1F5CAB"/>
    <w:rsid w:val="7B4C27CB"/>
    <w:rsid w:val="7B4C2A3D"/>
    <w:rsid w:val="7B6629C8"/>
    <w:rsid w:val="7B762C35"/>
    <w:rsid w:val="7B84426B"/>
    <w:rsid w:val="7BC57E1C"/>
    <w:rsid w:val="7C1C0647"/>
    <w:rsid w:val="7C6A62E9"/>
    <w:rsid w:val="7C846E57"/>
    <w:rsid w:val="7D0107D4"/>
    <w:rsid w:val="7D1E5C9A"/>
    <w:rsid w:val="7D803324"/>
    <w:rsid w:val="7DAA6C39"/>
    <w:rsid w:val="7DC050DC"/>
    <w:rsid w:val="7DD965ED"/>
    <w:rsid w:val="7DEE4565"/>
    <w:rsid w:val="7E2968C4"/>
    <w:rsid w:val="7E502C4A"/>
    <w:rsid w:val="7E631DD5"/>
    <w:rsid w:val="7E9A4CB0"/>
    <w:rsid w:val="7EA01A8C"/>
    <w:rsid w:val="7EBC0C77"/>
    <w:rsid w:val="7F1716D0"/>
    <w:rsid w:val="7F190115"/>
    <w:rsid w:val="7F372C1F"/>
    <w:rsid w:val="7F3A1BA5"/>
    <w:rsid w:val="7F8042C1"/>
    <w:rsid w:val="7F907EA3"/>
    <w:rsid w:val="7FCF2192"/>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21"/>
    <w:basedOn w:val="6"/>
    <w:autoRedefine/>
    <w:qFormat/>
    <w:uiPriority w:val="0"/>
    <w:rPr>
      <w:rFonts w:ascii="宋体" w:hAnsi="宋体" w:eastAsia="宋体" w:cs="宋体"/>
      <w:color w:val="FFFFFF"/>
      <w:sz w:val="16"/>
      <w:szCs w:val="16"/>
      <w:u w:val="none"/>
    </w:rPr>
  </w:style>
  <w:style w:type="character" w:customStyle="1" w:styleId="8">
    <w:name w:val="font31"/>
    <w:basedOn w:val="6"/>
    <w:autoRedefine/>
    <w:qFormat/>
    <w:uiPriority w:val="0"/>
    <w:rPr>
      <w:rFonts w:ascii="宋体" w:hAnsi="宋体" w:eastAsia="宋体" w:cs="宋体"/>
      <w:b/>
      <w:bCs/>
      <w:color w:val="FFFFFF"/>
      <w:sz w:val="16"/>
      <w:szCs w:val="16"/>
      <w:u w:val="none"/>
    </w:rPr>
  </w:style>
  <w:style w:type="character" w:customStyle="1" w:styleId="9">
    <w:name w:val="font41"/>
    <w:basedOn w:val="6"/>
    <w:autoRedefine/>
    <w:qFormat/>
    <w:uiPriority w:val="0"/>
    <w:rPr>
      <w:rFonts w:ascii="宋体" w:hAnsi="宋体" w:eastAsia="宋体" w:cs="宋体"/>
      <w:color w:val="000000"/>
      <w:sz w:val="16"/>
      <w:szCs w:val="16"/>
      <w:u w:val="none"/>
    </w:rPr>
  </w:style>
  <w:style w:type="character" w:customStyle="1" w:styleId="10">
    <w:name w:val="font01"/>
    <w:basedOn w:val="6"/>
    <w:autoRedefine/>
    <w:qFormat/>
    <w:uiPriority w:val="0"/>
    <w:rPr>
      <w:rFonts w:ascii="Calibri" w:hAnsi="Calibri" w:cs="Calibri"/>
      <w:color w:val="000000"/>
      <w:sz w:val="16"/>
      <w:szCs w:val="16"/>
      <w:u w:val="none"/>
    </w:rPr>
  </w:style>
  <w:style w:type="paragraph" w:customStyle="1" w:styleId="11">
    <w:name w:val="Table Text"/>
    <w:basedOn w:val="1"/>
    <w:autoRedefine/>
    <w:semiHidden/>
    <w:qFormat/>
    <w:uiPriority w:val="0"/>
    <w:rPr>
      <w:rFonts w:ascii="楷体" w:hAnsi="楷体" w:eastAsia="楷体" w:cs="楷体"/>
      <w:sz w:val="18"/>
      <w:szCs w:val="18"/>
      <w:lang w:val="en-US" w:eastAsia="en-US" w:bidi="ar-SA"/>
    </w:rPr>
  </w:style>
  <w:style w:type="table" w:customStyle="1" w:styleId="12">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1611</Words>
  <Characters>1736</Characters>
  <Lines>0</Lines>
  <Paragraphs>0</Paragraphs>
  <TotalTime>0</TotalTime>
  <ScaleCrop>false</ScaleCrop>
  <LinksUpToDate>false</LinksUpToDate>
  <CharactersWithSpaces>1736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2024-09-09T01:21:23Z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D4BD93F894234333B5510A888AE2E811_13</vt:lpwstr>
  </property>
</Properties>
</file>