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56A426">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53597319"/>
      <w:bookmarkStart w:id="1" w:name="OLE_LINK40"/>
      <w:bookmarkStart w:id="2" w:name="OLE_LINK24"/>
      <w:bookmarkStart w:id="3" w:name="OLE_LINK13"/>
      <w:bookmarkStart w:id="4" w:name="_Toc438987549"/>
      <w:bookmarkStart w:id="5" w:name="_Toc415143481"/>
      <w:bookmarkStart w:id="6" w:name="OLE_LINK39"/>
      <w:bookmarkStart w:id="7" w:name="_Toc415142861"/>
      <w:bookmarkStart w:id="8" w:name="_Toc517262917"/>
      <w:bookmarkStart w:id="9" w:name="_Toc481801204"/>
      <w:bookmarkStart w:id="10" w:name="_Toc415818939"/>
      <w:bookmarkStart w:id="11" w:name="_Toc418070112"/>
      <w:bookmarkStart w:id="12" w:name="OLE_LINK15"/>
      <w:r>
        <w:drawing>
          <wp:anchor distT="0" distB="0" distL="114300" distR="114300" simplePos="0" relativeHeight="251666432" behindDoc="1" locked="0" layoutInCell="1" allowOverlap="1">
            <wp:simplePos x="0" y="0"/>
            <wp:positionH relativeFrom="column">
              <wp:posOffset>-3321050</wp:posOffset>
            </wp:positionH>
            <wp:positionV relativeFrom="paragraph">
              <wp:posOffset>-925830</wp:posOffset>
            </wp:positionV>
            <wp:extent cx="10259060" cy="10689590"/>
            <wp:effectExtent l="0" t="0" r="889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259060" cy="10689590"/>
                    </a:xfrm>
                    <a:prstGeom prst="rect">
                      <a:avLst/>
                    </a:prstGeom>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jc w:val="center"/>
                              <w:rPr>
                                <w:rFonts w:hint="eastAsia" w:ascii="黑体" w:hAnsi="黑体" w:eastAsia="黑体"/>
                                <w:b/>
                                <w:caps/>
                                <w:color w:val="000080"/>
                                <w:sz w:val="52"/>
                                <w:szCs w:val="52"/>
                              </w:rPr>
                            </w:pPr>
                            <w:r>
                              <w:rPr>
                                <w:rFonts w:hint="eastAsia" w:ascii="黑体" w:hAnsi="黑体" w:eastAsia="黑体"/>
                                <w:b/>
                                <w:caps/>
                                <w:color w:val="000080"/>
                                <w:sz w:val="52"/>
                                <w:szCs w:val="52"/>
                              </w:rPr>
                              <w:t>欧洲工资外包服务市场深度研究报告</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jc w:val="center"/>
                        <w:rPr>
                          <w:rFonts w:hint="eastAsia" w:ascii="黑体" w:hAnsi="黑体" w:eastAsia="黑体"/>
                          <w:b/>
                          <w:caps/>
                          <w:color w:val="000080"/>
                          <w:sz w:val="52"/>
                          <w:szCs w:val="52"/>
                        </w:rPr>
                      </w:pPr>
                      <w:r>
                        <w:rPr>
                          <w:rFonts w:hint="eastAsia" w:ascii="黑体" w:hAnsi="黑体" w:eastAsia="黑体"/>
                          <w:b/>
                          <w:caps/>
                          <w:color w:val="000080"/>
                          <w:sz w:val="52"/>
                          <w:szCs w:val="52"/>
                        </w:rPr>
                        <w:t>欧洲工资外包服务市场深度研究报告</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2024年欧洲工资外包服务市场主要企业市场占有率及排名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工资外包服务</w:t>
      </w:r>
      <w:r>
        <w:rPr>
          <w:rFonts w:hint="eastAsia"/>
          <w:lang w:eastAsia="zh-CN"/>
        </w:rPr>
        <w:t>的增长潜力与发展机会，分析欧洲市场竞争态势、销售模式、客户偏好、整体市场营商环境，为国内企业出海开展业务提供客观参考意见。</w:t>
      </w:r>
    </w:p>
    <w:p w14:paraId="12688D65">
      <w:pPr>
        <w:pStyle w:val="128"/>
        <w:ind w:firstLine="420"/>
        <w:rPr>
          <w:lang w:eastAsia="zh-CN"/>
        </w:rPr>
      </w:pPr>
      <w:bookmarkStart w:id="367" w:name="_GoBack"/>
      <w:bookmarkEnd w:id="367"/>
      <w:bookmarkStart w:id="13" w:name="_Hlk121581553"/>
      <w:r>
        <w:rPr>
          <w:rFonts w:hint="eastAsia"/>
          <w:lang w:eastAsia="zh-CN"/>
        </w:rPr>
        <w:t>欧洲市场而言，预计2024-2030期间年复合增长率(CAGR)为xx%，高于全球的xx%，2030年欧洲市场市场规模将达到xx亿元。</w:t>
      </w:r>
    </w:p>
    <w:p w14:paraId="03DFDFEC">
      <w:pPr>
        <w:pStyle w:val="128"/>
        <w:ind w:firstLine="420"/>
        <w:rPr>
          <w:lang w:eastAsia="zh-CN"/>
        </w:rPr>
      </w:pPr>
      <w:bookmarkStart w:id="14" w:name="_Hlk167046101"/>
      <w:r>
        <w:rPr>
          <w:lang w:eastAsia="zh-CN"/>
        </w:rPr>
        <w:t>全球工资外包服务主要厂商有ADP、Intuit、KPMG等，全球前三大厂商共占有大约40%的市场份额。
目前美国是全球最大的工资外包服务市场，占有大约45%的市场份额，之后是欧洲和中国市场，共占有大约35%的份额。</w:t>
      </w:r>
    </w:p>
    <w:bookmarkEnd w:id="14"/>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3"/>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工资外包服务行业市场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工资外包服务</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6C8ACAA3">
      <w:pPr>
        <w:pStyle w:val="128"/>
        <w:ind w:firstLine="420"/>
        <w:rPr>
          <w:lang w:eastAsia="zh-CN"/>
        </w:rPr>
      </w:pPr>
      <w:r>
        <w:rPr>
          <w:rFonts w:hint="eastAsia"/>
          <w:lang w:eastAsia="zh-CN"/>
        </w:rPr>
        <w:t>本文纳入的企业包括国外及欧洲本土</w:t>
      </w:r>
      <w:r>
        <w:rPr>
          <w:rFonts w:hint="eastAsia"/>
        </w:rPr>
        <w:t>工资外包服务</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ADP</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Sage</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Xerox</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Paychex</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Gusto</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Intuit</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Zalaris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Infosys</w:t>
      </w:r>
    </w:p>
    <w:p w14:paraId="2B4DBBB7">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KPMG</w:t>
      </w:r>
    </w:p>
    <w:p w14:paraId="60271686">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Vision H.R.</w:t>
      </w:r>
    </w:p>
    <w:p w14:paraId="5697F19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Deloitte</w:t>
      </w:r>
    </w:p>
    <w:p w14:paraId="1E1CF33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Aurion</w:t>
      </w:r>
    </w:p>
    <w:p w14:paraId="57AA92D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Activpayroll</w:t>
      </w:r>
    </w:p>
    <w:p w14:paraId="45D10FF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Immedis</w:t>
      </w:r>
    </w:p>
    <w:p w14:paraId="005F1F60">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Ascender</w:t>
      </w:r>
    </w:p>
    <w:p w14:paraId="5C435DC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NGA HR</w:t>
      </w:r>
    </w:p>
    <w:p w14:paraId="1F713BB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Neeyamo</w:t>
      </w:r>
    </w:p>
    <w:p w14:paraId="560D9C79">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BDO</w:t>
      </w:r>
    </w:p>
    <w:p w14:paraId="6338AD7D">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CloudPay</w:t>
      </w:r>
    </w:p>
    <w:p w14:paraId="106484F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Excelity</w:t>
      </w:r>
    </w:p>
    <w:p w14:paraId="7B4D57B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i-Admin</w:t>
      </w:r>
    </w:p>
    <w:p w14:paraId="612BB1F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TriNet</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工资外包服务</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章：工资外包服务</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工资外包服务</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工资外包服务</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工资外包服务产品定义及统计范围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全球工资外包服务市场销售金额规模（2019-2030）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全球工资外包服务市场销量规模（2019-2030）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欧洲市场工资外包服务销售金额规模及增长率（2019-2030）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欧洲市场工资外包服务销量及增长率（2019-2030）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按国家划分，欧洲工资外包服务销售金额份额（2019-2030）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按国家划分，欧洲工资外包服务销量份额（2019-2030）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德国市场工资外包服务收入规模及增长率（2019-2030）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德国市场工资外包服务销量及增长率（2019-2030）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法国市场工资外包服务收入规模及增长率（2019-2030）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法国市场工资外包服务销量及增长率（2019-2030）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英国市场工资外包服务收入规模及增长率（2019-2030）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英国市场工资外包服务销量及增长率（2019-2030）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意大利市场工资外包服务收入规模及增长率（2019-2030）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意大利市场工资外包服务销量及增长率（2019-2030）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西班牙市场工资外包服务收入规模及增长率（2019-2030）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西班牙市场工资外包服务销量及增长率（2019-2030）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俄罗斯市场工资外包服务收入规模及增长率（2019-2030）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俄罗斯市场工资外包服务销量及增长率（2019-2030）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中东欧国家市场工资外包服务收入规模及增长率（2019-2030）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中东欧国家市场工资外包服务销量及增长率（2019-2030）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北欧市场工资外包服务收入规模及增长率（2019-2030）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北欧市场工资外包服务销量及增长率（2019-2030）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全球市场工资外包服务竞争格局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全球市场工资外包服务厂商份额（2023）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全球市场工资外包服务竞争分析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主要厂商工资外包服务总部及产地分布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主要厂商工资外包服务产品类型及应用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欧洲市场工资外包服务竞争格局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欧洲市场主要厂商工资外包服务销量（2019-2024）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欧洲市场主要厂商工资外包服务销量市场份额（2019-2024）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欧洲市场主要厂商工资外包服务收入及市场占有率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欧洲市场主要厂商工资外包服务收入（2019-2024）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欧洲市场主要厂商工资外包服务收入市场份额（2019-2024）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欧洲市场主要厂商工资外包服务价格（2019-2024）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工资外包服务行业集中度、竞争程度分析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欧洲市场工资外包服务市场机会分析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欧洲主要国家工资外包服务厂商分析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ADP</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ADP基本信息、工资外包服务生产基地、总部、竞争对手及市场地位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ADP 工资外包服务产品规格、参数及市场应用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ADP公司简介及主要业务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ADP企业最新动态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Sage</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Sage基本信息、工资外包服务生产基地、总部、竞争对手及市场地位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Sage 工资外包服务产品规格、参数及市场应用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Sage公司简介及主要业务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Sage企业最新动态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Xerox</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Xerox基本信息、工资外包服务生产基地、总部、竞争对手及市场地位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Xerox 工资外包服务产品规格、参数及市场应用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Xerox公司简介及主要业务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Xerox企业最新动态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Paychex</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Gusto</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Intuit</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Zalaris</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Infosys</w:t>
      </w:r>
      <w:r>
        <w:tab/>
      </w:r>
      <w:r>
        <w:fldChar w:fldCharType="begin"/>
      </w:r>
      <w:r>
        <w:instrText xml:space="preserve"> PAGEREF _Toc167094674 \h </w:instrText>
      </w:r>
      <w:r>
        <w:fldChar w:fldCharType="separate"/>
      </w:r>
      <w:r>
        <w:t>33</w:t>
      </w:r>
      <w:r>
        <w:fldChar w:fldCharType="end"/>
      </w:r>
      <w:r>
        <w:fldChar w:fldCharType="end"/>
      </w:r>
    </w:p>
    <w:p w14:paraId="151BA89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"_Toc167094675" </w:instrText>
      </w:r>
      <w:r>
        <w:fldChar w:fldCharType="separate"/>
      </w:r>
      <w:r>
        <w:rPr>
          <w:rStyle w:val="67"/>
        </w:rPr>
        <w:t>4.9 KPMG</w:t>
      </w:r>
      <w:r>
        <w:tab/>
      </w:r>
      <w:r>
        <w:fldChar w:fldCharType="begin"/>
      </w:r>
      <w:r>
        <w:instrText xml:space="preserve"> PAGEREF _Toc167094675 \h </w:instrText>
      </w:r>
      <w:r>
        <w:fldChar w:fldCharType="separate"/>
      </w:r>
      <w:r>
        <w:t>33</w:t>
      </w:r>
      <w:r>
        <w:fldChar w:fldCharType="end"/>
      </w:r>
      <w:r>
        <w:fldChar w:fldCharType="end"/>
      </w:r>
    </w:p>
    <w:p w14:paraId="611E52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"_Toc167094676" </w:instrText>
      </w:r>
      <w:r>
        <w:fldChar w:fldCharType="separate"/>
      </w:r>
      <w:r>
        <w:rPr>
          <w:rStyle w:val="67"/>
        </w:rPr>
        <w:t>4.10 Vision H.R.</w:t>
      </w:r>
      <w:r>
        <w:tab/>
      </w:r>
      <w:r>
        <w:fldChar w:fldCharType="begin"/>
      </w:r>
      <w:r>
        <w:instrText xml:space="preserve"> PAGEREF _Toc167094676 \h </w:instrText>
      </w:r>
      <w:r>
        <w:fldChar w:fldCharType="separate"/>
      </w:r>
      <w:r>
        <w:t>33</w:t>
      </w:r>
      <w:r>
        <w:fldChar w:fldCharType="end"/>
      </w:r>
      <w:r>
        <w:fldChar w:fldCharType="end"/>
      </w:r>
    </w:p>
    <w:p w14:paraId="6340E6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"_Toc167094677" </w:instrText>
      </w:r>
      <w:r>
        <w:fldChar w:fldCharType="separate"/>
      </w:r>
      <w:r>
        <w:rPr>
          <w:rStyle w:val="67"/>
        </w:rPr>
        <w:t>4.11 Deloitte</w:t>
      </w:r>
      <w:r>
        <w:tab/>
      </w:r>
      <w:r>
        <w:fldChar w:fldCharType="begin"/>
      </w:r>
      <w:r>
        <w:instrText xml:space="preserve"> PAGEREF _Toc167094677 \h </w:instrText>
      </w:r>
      <w:r>
        <w:fldChar w:fldCharType="separate"/>
      </w:r>
      <w:r>
        <w:t>34</w:t>
      </w:r>
      <w:r>
        <w:fldChar w:fldCharType="end"/>
      </w:r>
      <w:r>
        <w:fldChar w:fldCharType="end"/>
      </w:r>
    </w:p>
    <w:p w14:paraId="4BC6271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"_Toc167094678" </w:instrText>
      </w:r>
      <w:r>
        <w:fldChar w:fldCharType="separate"/>
      </w:r>
      <w:r>
        <w:rPr>
          <w:rStyle w:val="67"/>
        </w:rPr>
        <w:t>4.12 Aurion</w:t>
      </w:r>
      <w:r>
        <w:tab/>
      </w:r>
      <w:r>
        <w:fldChar w:fldCharType="begin"/>
      </w:r>
      <w:r>
        <w:instrText xml:space="preserve"> PAGEREF _Toc167094678 \h </w:instrText>
      </w:r>
      <w:r>
        <w:fldChar w:fldCharType="separate"/>
      </w:r>
      <w:r>
        <w:t>34</w:t>
      </w:r>
      <w:r>
        <w:fldChar w:fldCharType="end"/>
      </w:r>
      <w:r>
        <w:fldChar w:fldCharType="end"/>
      </w:r>
    </w:p>
    <w:p w14:paraId="0BD650D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"_Toc167094679" </w:instrText>
      </w:r>
      <w:r>
        <w:fldChar w:fldCharType="separate"/>
      </w:r>
      <w:r>
        <w:rPr>
          <w:rStyle w:val="67"/>
        </w:rPr>
        <w:t>4.13 Activpayroll</w:t>
      </w:r>
      <w:r>
        <w:tab/>
      </w:r>
      <w:r>
        <w:fldChar w:fldCharType="begin"/>
      </w:r>
      <w:r>
        <w:instrText xml:space="preserve"> PAGEREF _Toc167094679 \h </w:instrText>
      </w:r>
      <w:r>
        <w:fldChar w:fldCharType="separate"/>
      </w:r>
      <w:r>
        <w:t>34</w:t>
      </w:r>
      <w:r>
        <w:fldChar w:fldCharType="end"/>
      </w:r>
      <w:r>
        <w:fldChar w:fldCharType="end"/>
      </w:r>
    </w:p>
    <w:p w14:paraId="37E7CD0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"_Toc167094680" </w:instrText>
      </w:r>
      <w:r>
        <w:fldChar w:fldCharType="separate"/>
      </w:r>
      <w:r>
        <w:rPr>
          <w:rStyle w:val="67"/>
        </w:rPr>
        <w:t>4.14 Immedis</w:t>
      </w:r>
      <w:r>
        <w:tab/>
      </w:r>
      <w:r>
        <w:fldChar w:fldCharType="begin"/>
      </w:r>
      <w:r>
        <w:instrText xml:space="preserve"> PAGEREF _Toc167094680 \h </w:instrText>
      </w:r>
      <w:r>
        <w:fldChar w:fldCharType="separate"/>
      </w:r>
      <w:r>
        <w:t>34</w:t>
      </w:r>
      <w:r>
        <w:fldChar w:fldCharType="end"/>
      </w:r>
      <w:r>
        <w:fldChar w:fldCharType="end"/>
      </w:r>
    </w:p>
    <w:p w14:paraId="52B2451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"_Toc167094681" </w:instrText>
      </w:r>
      <w:r>
        <w:fldChar w:fldCharType="separate"/>
      </w:r>
      <w:r>
        <w:rPr>
          <w:rStyle w:val="67"/>
        </w:rPr>
        <w:t>4.15 Ascender</w:t>
      </w:r>
      <w:r>
        <w:tab/>
      </w:r>
      <w:r>
        <w:fldChar w:fldCharType="begin"/>
      </w:r>
      <w:r>
        <w:instrText xml:space="preserve"> PAGEREF _Toc167094681 \h </w:instrText>
      </w:r>
      <w:r>
        <w:fldChar w:fldCharType="separate"/>
      </w:r>
      <w:r>
        <w:t>34</w:t>
      </w:r>
      <w:r>
        <w:fldChar w:fldCharType="end"/>
      </w:r>
      <w:r>
        <w:fldChar w:fldCharType="end"/>
      </w:r>
    </w:p>
    <w:p w14:paraId="1C1237C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"_Toc167094682" </w:instrText>
      </w:r>
      <w:r>
        <w:fldChar w:fldCharType="separate"/>
      </w:r>
      <w:r>
        <w:rPr>
          <w:rStyle w:val="67"/>
        </w:rPr>
        <w:t>4.16 NGA HR</w:t>
      </w:r>
      <w:r>
        <w:tab/>
      </w:r>
      <w:r>
        <w:fldChar w:fldCharType="begin"/>
      </w:r>
      <w:r>
        <w:instrText xml:space="preserve"> PAGEREF _Toc167094682 \h </w:instrText>
      </w:r>
      <w:r>
        <w:fldChar w:fldCharType="separate"/>
      </w:r>
      <w:r>
        <w:t>34</w:t>
      </w:r>
      <w:r>
        <w:fldChar w:fldCharType="end"/>
      </w:r>
      <w:r>
        <w:fldChar w:fldCharType="end"/>
      </w:r>
    </w:p>
    <w:p w14:paraId="01F1FF9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"_Toc167094683" </w:instrText>
      </w:r>
      <w:r>
        <w:fldChar w:fldCharType="separate"/>
      </w:r>
      <w:r>
        <w:rPr>
          <w:rStyle w:val="67"/>
        </w:rPr>
        <w:t>4.17 Neeyamo</w:t>
      </w:r>
      <w:r>
        <w:tab/>
      </w:r>
      <w:r>
        <w:fldChar w:fldCharType="begin"/>
      </w:r>
      <w:r>
        <w:instrText xml:space="preserve"> PAGEREF _Toc167094683 \h </w:instrText>
      </w:r>
      <w:r>
        <w:fldChar w:fldCharType="separate"/>
      </w:r>
      <w:r>
        <w:t>34</w:t>
      </w:r>
      <w:r>
        <w:fldChar w:fldCharType="end"/>
      </w:r>
      <w:r>
        <w:fldChar w:fldCharType="end"/>
      </w:r>
    </w:p>
    <w:p w14:paraId="3BE736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"_Toc167094684" </w:instrText>
      </w:r>
      <w:r>
        <w:fldChar w:fldCharType="separate"/>
      </w:r>
      <w:r>
        <w:rPr>
          <w:rStyle w:val="67"/>
        </w:rPr>
        <w:t>4.18 BDO</w:t>
      </w:r>
      <w:r>
        <w:tab/>
      </w:r>
      <w:r>
        <w:fldChar w:fldCharType="begin"/>
      </w:r>
      <w:r>
        <w:instrText xml:space="preserve"> PAGEREF _Toc167094684 \h </w:instrText>
      </w:r>
      <w:r>
        <w:fldChar w:fldCharType="separate"/>
      </w:r>
      <w:r>
        <w:t>34</w:t>
      </w:r>
      <w:r>
        <w:fldChar w:fldCharType="end"/>
      </w:r>
      <w:r>
        <w:fldChar w:fldCharType="end"/>
      </w:r>
    </w:p>
    <w:p w14:paraId="3016FD0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"_Toc167094685" </w:instrText>
      </w:r>
      <w:r>
        <w:fldChar w:fldCharType="separate"/>
      </w:r>
      <w:r>
        <w:rPr>
          <w:rStyle w:val="67"/>
        </w:rPr>
        <w:t>4.19 CloudPay</w:t>
      </w:r>
      <w:r>
        <w:tab/>
      </w:r>
      <w:r>
        <w:fldChar w:fldCharType="begin"/>
      </w:r>
      <w:r>
        <w:instrText xml:space="preserve"> PAGEREF _Toc167094685 \h </w:instrText>
      </w:r>
      <w:r>
        <w:fldChar w:fldCharType="separate"/>
      </w:r>
      <w:r>
        <w:t>34</w:t>
      </w:r>
      <w:r>
        <w:fldChar w:fldCharType="end"/>
      </w:r>
      <w:r>
        <w:fldChar w:fldCharType="end"/>
      </w:r>
    </w:p>
    <w:p w14:paraId="7CF6A0E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"_Toc167094686" </w:instrText>
      </w:r>
      <w:r>
        <w:fldChar w:fldCharType="separate"/>
      </w:r>
      <w:r>
        <w:rPr>
          <w:rStyle w:val="67"/>
        </w:rPr>
        <w:t>4.20 Excelity</w:t>
      </w:r>
      <w:r>
        <w:tab/>
      </w:r>
      <w:r>
        <w:fldChar w:fldCharType="begin"/>
      </w:r>
      <w:r>
        <w:instrText xml:space="preserve"> PAGEREF _Toc167094686 \h </w:instrText>
      </w:r>
      <w:r>
        <w:fldChar w:fldCharType="separate"/>
      </w:r>
      <w:r>
        <w:t>34</w:t>
      </w:r>
      <w:r>
        <w:fldChar w:fldCharType="end"/>
      </w:r>
      <w:r>
        <w:fldChar w:fldCharType="end"/>
      </w:r>
    </w:p>
    <w:p w14:paraId="1C86CAA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"_Toc167094687" </w:instrText>
      </w:r>
      <w:r>
        <w:fldChar w:fldCharType="separate"/>
      </w:r>
      <w:r>
        <w:rPr>
          <w:rStyle w:val="67"/>
        </w:rPr>
        <w:t>4.21 i-Admin</w:t>
      </w:r>
      <w:r>
        <w:tab/>
      </w:r>
      <w:r>
        <w:fldChar w:fldCharType="begin"/>
      </w:r>
      <w:r>
        <w:instrText xml:space="preserve"> PAGEREF _Toc167094687 \h </w:instrText>
      </w:r>
      <w:r>
        <w:fldChar w:fldCharType="separate"/>
      </w:r>
      <w:r>
        <w:t>34</w:t>
      </w:r>
      <w:r>
        <w:fldChar w:fldCharType="end"/>
      </w:r>
      <w:r>
        <w:fldChar w:fldCharType="end"/>
      </w:r>
    </w:p>
    <w:p w14:paraId="7A1A414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"_Toc167094688" </w:instrText>
      </w:r>
      <w:r>
        <w:fldChar w:fldCharType="separate"/>
      </w:r>
      <w:r>
        <w:rPr>
          <w:rStyle w:val="67"/>
        </w:rPr>
        <w:t>4.22 TriNet</w:t>
      </w:r>
      <w:r>
        <w:tab/>
      </w:r>
      <w:r>
        <w:fldChar w:fldCharType="begin"/>
      </w:r>
      <w:r>
        <w:instrText xml:space="preserve"> PAGEREF _Toc167094688 \h </w:instrText>
      </w:r>
      <w:r>
        <w:fldChar w:fldCharType="separate"/>
      </w:r>
      <w:r>
        <w:t>35</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工资外包服务消费形态及客户偏好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工资外包服务代表性客户分析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欧洲市场工资外包服务销售渠道及销售模式分析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欧洲市场工资外包服务代表性代理商分析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工资外包服务行业生产模式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欧洲工资外包服务进出口分析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欧洲市场工资外包服务主要进口来源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欧洲市场工资外包服务主要出口目的地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工资外包服务行业发展分析---发展趋势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工资外包服务行业发展分析---厂商壁垒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工资外包服务行业发展分析---驱动因素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工资外包服务行业发展分析---制约因素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工资外包服务行业发展分析---行业政策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主要厂商工资外包服务总部及产地分布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主要厂商工资外包服务产品类型及应用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欧洲市场主要厂商工资外包服务销量（2019-2024）&amp;（千件）</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欧洲市场主要厂商工资外包服务销量市场份额（2019-2024）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欧洲市场主要厂商工资外包服务收入（2019-2024）&amp;（万元）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欧洲市场主要厂商工资外包服务收入份额（2019-2024）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欧洲市场主要厂商工资外包服务价格（2019-2024）&amp;（）</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ADP 工资外包服务生产基地、总部、竞争对手及市场地位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ADP 工资外包服务产品规格、参数及市场应用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ADP公司简介及主要业务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ADP企业最新动态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Sage 工资外包服务生产基地、总部、竞争对手及市场地位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Sage 工资外包服务产品规格、参数及市场应用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Sage公司简介及主要业务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Sage企业最新动态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Xerox 工资外包服务生产基地、总部、竞争对手及市场地位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Xerox 工资外包服务产品规格、参数及市场应用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Xerox公司简介及主要业务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Xerox企业最新动态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欧洲本土工资外包服务代表性客户分析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欧洲市场工资外包服务代理商列表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欧洲市场工资外包服务主要进口来源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欧洲市场工资外包服务主要出口目的地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工资外包服务行业发展分析---发展趋势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工资外包服务行业发展分析---厂商壁垒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工资外包服务行业发展分析---驱动因素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工资外包服务行业发展分析---制约因素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工资外包服务产品图片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全球工资外包服务市场销售金额规模及增长率（2019-2030）&amp;（百万元）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全球工资外包服务市场销量及增长率（2019-2030）&amp;（千件）</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欧洲市场工资外包服务销售额及增长率（2019-2030）&amp;（百万元）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欧洲市场工资外包服务销量及增长率（2019-2030）&amp;（千件）</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按国家划分，欧洲工资外包服务销售金额份额（2019-2030）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按国家划分，欧洲工资外包服务销量份额（2019-2030）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德国市场工资外包服务销售额及增长率（2019-2030）&amp;（百万元）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德国市场工资外包服务销量及增长率（2019-2030）&amp;（千件）</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法国市场工资外包服务销售额及增长率（2019-2030）&amp;（百万元）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法国市场工资外包服务销量及增长率（2019-2030）&amp;（千件）</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英国市场工资外包服务销售额及增长率（2019-2030）&amp;（百万元）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英国市场工资外包服务销量及增长率（2019-2030）&amp;（千件）</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意大利市场工资外包服务销售额及增长率（2019-2030）&amp;（百万元）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意大利市场工资外包服务销量及增长率（2019-2030）&amp;（千件）</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西班牙市场工资外包服务销售额及增长率（2019-2030）&amp;（百万元）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西班牙市场工资外包服务销量及增长率（2019-2030）&amp;（千件）</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俄罗斯市场工资外包服务销售额及增长率（2019-2030）&amp;（百万元）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俄罗斯市场工资外包服务销量及增长率（2019-2030）&amp;（千件）</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中东欧国家市场工资外包服务销售额及增长率（2019-2030）&amp;（百万元）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中东欧国家市场工资外包服务销量及增长率（2019-2030）&amp;（千件）</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北欧市场工资外包服务销售额及增长率（2019-2030）&amp;（百万元）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北欧市场工资外包服务销量及增长率（2019-2030）&amp;（千件）</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全球市场工资外包服务厂商份额（2023）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2023年欧洲市场主要厂商工资外包服务销量市场份额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2023年欧洲市场主要厂商工资外包服务收入市场份额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2023年欧洲市场前五大厂商工资外包服务市场份额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工资外包服务行业生产模式分析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欧洲市场工资外包服务主要来源地进口占比（2023）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欧洲市场工资外包服务主要目的地出口占比（2023）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6872EE53">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7094592"/>
      <w:bookmarkStart w:id="18" w:name="_Toc166761976"/>
      <w:bookmarkStart w:id="19" w:name="_Toc121583870"/>
      <w:r>
        <w:rPr>
          <w:rFonts w:hint="eastAsia"/>
        </w:rPr>
        <w:t>工资外包服务</w:t>
      </w:r>
      <w:r>
        <w:rPr>
          <w:rFonts w:hint="eastAsia"/>
          <w:lang w:eastAsia="zh-CN"/>
        </w:rPr>
        <w:t>定义</w:t>
      </w:r>
      <w:bookmarkEnd w:id="17"/>
      <w:bookmarkEnd w:id="18"/>
    </w:p>
    <w:p w14:paraId="399583F1">
      <w:pPr>
        <w:pStyle w:val="3"/>
      </w:pPr>
      <w:bookmarkStart w:id="20" w:name="_Toc167094593"/>
      <w:bookmarkStart w:id="21" w:name="_Toc166761977"/>
      <w:r>
        <w:rPr>
          <w:rFonts w:hint="eastAsia"/>
        </w:rPr>
        <w:t>工资外包服务产品定义及统计范围</w:t>
      </w:r>
      <w:bookmarkEnd w:id="20"/>
      <w:bookmarkEnd w:id="21"/>
    </w:p>
    <w:p w14:paraId="37F39057">
      <w:pPr>
        <w:pStyle w:val="128"/>
        <w:ind w:firstLine="420"/>
      </w:pPr>
    </w:p>
    <w:p w14:paraId="15F520A4">
      <w:pPr>
        <w:pStyle w:val="128"/>
        <w:ind w:firstLine="420"/>
        <w:rPr>
          <w:lang w:eastAsia="zh-CN"/>
        </w:rPr>
      </w:pPr>
      <w:r>
        <w:rPr>
          <w:lang w:eastAsia="zh-CN"/>
        </w:rPr>
        <w:t>全球工资外包服务主要厂商有ADP、Intuit、KPMG等，全球前三大厂商共占有大约40%的市场份额。
目前美国是全球最大的工资外包服务市场，占有大约45%的市场份额，之后是欧洲和中国市场，共占有大约35%的份额。</w:t>
      </w:r>
    </w:p>
    <w:p w14:paraId="77F1EE8B">
      <w:pPr>
        <w:pStyle w:val="128"/>
        <w:ind w:firstLine="420"/>
      </w:pPr>
    </w:p>
    <w:p w14:paraId="175948D4">
      <w:pPr>
        <w:pStyle w:val="128"/>
        <w:ind w:firstLine="420"/>
      </w:pPr>
    </w:p>
    <w:p w14:paraId="574BAA15">
      <w:pPr>
        <w:pStyle w:val="130"/>
      </w:pPr>
      <w:bookmarkStart w:id="22" w:name="_Toc166761929"/>
      <w:bookmarkStart w:id="23" w:name="_Toc167094532"/>
      <w:r>
        <w:t>工资外包服务</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7094594"/>
      <w:bookmarkStart w:id="25" w:name="_Toc166761978"/>
      <w:r>
        <w:rPr>
          <w:rFonts w:hint="eastAsia"/>
        </w:rPr>
        <w:t>全球行业市场规模</w:t>
      </w:r>
      <w:bookmarkEnd w:id="24"/>
      <w:bookmarkEnd w:id="25"/>
    </w:p>
    <w:p w14:paraId="41D0B6CC">
      <w:pPr>
        <w:pStyle w:val="4"/>
      </w:pPr>
      <w:bookmarkStart w:id="26" w:name="_Toc167094595"/>
      <w:bookmarkStart w:id="27" w:name="_Toc166761979"/>
      <w:r>
        <w:rPr>
          <w:rFonts w:hint="eastAsia"/>
        </w:rPr>
        <w:t>全球</w:t>
      </w:r>
      <w:r>
        <w:t>工资外包服务</w:t>
      </w:r>
      <w:r>
        <w:rPr>
          <w:rFonts w:hint="eastAsia"/>
        </w:rPr>
        <w:t>市场销售金额规模（2019-2030）</w:t>
      </w:r>
      <w:bookmarkEnd w:id="26"/>
      <w:bookmarkEnd w:id="27"/>
    </w:p>
    <w:p w14:paraId="7F0185C0">
      <w:pPr>
        <w:pStyle w:val="130"/>
      </w:pPr>
      <w:bookmarkStart w:id="28" w:name="_Toc167094533"/>
      <w:bookmarkStart w:id="29" w:name="_Toc166761930"/>
      <w:r>
        <w:rPr>
          <w:rFonts w:hint="eastAsia"/>
        </w:rPr>
        <w:t>全球</w:t>
      </w:r>
      <w:r>
        <w:t>工资外包服务</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工资外包服务</w:t>
      </w:r>
      <w:r>
        <w:rPr>
          <w:rFonts w:hint="eastAsia"/>
        </w:rPr>
        <w:t>市场销量规模（2019-2030）</w:t>
      </w:r>
      <w:bookmarkEnd w:id="30"/>
      <w:bookmarkEnd w:id="31"/>
    </w:p>
    <w:p w14:paraId="58574A12">
      <w:pPr>
        <w:pStyle w:val="130"/>
      </w:pPr>
      <w:bookmarkStart w:id="32" w:name="_Toc166761931"/>
      <w:bookmarkStart w:id="33" w:name="_Toc167094534"/>
      <w:r>
        <w:rPr>
          <w:rFonts w:hint="eastAsia"/>
        </w:rPr>
        <w:t>全球</w:t>
      </w:r>
      <w:r>
        <w:t>工资外包服务</w:t>
      </w:r>
      <w:r>
        <w:rPr>
          <w:rFonts w:hint="eastAsia"/>
        </w:rPr>
        <w:t>市场销量及增长率（2019-2030）&amp;（千件）</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7094598"/>
      <w:bookmarkStart w:id="37" w:name="_Toc166761981"/>
      <w:r>
        <w:rPr>
          <w:rFonts w:hint="eastAsia"/>
        </w:rPr>
        <w:t>欧洲市场工资外包服务销售金额规模及增长率（2019-2030）</w:t>
      </w:r>
      <w:bookmarkEnd w:id="36"/>
      <w:bookmarkEnd w:id="37"/>
    </w:p>
    <w:p w14:paraId="539757B4">
      <w:pPr>
        <w:pStyle w:val="130"/>
      </w:pPr>
      <w:bookmarkStart w:id="38" w:name="_Toc167094535"/>
      <w:bookmarkStart w:id="39" w:name="_Toc166761932"/>
      <w:r>
        <w:rPr>
          <w:rFonts w:hint="eastAsia"/>
        </w:rPr>
        <w:t>欧洲市场工资外包服务销售额及增长率（2019-2030）&amp;（百万元）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7094599"/>
      <w:bookmarkStart w:id="41" w:name="_Toc166761982"/>
      <w:r>
        <w:rPr>
          <w:rFonts w:hint="eastAsia"/>
        </w:rPr>
        <w:t>欧洲市场工资外包服务销量及增长率（2019-2030）</w:t>
      </w:r>
      <w:bookmarkEnd w:id="40"/>
      <w:bookmarkEnd w:id="41"/>
    </w:p>
    <w:p w14:paraId="6767F233">
      <w:pPr>
        <w:pStyle w:val="130"/>
      </w:pPr>
      <w:bookmarkStart w:id="42" w:name="_Toc166761933"/>
      <w:bookmarkStart w:id="43" w:name="_Toc167094536"/>
      <w:r>
        <w:rPr>
          <w:rFonts w:hint="eastAsia"/>
        </w:rPr>
        <w:t>欧洲市场工资外包服务销量及增长率（2019-2030）&amp;（</w:t>
      </w:r>
      <w:r>
        <w:t>千件</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按国家划分，欧洲工资外包服务销售金额份额（2019-2030）</w:t>
      </w:r>
      <w:bookmarkEnd w:id="44"/>
    </w:p>
    <w:p w14:paraId="7AD30CEC">
      <w:pPr>
        <w:pStyle w:val="130"/>
      </w:pPr>
      <w:bookmarkStart w:id="45" w:name="_Toc167094537"/>
      <w:r>
        <w:rPr>
          <w:rFonts w:hint="eastAsia"/>
        </w:rPr>
        <w:t>按国家划分，欧洲工资外包服务销售金额份额（2019-2030）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按国家划分，欧洲工资外包服务销量份额（2019-2030）</w:t>
      </w:r>
      <w:bookmarkEnd w:id="46"/>
    </w:p>
    <w:p w14:paraId="6E5E495B">
      <w:pPr>
        <w:pStyle w:val="130"/>
      </w:pPr>
      <w:bookmarkStart w:id="47" w:name="_Toc167094538"/>
      <w:r>
        <w:rPr>
          <w:rFonts w:hint="eastAsia"/>
        </w:rPr>
        <w:t>按国家划分，欧洲工资外包服务销量份额（2019-2030）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德国市场工资外包服务收入规模及增长率（2019-2030）</w:t>
      </w:r>
      <w:bookmarkEnd w:id="49"/>
    </w:p>
    <w:p w14:paraId="3F51D29C">
      <w:pPr>
        <w:pStyle w:val="130"/>
      </w:pPr>
      <w:bookmarkStart w:id="50" w:name="_Toc167094539"/>
      <w:r>
        <w:rPr>
          <w:rFonts w:hint="eastAsia"/>
        </w:rPr>
        <w:t>德国市场工资外包服务销售额及增长率（2019-2030）&amp;（百万元）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德国市场工资外包服务销量及增长率（2019-2030）</w:t>
      </w:r>
      <w:bookmarkEnd w:id="51"/>
    </w:p>
    <w:p w14:paraId="0F102481">
      <w:pPr>
        <w:pStyle w:val="130"/>
      </w:pPr>
      <w:bookmarkStart w:id="52" w:name="_Toc167094540"/>
      <w:r>
        <w:rPr>
          <w:rFonts w:hint="eastAsia"/>
        </w:rPr>
        <w:t>德国市场工资外包服务销量及增长率（2019-2030）&amp;（</w:t>
      </w:r>
      <w:r>
        <w:t>千件</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法国市场工资外包服务收入规模及增长率（2019-2030）</w:t>
      </w:r>
      <w:bookmarkEnd w:id="54"/>
    </w:p>
    <w:p w14:paraId="7D68F417">
      <w:pPr>
        <w:pStyle w:val="130"/>
      </w:pPr>
      <w:bookmarkStart w:id="55" w:name="_Toc167094541"/>
      <w:r>
        <w:rPr>
          <w:rFonts w:hint="eastAsia"/>
        </w:rPr>
        <w:t>法国市场工资外包服务销售额及增长率（2019-2030）&amp;（百万元）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法国市场工资外包服务销量及增长率（2019-2030）</w:t>
      </w:r>
      <w:bookmarkEnd w:id="56"/>
    </w:p>
    <w:p w14:paraId="0AF8CE7B">
      <w:pPr>
        <w:pStyle w:val="130"/>
      </w:pPr>
      <w:bookmarkStart w:id="57" w:name="_Toc167094542"/>
      <w:r>
        <w:rPr>
          <w:rFonts w:hint="eastAsia"/>
        </w:rPr>
        <w:t>法国市场工资外包服务销量及增长率（2019-2030）&amp;（</w:t>
      </w:r>
      <w:r>
        <w:t>千件</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英国市场工资外包服务收入规模及增长率（2019-2030）</w:t>
      </w:r>
      <w:bookmarkEnd w:id="59"/>
    </w:p>
    <w:p w14:paraId="3CA69789">
      <w:pPr>
        <w:pStyle w:val="130"/>
      </w:pPr>
      <w:bookmarkStart w:id="60" w:name="_Toc167094543"/>
      <w:r>
        <w:rPr>
          <w:rFonts w:hint="eastAsia"/>
        </w:rPr>
        <w:t>英国市场工资外包服务销售额及增长率（2019-2030）&amp;（百万元）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英国市场工资外包服务销量及增长率（2019-2030）</w:t>
      </w:r>
      <w:bookmarkEnd w:id="61"/>
    </w:p>
    <w:p w14:paraId="537BDED4">
      <w:pPr>
        <w:pStyle w:val="130"/>
      </w:pPr>
      <w:bookmarkStart w:id="62" w:name="_Toc167094544"/>
      <w:r>
        <w:rPr>
          <w:rFonts w:hint="eastAsia"/>
        </w:rPr>
        <w:t>英国市场工资外包服务销量及增长率（2019-2030）&amp;（</w:t>
      </w:r>
      <w:r>
        <w:t>千件</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意大利市场工资外包服务收入规模及增长率（2019-2030）</w:t>
      </w:r>
      <w:bookmarkEnd w:id="64"/>
    </w:p>
    <w:p w14:paraId="3973EC9A">
      <w:pPr>
        <w:pStyle w:val="130"/>
      </w:pPr>
      <w:bookmarkStart w:id="65" w:name="_Toc167094545"/>
      <w:r>
        <w:rPr>
          <w:rFonts w:hint="eastAsia"/>
        </w:rPr>
        <w:t>意大利市场工资外包服务销售额及增长率（2019-2030）&amp;（百万元）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意大利市场工资外包服务销量及增长率（2019-2030）</w:t>
      </w:r>
      <w:bookmarkEnd w:id="66"/>
    </w:p>
    <w:p w14:paraId="6DCD8522">
      <w:pPr>
        <w:pStyle w:val="130"/>
      </w:pPr>
      <w:bookmarkStart w:id="67" w:name="_Toc167094546"/>
      <w:r>
        <w:rPr>
          <w:rFonts w:hint="eastAsia"/>
        </w:rPr>
        <w:t>意大利市场工资外包服务销量及增长率（2019-2030）&amp;（</w:t>
      </w:r>
      <w:r>
        <w:t>千件</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西班牙市场工资外包服务收入规模及增长率（2019-2030）</w:t>
      </w:r>
      <w:bookmarkEnd w:id="69"/>
    </w:p>
    <w:p w14:paraId="7150BD26">
      <w:pPr>
        <w:pStyle w:val="130"/>
      </w:pPr>
      <w:bookmarkStart w:id="70" w:name="_Toc167094547"/>
      <w:r>
        <w:rPr>
          <w:rFonts w:hint="eastAsia"/>
        </w:rPr>
        <w:t>西班牙市场工资外包服务销售额及增长率（2019-2030）&amp;（百万元）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西班牙市场工资外包服务销量及增长率（2019-2030）</w:t>
      </w:r>
      <w:bookmarkEnd w:id="71"/>
    </w:p>
    <w:p w14:paraId="6D5F9E85">
      <w:pPr>
        <w:pStyle w:val="130"/>
      </w:pPr>
      <w:bookmarkStart w:id="72" w:name="_Toc167094548"/>
      <w:r>
        <w:rPr>
          <w:rFonts w:hint="eastAsia"/>
        </w:rPr>
        <w:t>西班牙市场工资外包服务销量及增长率（2019-2030）&amp;（</w:t>
      </w:r>
      <w:r>
        <w:t>千件</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俄罗斯市场工资外包服务收入规模及增长率（2019-2030）</w:t>
      </w:r>
      <w:bookmarkEnd w:id="74"/>
    </w:p>
    <w:p w14:paraId="4C55A417">
      <w:pPr>
        <w:pStyle w:val="130"/>
      </w:pPr>
      <w:bookmarkStart w:id="75" w:name="_Toc167094549"/>
      <w:r>
        <w:rPr>
          <w:rFonts w:hint="eastAsia"/>
        </w:rPr>
        <w:t>俄罗斯市场工资外包服务销售额及增长率（2019-2030）&amp;（百万元）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俄罗斯市场工资外包服务销量及增长率（2019-2030）</w:t>
      </w:r>
      <w:bookmarkEnd w:id="76"/>
    </w:p>
    <w:p w14:paraId="565611D4">
      <w:pPr>
        <w:pStyle w:val="130"/>
      </w:pPr>
      <w:bookmarkStart w:id="77" w:name="_Toc167094550"/>
      <w:r>
        <w:rPr>
          <w:rFonts w:hint="eastAsia"/>
        </w:rPr>
        <w:t>俄罗斯市场工资外包服务销量及增长率（2019-2030）&amp;（</w:t>
      </w:r>
      <w:r>
        <w:t>千件</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中东欧国家市场工资外包服务收入规模及增长率（2019-2030）</w:t>
      </w:r>
      <w:bookmarkEnd w:id="79"/>
    </w:p>
    <w:p w14:paraId="0F086807">
      <w:pPr>
        <w:pStyle w:val="130"/>
      </w:pPr>
      <w:bookmarkStart w:id="80" w:name="_Toc167094551"/>
      <w:r>
        <w:rPr>
          <w:rFonts w:hint="eastAsia"/>
        </w:rPr>
        <w:t>中东欧国家市场工资外包服务销售额及增长率（2019-2030）&amp;（百万元）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中东欧国家市场工资外包服务销量及增长率（2019-2030）</w:t>
      </w:r>
      <w:bookmarkEnd w:id="81"/>
    </w:p>
    <w:p w14:paraId="27A6DA43">
      <w:pPr>
        <w:pStyle w:val="130"/>
      </w:pPr>
      <w:bookmarkStart w:id="82" w:name="_Toc167094552"/>
      <w:r>
        <w:rPr>
          <w:rFonts w:hint="eastAsia"/>
        </w:rPr>
        <w:t>中东欧国家市场工资外包服务销量及增长率（2019-2030）&amp;（</w:t>
      </w:r>
      <w:r>
        <w:t>千件</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北欧市场工资外包服务收入规模及增长率（2019-2030）</w:t>
      </w:r>
      <w:bookmarkEnd w:id="84"/>
    </w:p>
    <w:p w14:paraId="6C7788B4">
      <w:pPr>
        <w:pStyle w:val="130"/>
      </w:pPr>
      <w:bookmarkStart w:id="85" w:name="_Toc167094553"/>
      <w:r>
        <w:rPr>
          <w:rFonts w:hint="eastAsia"/>
        </w:rPr>
        <w:t>北欧市场工资外包服务销售额及增长率（2019-2030）&amp;（百万元）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北欧市场工资外包服务销量及增长率（2019-2030）</w:t>
      </w:r>
      <w:bookmarkEnd w:id="86"/>
    </w:p>
    <w:p w14:paraId="013EA166">
      <w:pPr>
        <w:pStyle w:val="130"/>
      </w:pPr>
      <w:bookmarkStart w:id="87" w:name="_Toc167094554"/>
      <w:r>
        <w:rPr>
          <w:rFonts w:hint="eastAsia"/>
        </w:rPr>
        <w:t>北欧市场工资外包服务销量及增长率（2019-2030）&amp;（</w:t>
      </w:r>
      <w:r>
        <w:t>千件</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7094626"/>
      <w:bookmarkStart w:id="89" w:name="_Toc166761984"/>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全球市场工资外包服务竞争格局</w:t>
      </w:r>
      <w:bookmarkEnd w:id="103"/>
    </w:p>
    <w:p w14:paraId="2D7F9CF1">
      <w:pPr>
        <w:pStyle w:val="4"/>
      </w:pPr>
      <w:bookmarkStart w:id="104" w:name="_Toc167094638"/>
      <w:r>
        <w:rPr>
          <w:rFonts w:hint="eastAsia"/>
        </w:rPr>
        <w:t>全球市场工资外包服务厂商份额（2023）</w:t>
      </w:r>
      <w:bookmarkEnd w:id="104"/>
    </w:p>
    <w:p w14:paraId="13B48379">
      <w:pPr>
        <w:pStyle w:val="130"/>
      </w:pPr>
      <w:bookmarkStart w:id="105" w:name="_Toc167094556"/>
      <w:r>
        <w:rPr>
          <w:rFonts w:hint="eastAsia"/>
        </w:rPr>
        <w:t>全球市场工资外包服务厂商份额（2023）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全球市场工资外包服务竞争分析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121583901"/>
      <w:bookmarkStart w:id="108" w:name="_Toc24028312"/>
      <w:bookmarkStart w:id="109" w:name="_Toc24972502"/>
      <w:bookmarkStart w:id="110" w:name="_Toc167094640"/>
      <w:bookmarkStart w:id="111" w:name="_Toc24972494"/>
      <w:bookmarkStart w:id="112" w:name="_Toc121583895"/>
      <w:bookmarkStart w:id="113" w:name="_Toc24028304"/>
      <w:r>
        <w:rPr>
          <w:rFonts w:hint="eastAsia"/>
        </w:rPr>
        <w:t>主要厂商</w:t>
      </w:r>
      <w:r>
        <w:t>工资外包服务</w:t>
      </w:r>
      <w:r>
        <w:rPr>
          <w:rFonts w:hint="eastAsia"/>
        </w:rPr>
        <w:t>总部及产地分布</w:t>
      </w:r>
      <w:bookmarkEnd w:id="107"/>
      <w:bookmarkEnd w:id="108"/>
      <w:bookmarkEnd w:id="109"/>
      <w:bookmarkEnd w:id="110"/>
    </w:p>
    <w:p w14:paraId="1BAF8071">
      <w:pPr>
        <w:pStyle w:val="132"/>
        <w:ind w:left="252" w:right="-105"/>
      </w:pPr>
      <w:bookmarkStart w:id="114" w:name="_Toc26780078"/>
      <w:bookmarkStart w:id="115" w:name="_Toc24028926"/>
      <w:bookmarkStart w:id="116" w:name="_Toc167094565"/>
      <w:bookmarkStart w:id="117" w:name="_Toc121583633"/>
      <w:r>
        <w:rPr>
          <w:rFonts w:hint="eastAsia"/>
        </w:rPr>
        <w:t>主要厂商工资外包服务</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ADP</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Sage</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Xerox</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Paychex</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Gusto</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Intuit</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Zalaris</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7D8257">
            <w:pPr>
              <w:rPr>
                <w:rFonts w:cs="Times New Roman"/>
                <w:kern w:val="0"/>
                <w:sz w:val="20"/>
                <w:szCs w:val="20"/>
              </w:rPr>
            </w:pPr>
            <w:r>
              <w:rPr>
                <w:rFonts w:cs="Times New Roman"/>
                <w:kern w:val="0"/>
                <w:sz w:val="20"/>
                <w:szCs w:val="20"/>
              </w:rPr>
              <w:t>Infosys</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tr w14:paraId="51D56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64F64B0">
            <w:pPr>
              <w:rPr>
                <w:rFonts w:cs="Times New Roman"/>
                <w:kern w:val="0"/>
                <w:sz w:val="20"/>
                <w:szCs w:val="20"/>
              </w:rPr>
            </w:pPr>
            <w:r>
              <w:rPr>
                <w:rFonts w:cs="Times New Roman"/>
                <w:kern w:val="0"/>
                <w:sz w:val="20"/>
                <w:szCs w:val="20"/>
              </w:rPr>
              <w:t>KPMG</w:t>
            </w:r>
          </w:p>
        </w:tc>
        <w:tc>
          <w:tcPr>
            <w:tcW w:w="1226" w:type="pct"/>
            <w:shd w:val="clear" w:color="auto" w:fill="auto"/>
            <w:noWrap/>
            <w:vAlign w:val="center"/>
          </w:tcPr>
          <w:p w14:paraId="6ED68EF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837DAE5">
            <w:pPr>
              <w:rPr>
                <w:rFonts w:cs="Times New Roman"/>
                <w:kern w:val="0"/>
                <w:sz w:val="20"/>
                <w:szCs w:val="20"/>
              </w:rPr>
            </w:pPr>
            <w:r>
              <w:rPr>
                <w:rFonts w:hint="eastAsia" w:cs="Times New Roman"/>
                <w:kern w:val="0"/>
                <w:sz w:val="20"/>
                <w:szCs w:val="20"/>
              </w:rPr>
              <w:t>XX</w:t>
            </w:r>
          </w:p>
        </w:tc>
      </w:tr>
      <w:tr w14:paraId="4CE9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F13B7A">
            <w:pPr>
              <w:rPr>
                <w:rFonts w:cs="Times New Roman"/>
                <w:kern w:val="0"/>
                <w:sz w:val="20"/>
                <w:szCs w:val="20"/>
              </w:rPr>
            </w:pPr>
            <w:r>
              <w:rPr>
                <w:rFonts w:cs="Times New Roman"/>
                <w:kern w:val="0"/>
                <w:sz w:val="20"/>
                <w:szCs w:val="20"/>
              </w:rPr>
              <w:t>Vision H.R.</w:t>
            </w:r>
          </w:p>
        </w:tc>
        <w:tc>
          <w:tcPr>
            <w:tcW w:w="1226" w:type="pct"/>
            <w:shd w:val="clear" w:color="auto" w:fill="auto"/>
            <w:noWrap/>
            <w:vAlign w:val="center"/>
          </w:tcPr>
          <w:p w14:paraId="7B8368D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5A2925">
            <w:pPr>
              <w:rPr>
                <w:rFonts w:cs="Times New Roman"/>
                <w:kern w:val="0"/>
                <w:sz w:val="20"/>
                <w:szCs w:val="20"/>
              </w:rPr>
            </w:pPr>
            <w:r>
              <w:rPr>
                <w:rFonts w:hint="eastAsia" w:cs="Times New Roman"/>
                <w:kern w:val="0"/>
                <w:sz w:val="20"/>
                <w:szCs w:val="20"/>
              </w:rPr>
              <w:t>XX</w:t>
            </w:r>
          </w:p>
        </w:tc>
      </w:tr>
      <w:tr w14:paraId="0B1E20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F06E48E">
            <w:pPr>
              <w:rPr>
                <w:rFonts w:cs="Times New Roman"/>
                <w:kern w:val="0"/>
                <w:sz w:val="20"/>
                <w:szCs w:val="20"/>
              </w:rPr>
            </w:pPr>
            <w:r>
              <w:rPr>
                <w:rFonts w:cs="Times New Roman"/>
                <w:kern w:val="0"/>
                <w:sz w:val="20"/>
                <w:szCs w:val="20"/>
              </w:rPr>
              <w:t>Deloitte</w:t>
            </w:r>
          </w:p>
        </w:tc>
        <w:tc>
          <w:tcPr>
            <w:tcW w:w="1226" w:type="pct"/>
            <w:shd w:val="clear" w:color="auto" w:fill="auto"/>
            <w:noWrap/>
            <w:vAlign w:val="center"/>
          </w:tcPr>
          <w:p w14:paraId="367AF9D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6CFC0A4">
            <w:pPr>
              <w:rPr>
                <w:rFonts w:cs="Times New Roman"/>
                <w:kern w:val="0"/>
                <w:sz w:val="20"/>
                <w:szCs w:val="20"/>
              </w:rPr>
            </w:pPr>
            <w:r>
              <w:rPr>
                <w:rFonts w:hint="eastAsia" w:cs="Times New Roman"/>
                <w:kern w:val="0"/>
                <w:sz w:val="20"/>
                <w:szCs w:val="20"/>
              </w:rPr>
              <w:t>XX</w:t>
            </w:r>
          </w:p>
        </w:tc>
      </w:tr>
      <w:tr w14:paraId="20A6D9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DBEAAB2">
            <w:pPr>
              <w:rPr>
                <w:rFonts w:cs="Times New Roman"/>
                <w:kern w:val="0"/>
                <w:sz w:val="20"/>
                <w:szCs w:val="20"/>
              </w:rPr>
            </w:pPr>
            <w:r>
              <w:rPr>
                <w:rFonts w:cs="Times New Roman"/>
                <w:kern w:val="0"/>
                <w:sz w:val="20"/>
                <w:szCs w:val="20"/>
              </w:rPr>
              <w:t>Aurion</w:t>
            </w:r>
          </w:p>
        </w:tc>
        <w:tc>
          <w:tcPr>
            <w:tcW w:w="1226" w:type="pct"/>
            <w:shd w:val="clear" w:color="auto" w:fill="auto"/>
            <w:noWrap/>
            <w:vAlign w:val="center"/>
          </w:tcPr>
          <w:p w14:paraId="36A72A7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614A265">
            <w:pPr>
              <w:rPr>
                <w:rFonts w:cs="Times New Roman"/>
                <w:kern w:val="0"/>
                <w:sz w:val="20"/>
                <w:szCs w:val="20"/>
              </w:rPr>
            </w:pPr>
            <w:r>
              <w:rPr>
                <w:rFonts w:hint="eastAsia" w:cs="Times New Roman"/>
                <w:kern w:val="0"/>
                <w:sz w:val="20"/>
                <w:szCs w:val="20"/>
              </w:rPr>
              <w:t>XX</w:t>
            </w:r>
          </w:p>
        </w:tc>
      </w:tr>
      <w:tr w14:paraId="1895EE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BDFCCD0">
            <w:pPr>
              <w:rPr>
                <w:rFonts w:cs="Times New Roman"/>
                <w:kern w:val="0"/>
                <w:sz w:val="20"/>
                <w:szCs w:val="20"/>
              </w:rPr>
            </w:pPr>
            <w:r>
              <w:rPr>
                <w:rFonts w:cs="Times New Roman"/>
                <w:kern w:val="0"/>
                <w:sz w:val="20"/>
                <w:szCs w:val="20"/>
              </w:rPr>
              <w:t>Activpayroll</w:t>
            </w:r>
          </w:p>
        </w:tc>
        <w:tc>
          <w:tcPr>
            <w:tcW w:w="1226" w:type="pct"/>
            <w:shd w:val="clear" w:color="auto" w:fill="auto"/>
            <w:noWrap/>
            <w:vAlign w:val="center"/>
          </w:tcPr>
          <w:p w14:paraId="13C10C0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FF802F2">
            <w:pPr>
              <w:rPr>
                <w:rFonts w:cs="Times New Roman"/>
                <w:kern w:val="0"/>
                <w:sz w:val="20"/>
                <w:szCs w:val="20"/>
              </w:rPr>
            </w:pPr>
            <w:r>
              <w:rPr>
                <w:rFonts w:hint="eastAsia" w:cs="Times New Roman"/>
                <w:kern w:val="0"/>
                <w:sz w:val="20"/>
                <w:szCs w:val="20"/>
              </w:rPr>
              <w:t>XX</w:t>
            </w:r>
          </w:p>
        </w:tc>
      </w:tr>
      <w:tr w14:paraId="6D3C0F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AFB10D3">
            <w:pPr>
              <w:rPr>
                <w:rFonts w:cs="Times New Roman"/>
                <w:kern w:val="0"/>
                <w:sz w:val="20"/>
                <w:szCs w:val="20"/>
              </w:rPr>
            </w:pPr>
            <w:r>
              <w:rPr>
                <w:rFonts w:cs="Times New Roman"/>
                <w:kern w:val="0"/>
                <w:sz w:val="20"/>
                <w:szCs w:val="20"/>
              </w:rPr>
              <w:t>Immedis</w:t>
            </w:r>
          </w:p>
        </w:tc>
        <w:tc>
          <w:tcPr>
            <w:tcW w:w="1226" w:type="pct"/>
            <w:shd w:val="clear" w:color="auto" w:fill="auto"/>
            <w:noWrap/>
            <w:vAlign w:val="center"/>
          </w:tcPr>
          <w:p w14:paraId="1CC140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D90906">
            <w:pPr>
              <w:rPr>
                <w:rFonts w:cs="Times New Roman"/>
                <w:kern w:val="0"/>
                <w:sz w:val="20"/>
                <w:szCs w:val="20"/>
              </w:rPr>
            </w:pPr>
            <w:r>
              <w:rPr>
                <w:rFonts w:hint="eastAsia" w:cs="Times New Roman"/>
                <w:kern w:val="0"/>
                <w:sz w:val="20"/>
                <w:szCs w:val="20"/>
              </w:rPr>
              <w:t>XX</w:t>
            </w:r>
          </w:p>
        </w:tc>
      </w:tr>
      <w:tr w14:paraId="09D316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42330C6">
            <w:pPr>
              <w:rPr>
                <w:rFonts w:cs="Times New Roman"/>
                <w:kern w:val="0"/>
                <w:sz w:val="20"/>
                <w:szCs w:val="20"/>
              </w:rPr>
            </w:pPr>
            <w:r>
              <w:rPr>
                <w:rFonts w:cs="Times New Roman"/>
                <w:kern w:val="0"/>
                <w:sz w:val="20"/>
                <w:szCs w:val="20"/>
              </w:rPr>
              <w:t>Ascender</w:t>
            </w:r>
          </w:p>
        </w:tc>
        <w:tc>
          <w:tcPr>
            <w:tcW w:w="1226" w:type="pct"/>
            <w:shd w:val="clear" w:color="auto" w:fill="auto"/>
            <w:noWrap/>
            <w:vAlign w:val="center"/>
          </w:tcPr>
          <w:p w14:paraId="4512D9E5">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F3E0858">
            <w:pPr>
              <w:rPr>
                <w:rFonts w:cs="Times New Roman"/>
                <w:kern w:val="0"/>
                <w:sz w:val="20"/>
                <w:szCs w:val="20"/>
              </w:rPr>
            </w:pPr>
            <w:r>
              <w:rPr>
                <w:rFonts w:hint="eastAsia" w:cs="Times New Roman"/>
                <w:kern w:val="0"/>
                <w:sz w:val="20"/>
                <w:szCs w:val="20"/>
              </w:rPr>
              <w:t>XX</w:t>
            </w:r>
          </w:p>
        </w:tc>
      </w:tr>
      <w:tr w14:paraId="26DB463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2086519">
            <w:pPr>
              <w:rPr>
                <w:rFonts w:cs="Times New Roman"/>
                <w:kern w:val="0"/>
                <w:sz w:val="20"/>
                <w:szCs w:val="20"/>
              </w:rPr>
            </w:pPr>
            <w:r>
              <w:rPr>
                <w:rFonts w:cs="Times New Roman"/>
                <w:kern w:val="0"/>
                <w:sz w:val="20"/>
                <w:szCs w:val="20"/>
              </w:rPr>
              <w:t>NGA HR</w:t>
            </w:r>
          </w:p>
        </w:tc>
        <w:tc>
          <w:tcPr>
            <w:tcW w:w="1226" w:type="pct"/>
            <w:shd w:val="clear" w:color="auto" w:fill="auto"/>
            <w:noWrap/>
            <w:vAlign w:val="center"/>
          </w:tcPr>
          <w:p w14:paraId="171B222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6F95916">
            <w:pPr>
              <w:rPr>
                <w:rFonts w:cs="Times New Roman"/>
                <w:kern w:val="0"/>
                <w:sz w:val="20"/>
                <w:szCs w:val="20"/>
              </w:rPr>
            </w:pPr>
            <w:r>
              <w:rPr>
                <w:rFonts w:hint="eastAsia" w:cs="Times New Roman"/>
                <w:kern w:val="0"/>
                <w:sz w:val="20"/>
                <w:szCs w:val="20"/>
              </w:rPr>
              <w:t>XX</w:t>
            </w:r>
          </w:p>
        </w:tc>
      </w:tr>
      <w:tr w14:paraId="3800B4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2229D6">
            <w:pPr>
              <w:rPr>
                <w:rFonts w:cs="Times New Roman"/>
                <w:kern w:val="0"/>
                <w:sz w:val="20"/>
                <w:szCs w:val="20"/>
              </w:rPr>
            </w:pPr>
            <w:r>
              <w:rPr>
                <w:rFonts w:cs="Times New Roman"/>
                <w:kern w:val="0"/>
                <w:sz w:val="20"/>
                <w:szCs w:val="20"/>
              </w:rPr>
              <w:t>Neeyamo</w:t>
            </w:r>
          </w:p>
        </w:tc>
        <w:tc>
          <w:tcPr>
            <w:tcW w:w="1226" w:type="pct"/>
            <w:shd w:val="clear" w:color="auto" w:fill="auto"/>
            <w:noWrap/>
            <w:vAlign w:val="center"/>
          </w:tcPr>
          <w:p w14:paraId="4AABDFD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EB81B6B">
            <w:pPr>
              <w:rPr>
                <w:rFonts w:cs="Times New Roman"/>
                <w:kern w:val="0"/>
                <w:sz w:val="20"/>
                <w:szCs w:val="20"/>
              </w:rPr>
            </w:pPr>
            <w:r>
              <w:rPr>
                <w:rFonts w:hint="eastAsia" w:cs="Times New Roman"/>
                <w:kern w:val="0"/>
                <w:sz w:val="20"/>
                <w:szCs w:val="20"/>
              </w:rPr>
              <w:t>XX</w:t>
            </w:r>
          </w:p>
        </w:tc>
      </w:tr>
      <w:tr w14:paraId="3E0596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E1B9FE1">
            <w:pPr>
              <w:rPr>
                <w:rFonts w:cs="Times New Roman"/>
                <w:kern w:val="0"/>
                <w:sz w:val="20"/>
                <w:szCs w:val="20"/>
              </w:rPr>
            </w:pPr>
            <w:r>
              <w:rPr>
                <w:rFonts w:cs="Times New Roman"/>
                <w:kern w:val="0"/>
                <w:sz w:val="20"/>
                <w:szCs w:val="20"/>
              </w:rPr>
              <w:t>BDO</w:t>
            </w:r>
          </w:p>
        </w:tc>
        <w:tc>
          <w:tcPr>
            <w:tcW w:w="1226" w:type="pct"/>
            <w:shd w:val="clear" w:color="auto" w:fill="auto"/>
            <w:noWrap/>
            <w:vAlign w:val="center"/>
          </w:tcPr>
          <w:p w14:paraId="54D12A9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5CCBDB">
            <w:pPr>
              <w:rPr>
                <w:rFonts w:cs="Times New Roman"/>
                <w:kern w:val="0"/>
                <w:sz w:val="20"/>
                <w:szCs w:val="20"/>
              </w:rPr>
            </w:pPr>
            <w:r>
              <w:rPr>
                <w:rFonts w:hint="eastAsia" w:cs="Times New Roman"/>
                <w:kern w:val="0"/>
                <w:sz w:val="20"/>
                <w:szCs w:val="20"/>
              </w:rPr>
              <w:t>XX</w:t>
            </w:r>
          </w:p>
        </w:tc>
      </w:tr>
      <w:tr w14:paraId="2FC88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7641103">
            <w:pPr>
              <w:rPr>
                <w:rFonts w:cs="Times New Roman"/>
                <w:kern w:val="0"/>
                <w:sz w:val="20"/>
                <w:szCs w:val="20"/>
              </w:rPr>
            </w:pPr>
            <w:r>
              <w:rPr>
                <w:rFonts w:cs="Times New Roman"/>
                <w:kern w:val="0"/>
                <w:sz w:val="20"/>
                <w:szCs w:val="20"/>
              </w:rPr>
              <w:t>CloudPay</w:t>
            </w:r>
          </w:p>
        </w:tc>
        <w:tc>
          <w:tcPr>
            <w:tcW w:w="1226" w:type="pct"/>
            <w:shd w:val="clear" w:color="auto" w:fill="auto"/>
            <w:noWrap/>
            <w:vAlign w:val="center"/>
          </w:tcPr>
          <w:p w14:paraId="54EDA8C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70004E">
            <w:pPr>
              <w:rPr>
                <w:rFonts w:cs="Times New Roman"/>
                <w:kern w:val="0"/>
                <w:sz w:val="20"/>
                <w:szCs w:val="20"/>
              </w:rPr>
            </w:pPr>
            <w:r>
              <w:rPr>
                <w:rFonts w:hint="eastAsia" w:cs="Times New Roman"/>
                <w:kern w:val="0"/>
                <w:sz w:val="20"/>
                <w:szCs w:val="20"/>
              </w:rPr>
              <w:t>XX</w:t>
            </w:r>
          </w:p>
        </w:tc>
      </w:tr>
      <w:tr w14:paraId="686471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A8C5BFA">
            <w:pPr>
              <w:rPr>
                <w:rFonts w:cs="Times New Roman"/>
                <w:kern w:val="0"/>
                <w:sz w:val="20"/>
                <w:szCs w:val="20"/>
              </w:rPr>
            </w:pPr>
            <w:r>
              <w:rPr>
                <w:rFonts w:cs="Times New Roman"/>
                <w:kern w:val="0"/>
                <w:sz w:val="20"/>
                <w:szCs w:val="20"/>
              </w:rPr>
              <w:t>Excelity</w:t>
            </w:r>
          </w:p>
        </w:tc>
        <w:tc>
          <w:tcPr>
            <w:tcW w:w="1226" w:type="pct"/>
            <w:shd w:val="clear" w:color="auto" w:fill="auto"/>
            <w:noWrap/>
            <w:vAlign w:val="center"/>
          </w:tcPr>
          <w:p w14:paraId="35B169A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22DF6DD">
            <w:pPr>
              <w:rPr>
                <w:rFonts w:cs="Times New Roman"/>
                <w:kern w:val="0"/>
                <w:sz w:val="20"/>
                <w:szCs w:val="20"/>
              </w:rPr>
            </w:pPr>
            <w:r>
              <w:rPr>
                <w:rFonts w:hint="eastAsia" w:cs="Times New Roman"/>
                <w:kern w:val="0"/>
                <w:sz w:val="20"/>
                <w:szCs w:val="20"/>
              </w:rPr>
              <w:t>XX</w:t>
            </w:r>
          </w:p>
        </w:tc>
      </w:tr>
      <w:tr w14:paraId="5F11E4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050CD04">
            <w:pPr>
              <w:rPr>
                <w:rFonts w:cs="Times New Roman"/>
                <w:kern w:val="0"/>
                <w:sz w:val="20"/>
                <w:szCs w:val="20"/>
              </w:rPr>
            </w:pPr>
            <w:r>
              <w:rPr>
                <w:rFonts w:cs="Times New Roman"/>
                <w:kern w:val="0"/>
                <w:sz w:val="20"/>
                <w:szCs w:val="20"/>
              </w:rPr>
              <w:t>i-Admin</w:t>
            </w:r>
          </w:p>
        </w:tc>
        <w:tc>
          <w:tcPr>
            <w:tcW w:w="1226" w:type="pct"/>
            <w:shd w:val="clear" w:color="auto" w:fill="auto"/>
            <w:noWrap/>
            <w:vAlign w:val="center"/>
          </w:tcPr>
          <w:p w14:paraId="66D60A7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5D36F3">
            <w:pPr>
              <w:rPr>
                <w:rFonts w:cs="Times New Roman"/>
                <w:kern w:val="0"/>
                <w:sz w:val="20"/>
                <w:szCs w:val="20"/>
              </w:rPr>
            </w:pPr>
            <w:r>
              <w:rPr>
                <w:rFonts w:hint="eastAsia" w:cs="Times New Roman"/>
                <w:kern w:val="0"/>
                <w:sz w:val="20"/>
                <w:szCs w:val="20"/>
              </w:rPr>
              <w:t>XX</w:t>
            </w:r>
          </w:p>
        </w:tc>
      </w:tr>
      <w:tr w14:paraId="60220F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4C758690">
            <w:pPr>
              <w:rPr>
                <w:rFonts w:cs="Times New Roman"/>
                <w:kern w:val="0"/>
                <w:sz w:val="20"/>
                <w:szCs w:val="20"/>
              </w:rPr>
            </w:pPr>
            <w:r>
              <w:rPr>
                <w:rFonts w:cs="Times New Roman"/>
                <w:kern w:val="0"/>
                <w:sz w:val="20"/>
                <w:szCs w:val="20"/>
              </w:rPr>
              <w:t>TriNet</w:t>
            </w:r>
          </w:p>
        </w:tc>
        <w:tc>
          <w:tcPr>
            <w:tcW w:w="1226" w:type="pct"/>
            <w:shd w:val="clear" w:color="auto" w:fill="auto"/>
            <w:noWrap/>
            <w:vAlign w:val="center"/>
          </w:tcPr>
          <w:p w14:paraId="53B80F0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725CC79">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21583903"/>
      <w:bookmarkStart w:id="120" w:name="_Toc167094641"/>
      <w:r>
        <w:rPr>
          <w:rFonts w:hint="eastAsia"/>
        </w:rPr>
        <w:t>主要厂商</w:t>
      </w:r>
      <w:r>
        <w:t>工资外包服务</w:t>
      </w:r>
      <w:r>
        <w:rPr>
          <w:rFonts w:hint="eastAsia"/>
        </w:rPr>
        <w:t>产品类型及应用</w:t>
      </w:r>
      <w:bookmarkEnd w:id="119"/>
      <w:bookmarkEnd w:id="120"/>
    </w:p>
    <w:p w14:paraId="33F81C1C">
      <w:pPr>
        <w:pStyle w:val="132"/>
        <w:ind w:left="252" w:right="-105"/>
      </w:pPr>
      <w:bookmarkStart w:id="121" w:name="_Toc167094566"/>
      <w:bookmarkStart w:id="122" w:name="_Toc121583635"/>
      <w:r>
        <w:rPr>
          <w:rFonts w:hint="eastAsia"/>
        </w:rPr>
        <w:t>主要厂商工资外包服务产品类型及应用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ADP</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Sage</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Xerox</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Paychex</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Gusto</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Intuit</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Zalaris</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9FF7D5A">
            <w:pPr>
              <w:rPr>
                <w:rFonts w:cs="Times New Roman"/>
                <w:kern w:val="0"/>
                <w:sz w:val="20"/>
                <w:szCs w:val="20"/>
              </w:rPr>
            </w:pPr>
            <w:r>
              <w:rPr>
                <w:rFonts w:cs="Times New Roman"/>
                <w:kern w:val="0"/>
                <w:sz w:val="20"/>
                <w:szCs w:val="20"/>
              </w:rPr>
              <w:t>Infosys</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r w14:paraId="5016D1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ED57F7">
            <w:pPr>
              <w:rPr>
                <w:rFonts w:cs="Times New Roman"/>
                <w:kern w:val="0"/>
                <w:sz w:val="20"/>
                <w:szCs w:val="20"/>
              </w:rPr>
            </w:pPr>
            <w:r>
              <w:rPr>
                <w:rFonts w:cs="Times New Roman"/>
                <w:kern w:val="0"/>
                <w:sz w:val="20"/>
                <w:szCs w:val="20"/>
              </w:rPr>
              <w:t>KPMG</w:t>
            </w:r>
          </w:p>
        </w:tc>
        <w:tc>
          <w:tcPr>
            <w:tcW w:w="1226" w:type="pct"/>
            <w:shd w:val="clear" w:color="auto" w:fill="auto"/>
            <w:noWrap/>
            <w:vAlign w:val="center"/>
          </w:tcPr>
          <w:p w14:paraId="69548FB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1A82BF">
            <w:pPr>
              <w:rPr>
                <w:rFonts w:cs="Times New Roman"/>
                <w:kern w:val="0"/>
                <w:sz w:val="20"/>
                <w:szCs w:val="20"/>
              </w:rPr>
            </w:pPr>
            <w:r>
              <w:rPr>
                <w:rFonts w:hint="eastAsia" w:cs="Times New Roman"/>
                <w:kern w:val="0"/>
                <w:sz w:val="20"/>
                <w:szCs w:val="20"/>
              </w:rPr>
              <w:t>XX</w:t>
            </w:r>
          </w:p>
        </w:tc>
      </w:tr>
      <w:tr w14:paraId="2987F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6787542">
            <w:pPr>
              <w:rPr>
                <w:rFonts w:cs="Times New Roman"/>
                <w:kern w:val="0"/>
                <w:sz w:val="20"/>
                <w:szCs w:val="20"/>
              </w:rPr>
            </w:pPr>
            <w:r>
              <w:rPr>
                <w:rFonts w:cs="Times New Roman"/>
                <w:kern w:val="0"/>
                <w:sz w:val="20"/>
                <w:szCs w:val="20"/>
              </w:rPr>
              <w:t>Vision H.R.</w:t>
            </w:r>
          </w:p>
        </w:tc>
        <w:tc>
          <w:tcPr>
            <w:tcW w:w="1226" w:type="pct"/>
            <w:shd w:val="clear" w:color="auto" w:fill="auto"/>
            <w:noWrap/>
            <w:vAlign w:val="center"/>
          </w:tcPr>
          <w:p w14:paraId="263730A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E52620B">
            <w:pPr>
              <w:rPr>
                <w:rFonts w:cs="Times New Roman"/>
                <w:kern w:val="0"/>
                <w:sz w:val="20"/>
                <w:szCs w:val="20"/>
              </w:rPr>
            </w:pPr>
            <w:r>
              <w:rPr>
                <w:rFonts w:hint="eastAsia" w:cs="Times New Roman"/>
                <w:kern w:val="0"/>
                <w:sz w:val="20"/>
                <w:szCs w:val="20"/>
              </w:rPr>
              <w:t>XX</w:t>
            </w:r>
          </w:p>
        </w:tc>
      </w:tr>
      <w:tr w14:paraId="1A851D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875C">
            <w:pPr>
              <w:rPr>
                <w:rFonts w:cs="Times New Roman"/>
                <w:kern w:val="0"/>
                <w:sz w:val="20"/>
                <w:szCs w:val="20"/>
              </w:rPr>
            </w:pPr>
            <w:r>
              <w:rPr>
                <w:rFonts w:cs="Times New Roman"/>
                <w:kern w:val="0"/>
                <w:sz w:val="20"/>
                <w:szCs w:val="20"/>
              </w:rPr>
              <w:t>Deloitte</w:t>
            </w:r>
          </w:p>
        </w:tc>
        <w:tc>
          <w:tcPr>
            <w:tcW w:w="1226" w:type="pct"/>
            <w:shd w:val="clear" w:color="auto" w:fill="auto"/>
            <w:noWrap/>
            <w:vAlign w:val="center"/>
          </w:tcPr>
          <w:p w14:paraId="0395AD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031332E">
            <w:pPr>
              <w:rPr>
                <w:rFonts w:cs="Times New Roman"/>
                <w:kern w:val="0"/>
                <w:sz w:val="20"/>
                <w:szCs w:val="20"/>
              </w:rPr>
            </w:pPr>
            <w:r>
              <w:rPr>
                <w:rFonts w:hint="eastAsia" w:cs="Times New Roman"/>
                <w:kern w:val="0"/>
                <w:sz w:val="20"/>
                <w:szCs w:val="20"/>
              </w:rPr>
              <w:t>XX</w:t>
            </w:r>
          </w:p>
        </w:tc>
      </w:tr>
      <w:tr w14:paraId="3C217B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C82915">
            <w:pPr>
              <w:rPr>
                <w:rFonts w:cs="Times New Roman"/>
                <w:kern w:val="0"/>
                <w:sz w:val="20"/>
                <w:szCs w:val="20"/>
              </w:rPr>
            </w:pPr>
            <w:r>
              <w:rPr>
                <w:rFonts w:cs="Times New Roman"/>
                <w:kern w:val="0"/>
                <w:sz w:val="20"/>
                <w:szCs w:val="20"/>
              </w:rPr>
              <w:t>Aurion</w:t>
            </w:r>
          </w:p>
        </w:tc>
        <w:tc>
          <w:tcPr>
            <w:tcW w:w="1226" w:type="pct"/>
            <w:shd w:val="clear" w:color="auto" w:fill="auto"/>
            <w:noWrap/>
            <w:vAlign w:val="center"/>
          </w:tcPr>
          <w:p w14:paraId="3CDCF61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3D92307">
            <w:pPr>
              <w:rPr>
                <w:rFonts w:cs="Times New Roman"/>
                <w:kern w:val="0"/>
                <w:sz w:val="20"/>
                <w:szCs w:val="20"/>
              </w:rPr>
            </w:pPr>
            <w:r>
              <w:rPr>
                <w:rFonts w:hint="eastAsia" w:cs="Times New Roman"/>
                <w:kern w:val="0"/>
                <w:sz w:val="20"/>
                <w:szCs w:val="20"/>
              </w:rPr>
              <w:t>XX</w:t>
            </w:r>
          </w:p>
        </w:tc>
      </w:tr>
      <w:tr w14:paraId="7637C2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B7DE55F">
            <w:pPr>
              <w:rPr>
                <w:rFonts w:cs="Times New Roman"/>
                <w:kern w:val="0"/>
                <w:sz w:val="20"/>
                <w:szCs w:val="20"/>
              </w:rPr>
            </w:pPr>
            <w:r>
              <w:rPr>
                <w:rFonts w:cs="Times New Roman"/>
                <w:kern w:val="0"/>
                <w:sz w:val="20"/>
                <w:szCs w:val="20"/>
              </w:rPr>
              <w:t>Activpayroll</w:t>
            </w:r>
          </w:p>
        </w:tc>
        <w:tc>
          <w:tcPr>
            <w:tcW w:w="1226" w:type="pct"/>
            <w:shd w:val="clear" w:color="auto" w:fill="auto"/>
            <w:noWrap/>
            <w:vAlign w:val="center"/>
          </w:tcPr>
          <w:p w14:paraId="57D570C9">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254B1DA">
            <w:pPr>
              <w:rPr>
                <w:rFonts w:cs="Times New Roman"/>
                <w:kern w:val="0"/>
                <w:sz w:val="20"/>
                <w:szCs w:val="20"/>
              </w:rPr>
            </w:pPr>
            <w:r>
              <w:rPr>
                <w:rFonts w:hint="eastAsia" w:cs="Times New Roman"/>
                <w:kern w:val="0"/>
                <w:sz w:val="20"/>
                <w:szCs w:val="20"/>
              </w:rPr>
              <w:t>XX</w:t>
            </w:r>
          </w:p>
        </w:tc>
      </w:tr>
      <w:tr w14:paraId="217B9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41D307D">
            <w:pPr>
              <w:rPr>
                <w:rFonts w:cs="Times New Roman"/>
                <w:kern w:val="0"/>
                <w:sz w:val="20"/>
                <w:szCs w:val="20"/>
              </w:rPr>
            </w:pPr>
            <w:r>
              <w:rPr>
                <w:rFonts w:cs="Times New Roman"/>
                <w:kern w:val="0"/>
                <w:sz w:val="20"/>
                <w:szCs w:val="20"/>
              </w:rPr>
              <w:t>Immedis</w:t>
            </w:r>
          </w:p>
        </w:tc>
        <w:tc>
          <w:tcPr>
            <w:tcW w:w="1226" w:type="pct"/>
            <w:shd w:val="clear" w:color="auto" w:fill="auto"/>
            <w:noWrap/>
            <w:vAlign w:val="center"/>
          </w:tcPr>
          <w:p w14:paraId="7EDA004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C4A8276">
            <w:pPr>
              <w:rPr>
                <w:rFonts w:cs="Times New Roman"/>
                <w:kern w:val="0"/>
                <w:sz w:val="20"/>
                <w:szCs w:val="20"/>
              </w:rPr>
            </w:pPr>
            <w:r>
              <w:rPr>
                <w:rFonts w:hint="eastAsia" w:cs="Times New Roman"/>
                <w:kern w:val="0"/>
                <w:sz w:val="20"/>
                <w:szCs w:val="20"/>
              </w:rPr>
              <w:t>XX</w:t>
            </w:r>
          </w:p>
        </w:tc>
      </w:tr>
      <w:tr w14:paraId="324801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E9CA878">
            <w:pPr>
              <w:rPr>
                <w:rFonts w:cs="Times New Roman"/>
                <w:kern w:val="0"/>
                <w:sz w:val="20"/>
                <w:szCs w:val="20"/>
              </w:rPr>
            </w:pPr>
            <w:r>
              <w:rPr>
                <w:rFonts w:cs="Times New Roman"/>
                <w:kern w:val="0"/>
                <w:sz w:val="20"/>
                <w:szCs w:val="20"/>
              </w:rPr>
              <w:t>Ascender</w:t>
            </w:r>
          </w:p>
        </w:tc>
        <w:tc>
          <w:tcPr>
            <w:tcW w:w="1226" w:type="pct"/>
            <w:shd w:val="clear" w:color="auto" w:fill="auto"/>
            <w:noWrap/>
            <w:vAlign w:val="center"/>
          </w:tcPr>
          <w:p w14:paraId="7AF7D19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30916F">
            <w:pPr>
              <w:rPr>
                <w:rFonts w:cs="Times New Roman"/>
                <w:kern w:val="0"/>
                <w:sz w:val="20"/>
                <w:szCs w:val="20"/>
              </w:rPr>
            </w:pPr>
            <w:r>
              <w:rPr>
                <w:rFonts w:hint="eastAsia" w:cs="Times New Roman"/>
                <w:kern w:val="0"/>
                <w:sz w:val="20"/>
                <w:szCs w:val="20"/>
              </w:rPr>
              <w:t>XX</w:t>
            </w:r>
          </w:p>
        </w:tc>
      </w:tr>
      <w:tr w14:paraId="19CE3F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F66C6BC">
            <w:pPr>
              <w:rPr>
                <w:rFonts w:cs="Times New Roman"/>
                <w:kern w:val="0"/>
                <w:sz w:val="20"/>
                <w:szCs w:val="20"/>
              </w:rPr>
            </w:pPr>
            <w:r>
              <w:rPr>
                <w:rFonts w:cs="Times New Roman"/>
                <w:kern w:val="0"/>
                <w:sz w:val="20"/>
                <w:szCs w:val="20"/>
              </w:rPr>
              <w:t>NGA HR</w:t>
            </w:r>
          </w:p>
        </w:tc>
        <w:tc>
          <w:tcPr>
            <w:tcW w:w="1226" w:type="pct"/>
            <w:shd w:val="clear" w:color="auto" w:fill="auto"/>
            <w:noWrap/>
            <w:vAlign w:val="center"/>
          </w:tcPr>
          <w:p w14:paraId="74E2D304">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C62D8D">
            <w:pPr>
              <w:rPr>
                <w:rFonts w:cs="Times New Roman"/>
                <w:kern w:val="0"/>
                <w:sz w:val="20"/>
                <w:szCs w:val="20"/>
              </w:rPr>
            </w:pPr>
            <w:r>
              <w:rPr>
                <w:rFonts w:hint="eastAsia" w:cs="Times New Roman"/>
                <w:kern w:val="0"/>
                <w:sz w:val="20"/>
                <w:szCs w:val="20"/>
              </w:rPr>
              <w:t>XX</w:t>
            </w:r>
          </w:p>
        </w:tc>
      </w:tr>
      <w:tr w14:paraId="34B48B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86DDEAA">
            <w:pPr>
              <w:rPr>
                <w:rFonts w:cs="Times New Roman"/>
                <w:kern w:val="0"/>
                <w:sz w:val="20"/>
                <w:szCs w:val="20"/>
              </w:rPr>
            </w:pPr>
            <w:r>
              <w:rPr>
                <w:rFonts w:cs="Times New Roman"/>
                <w:kern w:val="0"/>
                <w:sz w:val="20"/>
                <w:szCs w:val="20"/>
              </w:rPr>
              <w:t>Neeyamo</w:t>
            </w:r>
          </w:p>
        </w:tc>
        <w:tc>
          <w:tcPr>
            <w:tcW w:w="1226" w:type="pct"/>
            <w:shd w:val="clear" w:color="auto" w:fill="auto"/>
            <w:noWrap/>
            <w:vAlign w:val="center"/>
          </w:tcPr>
          <w:p w14:paraId="4A03DB2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0FC28C3">
            <w:pPr>
              <w:rPr>
                <w:rFonts w:cs="Times New Roman"/>
                <w:kern w:val="0"/>
                <w:sz w:val="20"/>
                <w:szCs w:val="20"/>
              </w:rPr>
            </w:pPr>
            <w:r>
              <w:rPr>
                <w:rFonts w:hint="eastAsia" w:cs="Times New Roman"/>
                <w:kern w:val="0"/>
                <w:sz w:val="20"/>
                <w:szCs w:val="20"/>
              </w:rPr>
              <w:t>XX</w:t>
            </w:r>
          </w:p>
        </w:tc>
      </w:tr>
      <w:tr w14:paraId="0696F9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D547145">
            <w:pPr>
              <w:rPr>
                <w:rFonts w:cs="Times New Roman"/>
                <w:kern w:val="0"/>
                <w:sz w:val="20"/>
                <w:szCs w:val="20"/>
              </w:rPr>
            </w:pPr>
            <w:r>
              <w:rPr>
                <w:rFonts w:cs="Times New Roman"/>
                <w:kern w:val="0"/>
                <w:sz w:val="20"/>
                <w:szCs w:val="20"/>
              </w:rPr>
              <w:t>BDO</w:t>
            </w:r>
          </w:p>
        </w:tc>
        <w:tc>
          <w:tcPr>
            <w:tcW w:w="1226" w:type="pct"/>
            <w:shd w:val="clear" w:color="auto" w:fill="auto"/>
            <w:noWrap/>
            <w:vAlign w:val="center"/>
          </w:tcPr>
          <w:p w14:paraId="7B8A13CB">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B2647A2">
            <w:pPr>
              <w:rPr>
                <w:rFonts w:cs="Times New Roman"/>
                <w:kern w:val="0"/>
                <w:sz w:val="20"/>
                <w:szCs w:val="20"/>
              </w:rPr>
            </w:pPr>
            <w:r>
              <w:rPr>
                <w:rFonts w:hint="eastAsia" w:cs="Times New Roman"/>
                <w:kern w:val="0"/>
                <w:sz w:val="20"/>
                <w:szCs w:val="20"/>
              </w:rPr>
              <w:t>XX</w:t>
            </w:r>
          </w:p>
        </w:tc>
      </w:tr>
      <w:tr w14:paraId="67E60D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8ED9F40">
            <w:pPr>
              <w:rPr>
                <w:rFonts w:cs="Times New Roman"/>
                <w:kern w:val="0"/>
                <w:sz w:val="20"/>
                <w:szCs w:val="20"/>
              </w:rPr>
            </w:pPr>
            <w:r>
              <w:rPr>
                <w:rFonts w:cs="Times New Roman"/>
                <w:kern w:val="0"/>
                <w:sz w:val="20"/>
                <w:szCs w:val="20"/>
              </w:rPr>
              <w:t>CloudPay</w:t>
            </w:r>
          </w:p>
        </w:tc>
        <w:tc>
          <w:tcPr>
            <w:tcW w:w="1226" w:type="pct"/>
            <w:shd w:val="clear" w:color="auto" w:fill="auto"/>
            <w:noWrap/>
            <w:vAlign w:val="center"/>
          </w:tcPr>
          <w:p w14:paraId="7F03439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B452D42">
            <w:pPr>
              <w:rPr>
                <w:rFonts w:cs="Times New Roman"/>
                <w:kern w:val="0"/>
                <w:sz w:val="20"/>
                <w:szCs w:val="20"/>
              </w:rPr>
            </w:pPr>
            <w:r>
              <w:rPr>
                <w:rFonts w:hint="eastAsia" w:cs="Times New Roman"/>
                <w:kern w:val="0"/>
                <w:sz w:val="20"/>
                <w:szCs w:val="20"/>
              </w:rPr>
              <w:t>XX</w:t>
            </w:r>
          </w:p>
        </w:tc>
      </w:tr>
      <w:tr w14:paraId="1DD3E5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F9BF1E4">
            <w:pPr>
              <w:rPr>
                <w:rFonts w:cs="Times New Roman"/>
                <w:kern w:val="0"/>
                <w:sz w:val="20"/>
                <w:szCs w:val="20"/>
              </w:rPr>
            </w:pPr>
            <w:r>
              <w:rPr>
                <w:rFonts w:cs="Times New Roman"/>
                <w:kern w:val="0"/>
                <w:sz w:val="20"/>
                <w:szCs w:val="20"/>
              </w:rPr>
              <w:t>Excelity</w:t>
            </w:r>
          </w:p>
        </w:tc>
        <w:tc>
          <w:tcPr>
            <w:tcW w:w="1226" w:type="pct"/>
            <w:shd w:val="clear" w:color="auto" w:fill="auto"/>
            <w:noWrap/>
            <w:vAlign w:val="center"/>
          </w:tcPr>
          <w:p w14:paraId="1C9BA5C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327C36">
            <w:pPr>
              <w:rPr>
                <w:rFonts w:cs="Times New Roman"/>
                <w:kern w:val="0"/>
                <w:sz w:val="20"/>
                <w:szCs w:val="20"/>
              </w:rPr>
            </w:pPr>
            <w:r>
              <w:rPr>
                <w:rFonts w:hint="eastAsia" w:cs="Times New Roman"/>
                <w:kern w:val="0"/>
                <w:sz w:val="20"/>
                <w:szCs w:val="20"/>
              </w:rPr>
              <w:t>XX</w:t>
            </w:r>
          </w:p>
        </w:tc>
      </w:tr>
      <w:tr w14:paraId="71559E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200C2C">
            <w:pPr>
              <w:rPr>
                <w:rFonts w:cs="Times New Roman"/>
                <w:kern w:val="0"/>
                <w:sz w:val="20"/>
                <w:szCs w:val="20"/>
              </w:rPr>
            </w:pPr>
            <w:r>
              <w:rPr>
                <w:rFonts w:cs="Times New Roman"/>
                <w:kern w:val="0"/>
                <w:sz w:val="20"/>
                <w:szCs w:val="20"/>
              </w:rPr>
              <w:t>i-Admin</w:t>
            </w:r>
          </w:p>
        </w:tc>
        <w:tc>
          <w:tcPr>
            <w:tcW w:w="1226" w:type="pct"/>
            <w:shd w:val="clear" w:color="auto" w:fill="auto"/>
            <w:noWrap/>
            <w:vAlign w:val="center"/>
          </w:tcPr>
          <w:p w14:paraId="197FCF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744469B">
            <w:pPr>
              <w:rPr>
                <w:rFonts w:cs="Times New Roman"/>
                <w:kern w:val="0"/>
                <w:sz w:val="20"/>
                <w:szCs w:val="20"/>
              </w:rPr>
            </w:pPr>
            <w:r>
              <w:rPr>
                <w:rFonts w:hint="eastAsia" w:cs="Times New Roman"/>
                <w:kern w:val="0"/>
                <w:sz w:val="20"/>
                <w:szCs w:val="20"/>
              </w:rPr>
              <w:t>XX</w:t>
            </w:r>
          </w:p>
        </w:tc>
      </w:tr>
      <w:tr w14:paraId="1A259E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7CA4ACFA">
            <w:pPr>
              <w:rPr>
                <w:rFonts w:cs="Times New Roman"/>
                <w:kern w:val="0"/>
                <w:sz w:val="20"/>
                <w:szCs w:val="20"/>
              </w:rPr>
            </w:pPr>
            <w:r>
              <w:rPr>
                <w:rFonts w:cs="Times New Roman"/>
                <w:kern w:val="0"/>
                <w:sz w:val="20"/>
                <w:szCs w:val="20"/>
              </w:rPr>
              <w:t>TriNet</w:t>
            </w:r>
          </w:p>
        </w:tc>
        <w:tc>
          <w:tcPr>
            <w:tcW w:w="1226" w:type="pct"/>
            <w:shd w:val="clear" w:color="auto" w:fill="auto"/>
            <w:noWrap/>
            <w:vAlign w:val="center"/>
          </w:tcPr>
          <w:p w14:paraId="548CE7C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3CA4D253">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欧洲市场工资外包服务竞争格局</w:t>
      </w:r>
      <w:bookmarkEnd w:id="123"/>
    </w:p>
    <w:bookmarkEnd w:id="111"/>
    <w:bookmarkEnd w:id="112"/>
    <w:bookmarkEnd w:id="113"/>
    <w:p w14:paraId="34DB39B1">
      <w:pPr>
        <w:pStyle w:val="4"/>
      </w:pPr>
      <w:bookmarkStart w:id="124" w:name="_Toc167094643"/>
      <w:r>
        <w:rPr>
          <w:rFonts w:hint="eastAsia"/>
        </w:rPr>
        <w:t>欧洲市场主要厂商</w:t>
      </w:r>
      <w:r>
        <w:t>工资外包服务</w:t>
      </w:r>
      <w:r>
        <w:rPr>
          <w:rFonts w:hint="eastAsia"/>
        </w:rPr>
        <w:t>销量（2019-2024）</w:t>
      </w:r>
      <w:bookmarkEnd w:id="124"/>
    </w:p>
    <w:p w14:paraId="59411297">
      <w:pPr>
        <w:pStyle w:val="132"/>
        <w:ind w:left="252" w:right="-105"/>
      </w:pPr>
      <w:bookmarkStart w:id="125" w:name="_Toc24028913"/>
      <w:bookmarkStart w:id="126" w:name="_Toc26780069"/>
      <w:bookmarkStart w:id="127" w:name="_Toc167094567"/>
      <w:bookmarkStart w:id="128" w:name="_Toc121583627"/>
      <w:r>
        <w:rPr>
          <w:rFonts w:hint="eastAsia"/>
        </w:rPr>
        <w:t>欧洲市场主要厂商</w:t>
      </w:r>
      <w:r>
        <w:t>工资外包服务</w:t>
      </w:r>
      <w:r>
        <w:rPr>
          <w:rFonts w:hint="eastAsia"/>
        </w:rPr>
        <w:t>销量</w:t>
      </w:r>
      <w:bookmarkEnd w:id="125"/>
      <w:bookmarkEnd w:id="126"/>
      <w:r>
        <w:rPr>
          <w:rFonts w:hint="eastAsia"/>
        </w:rPr>
        <w:t>（2019-2024）&amp;（千件）</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ADP</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Sage</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Xerox</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Paychex</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Gusto</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Intuit</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Zalaris</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CD3E588">
            <w:pPr>
              <w:pStyle w:val="149"/>
              <w:widowControl w:val="0"/>
              <w:jc w:val="both"/>
              <w:rPr>
                <w:rFonts w:cs="Times New Roman"/>
                <w:sz w:val="20"/>
              </w:rPr>
            </w:pPr>
            <w:r>
              <w:rPr>
                <w:rFonts w:cs="Times New Roman"/>
                <w:sz w:val="20"/>
              </w:rPr>
              <w:t>Infosys</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6B8EC6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2A5FCB4">
            <w:pPr>
              <w:pStyle w:val="149"/>
              <w:widowControl w:val="0"/>
              <w:jc w:val="both"/>
              <w:rPr>
                <w:rFonts w:cs="Times New Roman"/>
                <w:sz w:val="20"/>
              </w:rPr>
            </w:pPr>
            <w:r>
              <w:rPr>
                <w:rFonts w:cs="Times New Roman"/>
                <w:sz w:val="20"/>
              </w:rPr>
              <w:t>KPMG</w:t>
            </w:r>
          </w:p>
        </w:tc>
        <w:tc>
          <w:tcPr>
            <w:tcW w:w="606" w:type="pct"/>
            <w:shd w:val="clear" w:color="auto" w:fill="auto"/>
            <w:vAlign w:val="center"/>
          </w:tcPr>
          <w:p w14:paraId="64DC6F7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7ADF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DEA37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322BE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DCB19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A4FD1C">
            <w:pPr>
              <w:pStyle w:val="149"/>
              <w:widowControl w:val="0"/>
              <w:jc w:val="right"/>
              <w:rPr>
                <w:rFonts w:cs="Times New Roman"/>
                <w:sz w:val="20"/>
              </w:rPr>
            </w:pPr>
            <w:r>
              <w:rPr>
                <w:rFonts w:hint="eastAsia" w:cs="Times New Roman"/>
                <w:sz w:val="20"/>
              </w:rPr>
              <w:t>XX</w:t>
            </w:r>
          </w:p>
        </w:tc>
      </w:tr>
      <w:tr w14:paraId="30A11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5F72754C">
            <w:pPr>
              <w:pStyle w:val="149"/>
              <w:widowControl w:val="0"/>
              <w:jc w:val="both"/>
              <w:rPr>
                <w:rFonts w:cs="Times New Roman"/>
                <w:sz w:val="20"/>
              </w:rPr>
            </w:pPr>
            <w:r>
              <w:rPr>
                <w:rFonts w:cs="Times New Roman"/>
                <w:sz w:val="20"/>
              </w:rPr>
              <w:t>Vision H.R.</w:t>
            </w:r>
          </w:p>
        </w:tc>
        <w:tc>
          <w:tcPr>
            <w:tcW w:w="606" w:type="pct"/>
            <w:shd w:val="clear" w:color="auto" w:fill="auto"/>
            <w:vAlign w:val="center"/>
          </w:tcPr>
          <w:p w14:paraId="450AC0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8898FD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5F91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4E918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A319DE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C840ADA">
            <w:pPr>
              <w:pStyle w:val="149"/>
              <w:widowControl w:val="0"/>
              <w:jc w:val="right"/>
              <w:rPr>
                <w:rFonts w:cs="Times New Roman"/>
                <w:sz w:val="20"/>
              </w:rPr>
            </w:pPr>
            <w:r>
              <w:rPr>
                <w:rFonts w:hint="eastAsia" w:cs="Times New Roman"/>
                <w:sz w:val="20"/>
              </w:rPr>
              <w:t>XX</w:t>
            </w:r>
          </w:p>
        </w:tc>
      </w:tr>
      <w:tr w14:paraId="41FE7F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ECE33B0">
            <w:pPr>
              <w:pStyle w:val="149"/>
              <w:widowControl w:val="0"/>
              <w:jc w:val="both"/>
              <w:rPr>
                <w:rFonts w:cs="Times New Roman"/>
                <w:sz w:val="20"/>
              </w:rPr>
            </w:pPr>
            <w:r>
              <w:rPr>
                <w:rFonts w:cs="Times New Roman"/>
                <w:sz w:val="20"/>
              </w:rPr>
              <w:t>Deloitte</w:t>
            </w:r>
          </w:p>
        </w:tc>
        <w:tc>
          <w:tcPr>
            <w:tcW w:w="606" w:type="pct"/>
            <w:shd w:val="clear" w:color="auto" w:fill="auto"/>
            <w:vAlign w:val="center"/>
          </w:tcPr>
          <w:p w14:paraId="37A1B5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1ACF82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B84D2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597D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4F84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9ECBD6">
            <w:pPr>
              <w:pStyle w:val="149"/>
              <w:widowControl w:val="0"/>
              <w:jc w:val="right"/>
              <w:rPr>
                <w:rFonts w:cs="Times New Roman"/>
                <w:sz w:val="20"/>
              </w:rPr>
            </w:pPr>
            <w:r>
              <w:rPr>
                <w:rFonts w:hint="eastAsia" w:cs="Times New Roman"/>
                <w:sz w:val="20"/>
              </w:rPr>
              <w:t>XX</w:t>
            </w:r>
          </w:p>
        </w:tc>
      </w:tr>
      <w:tr w14:paraId="608E9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B5CD2F0">
            <w:pPr>
              <w:pStyle w:val="149"/>
              <w:widowControl w:val="0"/>
              <w:jc w:val="both"/>
              <w:rPr>
                <w:rFonts w:cs="Times New Roman"/>
                <w:sz w:val="20"/>
              </w:rPr>
            </w:pPr>
            <w:r>
              <w:rPr>
                <w:rFonts w:cs="Times New Roman"/>
                <w:sz w:val="20"/>
              </w:rPr>
              <w:t>Aurion</w:t>
            </w:r>
          </w:p>
        </w:tc>
        <w:tc>
          <w:tcPr>
            <w:tcW w:w="606" w:type="pct"/>
            <w:shd w:val="clear" w:color="auto" w:fill="auto"/>
            <w:vAlign w:val="center"/>
          </w:tcPr>
          <w:p w14:paraId="13152A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E07F2B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F6BB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95744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D9BA7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4C963">
            <w:pPr>
              <w:pStyle w:val="149"/>
              <w:widowControl w:val="0"/>
              <w:jc w:val="right"/>
              <w:rPr>
                <w:rFonts w:cs="Times New Roman"/>
                <w:sz w:val="20"/>
              </w:rPr>
            </w:pPr>
            <w:r>
              <w:rPr>
                <w:rFonts w:hint="eastAsia" w:cs="Times New Roman"/>
                <w:sz w:val="20"/>
              </w:rPr>
              <w:t>XX</w:t>
            </w:r>
          </w:p>
        </w:tc>
      </w:tr>
      <w:tr w14:paraId="6C8F44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8C76D8A">
            <w:pPr>
              <w:pStyle w:val="149"/>
              <w:widowControl w:val="0"/>
              <w:jc w:val="both"/>
              <w:rPr>
                <w:rFonts w:cs="Times New Roman"/>
                <w:sz w:val="20"/>
              </w:rPr>
            </w:pPr>
            <w:r>
              <w:rPr>
                <w:rFonts w:cs="Times New Roman"/>
                <w:sz w:val="20"/>
              </w:rPr>
              <w:t>Activpayroll</w:t>
            </w:r>
          </w:p>
        </w:tc>
        <w:tc>
          <w:tcPr>
            <w:tcW w:w="606" w:type="pct"/>
            <w:shd w:val="clear" w:color="auto" w:fill="auto"/>
            <w:vAlign w:val="center"/>
          </w:tcPr>
          <w:p w14:paraId="75C22ED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58B8A3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41CB3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1E3D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B3776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BC016B">
            <w:pPr>
              <w:pStyle w:val="149"/>
              <w:widowControl w:val="0"/>
              <w:jc w:val="right"/>
              <w:rPr>
                <w:rFonts w:cs="Times New Roman"/>
                <w:sz w:val="20"/>
              </w:rPr>
            </w:pPr>
            <w:r>
              <w:rPr>
                <w:rFonts w:hint="eastAsia" w:cs="Times New Roman"/>
                <w:sz w:val="20"/>
              </w:rPr>
              <w:t>XX</w:t>
            </w:r>
          </w:p>
        </w:tc>
      </w:tr>
      <w:tr w14:paraId="5CCE0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F43F283">
            <w:pPr>
              <w:pStyle w:val="149"/>
              <w:widowControl w:val="0"/>
              <w:jc w:val="both"/>
              <w:rPr>
                <w:rFonts w:cs="Times New Roman"/>
                <w:sz w:val="20"/>
              </w:rPr>
            </w:pPr>
            <w:r>
              <w:rPr>
                <w:rFonts w:cs="Times New Roman"/>
                <w:sz w:val="20"/>
              </w:rPr>
              <w:t>Immedis</w:t>
            </w:r>
          </w:p>
        </w:tc>
        <w:tc>
          <w:tcPr>
            <w:tcW w:w="606" w:type="pct"/>
            <w:shd w:val="clear" w:color="auto" w:fill="auto"/>
            <w:vAlign w:val="center"/>
          </w:tcPr>
          <w:p w14:paraId="7CBB69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CDB7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6C37D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A6B2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20AD6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2A9F2A2">
            <w:pPr>
              <w:pStyle w:val="149"/>
              <w:widowControl w:val="0"/>
              <w:jc w:val="right"/>
              <w:rPr>
                <w:rFonts w:cs="Times New Roman"/>
                <w:sz w:val="20"/>
              </w:rPr>
            </w:pPr>
            <w:r>
              <w:rPr>
                <w:rFonts w:hint="eastAsia" w:cs="Times New Roman"/>
                <w:sz w:val="20"/>
              </w:rPr>
              <w:t>XX</w:t>
            </w:r>
          </w:p>
        </w:tc>
      </w:tr>
      <w:tr w14:paraId="5E1D85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7157EA0">
            <w:pPr>
              <w:pStyle w:val="149"/>
              <w:widowControl w:val="0"/>
              <w:jc w:val="both"/>
              <w:rPr>
                <w:rFonts w:cs="Times New Roman"/>
                <w:sz w:val="20"/>
              </w:rPr>
            </w:pPr>
            <w:r>
              <w:rPr>
                <w:rFonts w:cs="Times New Roman"/>
                <w:sz w:val="20"/>
              </w:rPr>
              <w:t>Ascender</w:t>
            </w:r>
          </w:p>
        </w:tc>
        <w:tc>
          <w:tcPr>
            <w:tcW w:w="606" w:type="pct"/>
            <w:shd w:val="clear" w:color="auto" w:fill="auto"/>
            <w:vAlign w:val="center"/>
          </w:tcPr>
          <w:p w14:paraId="3EA7BAC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3B571C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D9F6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E26E3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FABDDF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F6F5BB2">
            <w:pPr>
              <w:pStyle w:val="149"/>
              <w:widowControl w:val="0"/>
              <w:jc w:val="right"/>
              <w:rPr>
                <w:rFonts w:cs="Times New Roman"/>
                <w:sz w:val="20"/>
              </w:rPr>
            </w:pPr>
            <w:r>
              <w:rPr>
                <w:rFonts w:hint="eastAsia" w:cs="Times New Roman"/>
                <w:sz w:val="20"/>
              </w:rPr>
              <w:t>XX</w:t>
            </w:r>
          </w:p>
        </w:tc>
      </w:tr>
      <w:tr w14:paraId="3DCE27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D84E3FD">
            <w:pPr>
              <w:pStyle w:val="149"/>
              <w:widowControl w:val="0"/>
              <w:jc w:val="both"/>
              <w:rPr>
                <w:rFonts w:cs="Times New Roman"/>
                <w:sz w:val="20"/>
              </w:rPr>
            </w:pPr>
            <w:r>
              <w:rPr>
                <w:rFonts w:cs="Times New Roman"/>
                <w:sz w:val="20"/>
              </w:rPr>
              <w:t>NGA HR</w:t>
            </w:r>
          </w:p>
        </w:tc>
        <w:tc>
          <w:tcPr>
            <w:tcW w:w="606" w:type="pct"/>
            <w:shd w:val="clear" w:color="auto" w:fill="auto"/>
            <w:vAlign w:val="center"/>
          </w:tcPr>
          <w:p w14:paraId="5E2B2C3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4C028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092ED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569A0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5F4FD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B87A4E8">
            <w:pPr>
              <w:pStyle w:val="149"/>
              <w:widowControl w:val="0"/>
              <w:jc w:val="right"/>
              <w:rPr>
                <w:rFonts w:cs="Times New Roman"/>
                <w:sz w:val="20"/>
              </w:rPr>
            </w:pPr>
            <w:r>
              <w:rPr>
                <w:rFonts w:hint="eastAsia" w:cs="Times New Roman"/>
                <w:sz w:val="20"/>
              </w:rPr>
              <w:t>XX</w:t>
            </w:r>
          </w:p>
        </w:tc>
      </w:tr>
      <w:tr w14:paraId="50A751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8BC3413">
            <w:pPr>
              <w:pStyle w:val="149"/>
              <w:widowControl w:val="0"/>
              <w:jc w:val="both"/>
              <w:rPr>
                <w:rFonts w:cs="Times New Roman"/>
                <w:sz w:val="20"/>
              </w:rPr>
            </w:pPr>
            <w:r>
              <w:rPr>
                <w:rFonts w:cs="Times New Roman"/>
                <w:sz w:val="20"/>
              </w:rPr>
              <w:t>Neeyamo</w:t>
            </w:r>
          </w:p>
        </w:tc>
        <w:tc>
          <w:tcPr>
            <w:tcW w:w="606" w:type="pct"/>
            <w:shd w:val="clear" w:color="auto" w:fill="auto"/>
            <w:vAlign w:val="center"/>
          </w:tcPr>
          <w:p w14:paraId="572692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DCB103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39306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0271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CDE65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D0B2C18">
            <w:pPr>
              <w:pStyle w:val="149"/>
              <w:widowControl w:val="0"/>
              <w:jc w:val="right"/>
              <w:rPr>
                <w:rFonts w:cs="Times New Roman"/>
                <w:sz w:val="20"/>
              </w:rPr>
            </w:pPr>
            <w:r>
              <w:rPr>
                <w:rFonts w:hint="eastAsia" w:cs="Times New Roman"/>
                <w:sz w:val="20"/>
              </w:rPr>
              <w:t>XX</w:t>
            </w:r>
          </w:p>
        </w:tc>
      </w:tr>
      <w:tr w14:paraId="441D59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FF2706">
            <w:pPr>
              <w:pStyle w:val="149"/>
              <w:widowControl w:val="0"/>
              <w:jc w:val="both"/>
              <w:rPr>
                <w:rFonts w:cs="Times New Roman"/>
                <w:sz w:val="20"/>
              </w:rPr>
            </w:pPr>
            <w:r>
              <w:rPr>
                <w:rFonts w:cs="Times New Roman"/>
                <w:sz w:val="20"/>
              </w:rPr>
              <w:t>BDO</w:t>
            </w:r>
          </w:p>
        </w:tc>
        <w:tc>
          <w:tcPr>
            <w:tcW w:w="606" w:type="pct"/>
            <w:shd w:val="clear" w:color="auto" w:fill="auto"/>
            <w:vAlign w:val="center"/>
          </w:tcPr>
          <w:p w14:paraId="0088EBE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FCF6EF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DFBB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2888A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30E85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F2045A9">
            <w:pPr>
              <w:pStyle w:val="149"/>
              <w:widowControl w:val="0"/>
              <w:jc w:val="right"/>
              <w:rPr>
                <w:rFonts w:cs="Times New Roman"/>
                <w:sz w:val="20"/>
              </w:rPr>
            </w:pPr>
            <w:r>
              <w:rPr>
                <w:rFonts w:hint="eastAsia" w:cs="Times New Roman"/>
                <w:sz w:val="20"/>
              </w:rPr>
              <w:t>XX</w:t>
            </w:r>
          </w:p>
        </w:tc>
      </w:tr>
      <w:tr w14:paraId="7B2317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056636">
            <w:pPr>
              <w:pStyle w:val="149"/>
              <w:widowControl w:val="0"/>
              <w:jc w:val="both"/>
              <w:rPr>
                <w:rFonts w:cs="Times New Roman"/>
                <w:sz w:val="20"/>
              </w:rPr>
            </w:pPr>
            <w:r>
              <w:rPr>
                <w:rFonts w:cs="Times New Roman"/>
                <w:sz w:val="20"/>
              </w:rPr>
              <w:t>CloudPay</w:t>
            </w:r>
          </w:p>
        </w:tc>
        <w:tc>
          <w:tcPr>
            <w:tcW w:w="606" w:type="pct"/>
            <w:shd w:val="clear" w:color="auto" w:fill="auto"/>
            <w:vAlign w:val="center"/>
          </w:tcPr>
          <w:p w14:paraId="2B2EF9D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43366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E7A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BF21A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A7BD78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C08DD6A">
            <w:pPr>
              <w:pStyle w:val="149"/>
              <w:widowControl w:val="0"/>
              <w:jc w:val="right"/>
              <w:rPr>
                <w:rFonts w:cs="Times New Roman"/>
                <w:sz w:val="20"/>
              </w:rPr>
            </w:pPr>
            <w:r>
              <w:rPr>
                <w:rFonts w:hint="eastAsia" w:cs="Times New Roman"/>
                <w:sz w:val="20"/>
              </w:rPr>
              <w:t>XX</w:t>
            </w:r>
          </w:p>
        </w:tc>
      </w:tr>
      <w:tr w14:paraId="3902C4B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C42DA0B">
            <w:pPr>
              <w:pStyle w:val="149"/>
              <w:widowControl w:val="0"/>
              <w:jc w:val="both"/>
              <w:rPr>
                <w:rFonts w:cs="Times New Roman"/>
                <w:sz w:val="20"/>
              </w:rPr>
            </w:pPr>
            <w:r>
              <w:rPr>
                <w:rFonts w:cs="Times New Roman"/>
                <w:sz w:val="20"/>
              </w:rPr>
              <w:t>Excelity</w:t>
            </w:r>
          </w:p>
        </w:tc>
        <w:tc>
          <w:tcPr>
            <w:tcW w:w="606" w:type="pct"/>
            <w:shd w:val="clear" w:color="auto" w:fill="auto"/>
            <w:vAlign w:val="center"/>
          </w:tcPr>
          <w:p w14:paraId="7BB39A7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3958C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0F1E2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04E54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8DBF11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8BBD5B7">
            <w:pPr>
              <w:pStyle w:val="149"/>
              <w:widowControl w:val="0"/>
              <w:jc w:val="right"/>
              <w:rPr>
                <w:rFonts w:cs="Times New Roman"/>
                <w:sz w:val="20"/>
              </w:rPr>
            </w:pPr>
            <w:r>
              <w:rPr>
                <w:rFonts w:hint="eastAsia" w:cs="Times New Roman"/>
                <w:sz w:val="20"/>
              </w:rPr>
              <w:t>XX</w:t>
            </w:r>
          </w:p>
        </w:tc>
      </w:tr>
      <w:tr w14:paraId="6DA51D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4093C4">
            <w:pPr>
              <w:pStyle w:val="149"/>
              <w:widowControl w:val="0"/>
              <w:jc w:val="both"/>
              <w:rPr>
                <w:rFonts w:cs="Times New Roman"/>
                <w:sz w:val="20"/>
              </w:rPr>
            </w:pPr>
            <w:r>
              <w:rPr>
                <w:rFonts w:cs="Times New Roman"/>
                <w:sz w:val="20"/>
              </w:rPr>
              <w:t>i-Admin</w:t>
            </w:r>
          </w:p>
        </w:tc>
        <w:tc>
          <w:tcPr>
            <w:tcW w:w="606" w:type="pct"/>
            <w:shd w:val="clear" w:color="auto" w:fill="auto"/>
            <w:vAlign w:val="center"/>
          </w:tcPr>
          <w:p w14:paraId="5A719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635FA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5AAF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3873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683BC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CAFEFE">
            <w:pPr>
              <w:pStyle w:val="149"/>
              <w:widowControl w:val="0"/>
              <w:jc w:val="right"/>
              <w:rPr>
                <w:rFonts w:cs="Times New Roman"/>
                <w:sz w:val="20"/>
              </w:rPr>
            </w:pPr>
            <w:r>
              <w:rPr>
                <w:rFonts w:hint="eastAsia" w:cs="Times New Roman"/>
                <w:sz w:val="20"/>
              </w:rPr>
              <w:t>XX</w:t>
            </w:r>
          </w:p>
        </w:tc>
      </w:tr>
      <w:tr w14:paraId="73D0B6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726C2A36">
            <w:pPr>
              <w:pStyle w:val="149"/>
              <w:widowControl w:val="0"/>
              <w:jc w:val="both"/>
              <w:rPr>
                <w:rFonts w:cs="Times New Roman"/>
                <w:sz w:val="20"/>
              </w:rPr>
            </w:pPr>
            <w:r>
              <w:rPr>
                <w:rFonts w:cs="Times New Roman"/>
                <w:sz w:val="20"/>
              </w:rPr>
              <w:t>TriNet</w:t>
            </w:r>
          </w:p>
        </w:tc>
        <w:tc>
          <w:tcPr>
            <w:tcW w:w="606" w:type="pct"/>
            <w:shd w:val="clear" w:color="auto" w:fill="auto"/>
            <w:vAlign w:val="center"/>
          </w:tcPr>
          <w:p w14:paraId="3A9C5C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A199D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19888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FFEB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1CB181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768A00C">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工资外包服务</w:t>
      </w:r>
      <w:r>
        <w:rPr>
          <w:rFonts w:hint="eastAsia"/>
        </w:rPr>
        <w:t>销量市场份额（2019-2024）</w:t>
      </w:r>
      <w:bookmarkEnd w:id="129"/>
    </w:p>
    <w:p w14:paraId="2A05F249">
      <w:pPr>
        <w:pStyle w:val="132"/>
        <w:ind w:left="252" w:right="-105"/>
      </w:pPr>
      <w:bookmarkStart w:id="130" w:name="_Toc26780070"/>
      <w:bookmarkStart w:id="131" w:name="_Toc24028914"/>
      <w:bookmarkStart w:id="132" w:name="_Toc121583628"/>
      <w:bookmarkStart w:id="133" w:name="_Toc167094568"/>
      <w:r>
        <w:rPr>
          <w:rFonts w:hint="eastAsia"/>
        </w:rPr>
        <w:t>欧洲市场主要厂商</w:t>
      </w:r>
      <w:r>
        <w:t>工资外包服务</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ADP</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Sage</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Xerox</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Paychex</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Gusto</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Intuit</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Zalaris</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61A5D">
            <w:pPr>
              <w:pStyle w:val="149"/>
              <w:widowControl w:val="0"/>
              <w:jc w:val="both"/>
              <w:rPr>
                <w:rFonts w:cs="Times New Roman"/>
                <w:sz w:val="20"/>
              </w:rPr>
            </w:pPr>
            <w:r>
              <w:rPr>
                <w:rFonts w:cs="Times New Roman"/>
                <w:sz w:val="20"/>
              </w:rPr>
              <w:t>Infosys</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041D04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08FE6F0">
            <w:pPr>
              <w:pStyle w:val="149"/>
              <w:widowControl w:val="0"/>
              <w:jc w:val="both"/>
              <w:rPr>
                <w:rFonts w:cs="Times New Roman"/>
                <w:sz w:val="20"/>
              </w:rPr>
            </w:pPr>
            <w:r>
              <w:rPr>
                <w:rFonts w:cs="Times New Roman"/>
                <w:sz w:val="20"/>
              </w:rPr>
              <w:t>KPMG</w:t>
            </w:r>
          </w:p>
        </w:tc>
        <w:tc>
          <w:tcPr>
            <w:tcW w:w="602" w:type="pct"/>
            <w:shd w:val="clear" w:color="auto" w:fill="auto"/>
            <w:vAlign w:val="center"/>
          </w:tcPr>
          <w:p w14:paraId="1B9B612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2E9DD9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0E6E94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591546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6042B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EED63DD">
            <w:pPr>
              <w:pStyle w:val="149"/>
              <w:widowControl w:val="0"/>
              <w:jc w:val="right"/>
              <w:rPr>
                <w:rFonts w:cs="Times New Roman"/>
                <w:sz w:val="20"/>
              </w:rPr>
            </w:pPr>
            <w:r>
              <w:rPr>
                <w:rFonts w:hint="eastAsia" w:cs="Times New Roman"/>
                <w:sz w:val="20"/>
              </w:rPr>
              <w:t>XX</w:t>
            </w:r>
            <w:r>
              <w:rPr>
                <w:rFonts w:cs="Times New Roman"/>
                <w:sz w:val="20"/>
              </w:rPr>
              <w:t>%</w:t>
            </w:r>
          </w:p>
        </w:tc>
      </w:tr>
      <w:tr w14:paraId="53BBE9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83ECB91">
            <w:pPr>
              <w:pStyle w:val="149"/>
              <w:widowControl w:val="0"/>
              <w:jc w:val="both"/>
              <w:rPr>
                <w:rFonts w:cs="Times New Roman"/>
                <w:sz w:val="20"/>
              </w:rPr>
            </w:pPr>
            <w:r>
              <w:rPr>
                <w:rFonts w:cs="Times New Roman"/>
                <w:sz w:val="20"/>
              </w:rPr>
              <w:t>Vision H.R.</w:t>
            </w:r>
          </w:p>
        </w:tc>
        <w:tc>
          <w:tcPr>
            <w:tcW w:w="602" w:type="pct"/>
            <w:shd w:val="clear" w:color="auto" w:fill="auto"/>
            <w:vAlign w:val="center"/>
          </w:tcPr>
          <w:p w14:paraId="4C1465F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97E0D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E98549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4F30F0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B958E6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38440F0">
            <w:pPr>
              <w:pStyle w:val="149"/>
              <w:widowControl w:val="0"/>
              <w:jc w:val="right"/>
              <w:rPr>
                <w:rFonts w:cs="Times New Roman"/>
                <w:sz w:val="20"/>
              </w:rPr>
            </w:pPr>
            <w:r>
              <w:rPr>
                <w:rFonts w:hint="eastAsia" w:cs="Times New Roman"/>
                <w:sz w:val="20"/>
              </w:rPr>
              <w:t>XX</w:t>
            </w:r>
            <w:r>
              <w:rPr>
                <w:rFonts w:cs="Times New Roman"/>
                <w:sz w:val="20"/>
              </w:rPr>
              <w:t>%</w:t>
            </w:r>
          </w:p>
        </w:tc>
      </w:tr>
      <w:tr w14:paraId="135E7C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B098EB8">
            <w:pPr>
              <w:pStyle w:val="149"/>
              <w:widowControl w:val="0"/>
              <w:jc w:val="both"/>
              <w:rPr>
                <w:rFonts w:cs="Times New Roman"/>
                <w:sz w:val="20"/>
              </w:rPr>
            </w:pPr>
            <w:r>
              <w:rPr>
                <w:rFonts w:cs="Times New Roman"/>
                <w:sz w:val="20"/>
              </w:rPr>
              <w:t>Deloitte</w:t>
            </w:r>
          </w:p>
        </w:tc>
        <w:tc>
          <w:tcPr>
            <w:tcW w:w="602" w:type="pct"/>
            <w:shd w:val="clear" w:color="auto" w:fill="auto"/>
            <w:vAlign w:val="center"/>
          </w:tcPr>
          <w:p w14:paraId="68B52B7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9507EF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023BF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67CD93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EA5E1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CCBD95C">
            <w:pPr>
              <w:pStyle w:val="149"/>
              <w:widowControl w:val="0"/>
              <w:jc w:val="right"/>
              <w:rPr>
                <w:rFonts w:cs="Times New Roman"/>
                <w:sz w:val="20"/>
              </w:rPr>
            </w:pPr>
            <w:r>
              <w:rPr>
                <w:rFonts w:hint="eastAsia" w:cs="Times New Roman"/>
                <w:sz w:val="20"/>
              </w:rPr>
              <w:t>XX</w:t>
            </w:r>
            <w:r>
              <w:rPr>
                <w:rFonts w:cs="Times New Roman"/>
                <w:sz w:val="20"/>
              </w:rPr>
              <w:t>%</w:t>
            </w:r>
          </w:p>
        </w:tc>
      </w:tr>
      <w:tr w14:paraId="3462EC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ACDED4A">
            <w:pPr>
              <w:pStyle w:val="149"/>
              <w:widowControl w:val="0"/>
              <w:jc w:val="both"/>
              <w:rPr>
                <w:rFonts w:cs="Times New Roman"/>
                <w:sz w:val="20"/>
              </w:rPr>
            </w:pPr>
            <w:r>
              <w:rPr>
                <w:rFonts w:cs="Times New Roman"/>
                <w:sz w:val="20"/>
              </w:rPr>
              <w:t>Aurion</w:t>
            </w:r>
          </w:p>
        </w:tc>
        <w:tc>
          <w:tcPr>
            <w:tcW w:w="602" w:type="pct"/>
            <w:shd w:val="clear" w:color="auto" w:fill="auto"/>
            <w:vAlign w:val="center"/>
          </w:tcPr>
          <w:p w14:paraId="3914F2C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3B3377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D6331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72163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0CC1EB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C241CC">
            <w:pPr>
              <w:pStyle w:val="149"/>
              <w:widowControl w:val="0"/>
              <w:jc w:val="right"/>
              <w:rPr>
                <w:rFonts w:cs="Times New Roman"/>
                <w:sz w:val="20"/>
              </w:rPr>
            </w:pPr>
            <w:r>
              <w:rPr>
                <w:rFonts w:hint="eastAsia" w:cs="Times New Roman"/>
                <w:sz w:val="20"/>
              </w:rPr>
              <w:t>XX</w:t>
            </w:r>
            <w:r>
              <w:rPr>
                <w:rFonts w:cs="Times New Roman"/>
                <w:sz w:val="20"/>
              </w:rPr>
              <w:t>%</w:t>
            </w:r>
          </w:p>
        </w:tc>
      </w:tr>
      <w:tr w14:paraId="065FA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0E357B">
            <w:pPr>
              <w:pStyle w:val="149"/>
              <w:widowControl w:val="0"/>
              <w:jc w:val="both"/>
              <w:rPr>
                <w:rFonts w:cs="Times New Roman"/>
                <w:sz w:val="20"/>
              </w:rPr>
            </w:pPr>
            <w:r>
              <w:rPr>
                <w:rFonts w:cs="Times New Roman"/>
                <w:sz w:val="20"/>
              </w:rPr>
              <w:t>Activpayroll</w:t>
            </w:r>
          </w:p>
        </w:tc>
        <w:tc>
          <w:tcPr>
            <w:tcW w:w="602" w:type="pct"/>
            <w:shd w:val="clear" w:color="auto" w:fill="auto"/>
            <w:vAlign w:val="center"/>
          </w:tcPr>
          <w:p w14:paraId="06268E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03742B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3062BC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EC998C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F7DCD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DDF30CA">
            <w:pPr>
              <w:pStyle w:val="149"/>
              <w:widowControl w:val="0"/>
              <w:jc w:val="right"/>
              <w:rPr>
                <w:rFonts w:cs="Times New Roman"/>
                <w:sz w:val="20"/>
              </w:rPr>
            </w:pPr>
            <w:r>
              <w:rPr>
                <w:rFonts w:hint="eastAsia" w:cs="Times New Roman"/>
                <w:sz w:val="20"/>
              </w:rPr>
              <w:t>XX</w:t>
            </w:r>
            <w:r>
              <w:rPr>
                <w:rFonts w:cs="Times New Roman"/>
                <w:sz w:val="20"/>
              </w:rPr>
              <w:t>%</w:t>
            </w:r>
          </w:p>
        </w:tc>
      </w:tr>
      <w:tr w14:paraId="6F5A16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A41140">
            <w:pPr>
              <w:pStyle w:val="149"/>
              <w:widowControl w:val="0"/>
              <w:jc w:val="both"/>
              <w:rPr>
                <w:rFonts w:cs="Times New Roman"/>
                <w:sz w:val="20"/>
              </w:rPr>
            </w:pPr>
            <w:r>
              <w:rPr>
                <w:rFonts w:cs="Times New Roman"/>
                <w:sz w:val="20"/>
              </w:rPr>
              <w:t>Immedis</w:t>
            </w:r>
          </w:p>
        </w:tc>
        <w:tc>
          <w:tcPr>
            <w:tcW w:w="602" w:type="pct"/>
            <w:shd w:val="clear" w:color="auto" w:fill="auto"/>
            <w:vAlign w:val="center"/>
          </w:tcPr>
          <w:p w14:paraId="3A36762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65F8EF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AFC30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7D24DF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0638C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BDE72A">
            <w:pPr>
              <w:pStyle w:val="149"/>
              <w:widowControl w:val="0"/>
              <w:jc w:val="right"/>
              <w:rPr>
                <w:rFonts w:cs="Times New Roman"/>
                <w:sz w:val="20"/>
              </w:rPr>
            </w:pPr>
            <w:r>
              <w:rPr>
                <w:rFonts w:hint="eastAsia" w:cs="Times New Roman"/>
                <w:sz w:val="20"/>
              </w:rPr>
              <w:t>XX</w:t>
            </w:r>
            <w:r>
              <w:rPr>
                <w:rFonts w:cs="Times New Roman"/>
                <w:sz w:val="20"/>
              </w:rPr>
              <w:t>%</w:t>
            </w:r>
          </w:p>
        </w:tc>
      </w:tr>
      <w:tr w14:paraId="0BD4B4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6E113647">
            <w:pPr>
              <w:pStyle w:val="149"/>
              <w:widowControl w:val="0"/>
              <w:jc w:val="both"/>
              <w:rPr>
                <w:rFonts w:cs="Times New Roman"/>
                <w:sz w:val="20"/>
              </w:rPr>
            </w:pPr>
            <w:r>
              <w:rPr>
                <w:rFonts w:cs="Times New Roman"/>
                <w:sz w:val="20"/>
              </w:rPr>
              <w:t>Ascender</w:t>
            </w:r>
          </w:p>
        </w:tc>
        <w:tc>
          <w:tcPr>
            <w:tcW w:w="602" w:type="pct"/>
            <w:shd w:val="clear" w:color="auto" w:fill="auto"/>
            <w:vAlign w:val="center"/>
          </w:tcPr>
          <w:p w14:paraId="255C26B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B46547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3422F0C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7B1DA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D2DDEC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C80780">
            <w:pPr>
              <w:pStyle w:val="149"/>
              <w:widowControl w:val="0"/>
              <w:jc w:val="right"/>
              <w:rPr>
                <w:rFonts w:cs="Times New Roman"/>
                <w:sz w:val="20"/>
              </w:rPr>
            </w:pPr>
            <w:r>
              <w:rPr>
                <w:rFonts w:hint="eastAsia" w:cs="Times New Roman"/>
                <w:sz w:val="20"/>
              </w:rPr>
              <w:t>XX</w:t>
            </w:r>
            <w:r>
              <w:rPr>
                <w:rFonts w:cs="Times New Roman"/>
                <w:sz w:val="20"/>
              </w:rPr>
              <w:t>%</w:t>
            </w:r>
          </w:p>
        </w:tc>
      </w:tr>
      <w:tr w14:paraId="68443E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7A2D0856">
            <w:pPr>
              <w:pStyle w:val="149"/>
              <w:widowControl w:val="0"/>
              <w:jc w:val="both"/>
              <w:rPr>
                <w:rFonts w:cs="Times New Roman"/>
                <w:sz w:val="20"/>
              </w:rPr>
            </w:pPr>
            <w:r>
              <w:rPr>
                <w:rFonts w:cs="Times New Roman"/>
                <w:sz w:val="20"/>
              </w:rPr>
              <w:t>NGA HR</w:t>
            </w:r>
          </w:p>
        </w:tc>
        <w:tc>
          <w:tcPr>
            <w:tcW w:w="602" w:type="pct"/>
            <w:shd w:val="clear" w:color="auto" w:fill="auto"/>
            <w:vAlign w:val="center"/>
          </w:tcPr>
          <w:p w14:paraId="2CA5C6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EB16F3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28045EE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AB9C08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1BB12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8679176">
            <w:pPr>
              <w:pStyle w:val="149"/>
              <w:widowControl w:val="0"/>
              <w:jc w:val="right"/>
              <w:rPr>
                <w:rFonts w:cs="Times New Roman"/>
                <w:sz w:val="20"/>
              </w:rPr>
            </w:pPr>
            <w:r>
              <w:rPr>
                <w:rFonts w:hint="eastAsia" w:cs="Times New Roman"/>
                <w:sz w:val="20"/>
              </w:rPr>
              <w:t>XX</w:t>
            </w:r>
            <w:r>
              <w:rPr>
                <w:rFonts w:cs="Times New Roman"/>
                <w:sz w:val="20"/>
              </w:rPr>
              <w:t>%</w:t>
            </w:r>
          </w:p>
        </w:tc>
      </w:tr>
      <w:tr w14:paraId="47A34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1D1D834C">
            <w:pPr>
              <w:pStyle w:val="149"/>
              <w:widowControl w:val="0"/>
              <w:jc w:val="both"/>
              <w:rPr>
                <w:rFonts w:cs="Times New Roman"/>
                <w:sz w:val="20"/>
              </w:rPr>
            </w:pPr>
            <w:r>
              <w:rPr>
                <w:rFonts w:cs="Times New Roman"/>
                <w:sz w:val="20"/>
              </w:rPr>
              <w:t>Neeyamo</w:t>
            </w:r>
          </w:p>
        </w:tc>
        <w:tc>
          <w:tcPr>
            <w:tcW w:w="602" w:type="pct"/>
            <w:shd w:val="clear" w:color="auto" w:fill="auto"/>
            <w:vAlign w:val="center"/>
          </w:tcPr>
          <w:p w14:paraId="1042BE33">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B8757D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24268A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8B52DA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9A428F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9C57842">
            <w:pPr>
              <w:pStyle w:val="149"/>
              <w:widowControl w:val="0"/>
              <w:jc w:val="right"/>
              <w:rPr>
                <w:rFonts w:cs="Times New Roman"/>
                <w:sz w:val="20"/>
              </w:rPr>
            </w:pPr>
            <w:r>
              <w:rPr>
                <w:rFonts w:hint="eastAsia" w:cs="Times New Roman"/>
                <w:sz w:val="20"/>
              </w:rPr>
              <w:t>XX</w:t>
            </w:r>
            <w:r>
              <w:rPr>
                <w:rFonts w:cs="Times New Roman"/>
                <w:sz w:val="20"/>
              </w:rPr>
              <w:t>%</w:t>
            </w:r>
          </w:p>
        </w:tc>
      </w:tr>
      <w:tr w14:paraId="6DB483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E4B79AD">
            <w:pPr>
              <w:pStyle w:val="149"/>
              <w:widowControl w:val="0"/>
              <w:jc w:val="both"/>
              <w:rPr>
                <w:rFonts w:cs="Times New Roman"/>
                <w:sz w:val="20"/>
              </w:rPr>
            </w:pPr>
            <w:r>
              <w:rPr>
                <w:rFonts w:cs="Times New Roman"/>
                <w:sz w:val="20"/>
              </w:rPr>
              <w:t>BDO</w:t>
            </w:r>
          </w:p>
        </w:tc>
        <w:tc>
          <w:tcPr>
            <w:tcW w:w="602" w:type="pct"/>
            <w:shd w:val="clear" w:color="auto" w:fill="auto"/>
            <w:vAlign w:val="center"/>
          </w:tcPr>
          <w:p w14:paraId="1087CEC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5151FA2">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66B542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E8949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3DEE0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569C3C">
            <w:pPr>
              <w:pStyle w:val="149"/>
              <w:widowControl w:val="0"/>
              <w:jc w:val="right"/>
              <w:rPr>
                <w:rFonts w:cs="Times New Roman"/>
                <w:sz w:val="20"/>
              </w:rPr>
            </w:pPr>
            <w:r>
              <w:rPr>
                <w:rFonts w:hint="eastAsia" w:cs="Times New Roman"/>
                <w:sz w:val="20"/>
              </w:rPr>
              <w:t>XX</w:t>
            </w:r>
            <w:r>
              <w:rPr>
                <w:rFonts w:cs="Times New Roman"/>
                <w:sz w:val="20"/>
              </w:rPr>
              <w:t>%</w:t>
            </w:r>
          </w:p>
        </w:tc>
      </w:tr>
      <w:tr w14:paraId="1F05F0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127F604">
            <w:pPr>
              <w:pStyle w:val="149"/>
              <w:widowControl w:val="0"/>
              <w:jc w:val="both"/>
              <w:rPr>
                <w:rFonts w:cs="Times New Roman"/>
                <w:sz w:val="20"/>
              </w:rPr>
            </w:pPr>
            <w:r>
              <w:rPr>
                <w:rFonts w:cs="Times New Roman"/>
                <w:sz w:val="20"/>
              </w:rPr>
              <w:t>CloudPay</w:t>
            </w:r>
          </w:p>
        </w:tc>
        <w:tc>
          <w:tcPr>
            <w:tcW w:w="602" w:type="pct"/>
            <w:shd w:val="clear" w:color="auto" w:fill="auto"/>
            <w:vAlign w:val="center"/>
          </w:tcPr>
          <w:p w14:paraId="3515D50A">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19AB57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72FEE4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4D5943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0A36A60">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834DCC2">
            <w:pPr>
              <w:pStyle w:val="149"/>
              <w:widowControl w:val="0"/>
              <w:jc w:val="right"/>
              <w:rPr>
                <w:rFonts w:cs="Times New Roman"/>
                <w:sz w:val="20"/>
              </w:rPr>
            </w:pPr>
            <w:r>
              <w:rPr>
                <w:rFonts w:hint="eastAsia" w:cs="Times New Roman"/>
                <w:sz w:val="20"/>
              </w:rPr>
              <w:t>XX</w:t>
            </w:r>
            <w:r>
              <w:rPr>
                <w:rFonts w:cs="Times New Roman"/>
                <w:sz w:val="20"/>
              </w:rPr>
              <w:t>%</w:t>
            </w:r>
          </w:p>
        </w:tc>
      </w:tr>
      <w:tr w14:paraId="2199D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1E043CA">
            <w:pPr>
              <w:pStyle w:val="149"/>
              <w:widowControl w:val="0"/>
              <w:jc w:val="both"/>
              <w:rPr>
                <w:rFonts w:cs="Times New Roman"/>
                <w:sz w:val="20"/>
              </w:rPr>
            </w:pPr>
            <w:r>
              <w:rPr>
                <w:rFonts w:cs="Times New Roman"/>
                <w:sz w:val="20"/>
              </w:rPr>
              <w:t>Excelity</w:t>
            </w:r>
          </w:p>
        </w:tc>
        <w:tc>
          <w:tcPr>
            <w:tcW w:w="602" w:type="pct"/>
            <w:shd w:val="clear" w:color="auto" w:fill="auto"/>
            <w:vAlign w:val="center"/>
          </w:tcPr>
          <w:p w14:paraId="53956E5A">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6B767F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51C061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F232D6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3926C7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358D2C0">
            <w:pPr>
              <w:pStyle w:val="149"/>
              <w:widowControl w:val="0"/>
              <w:jc w:val="right"/>
              <w:rPr>
                <w:rFonts w:cs="Times New Roman"/>
                <w:sz w:val="20"/>
              </w:rPr>
            </w:pPr>
            <w:r>
              <w:rPr>
                <w:rFonts w:hint="eastAsia" w:cs="Times New Roman"/>
                <w:sz w:val="20"/>
              </w:rPr>
              <w:t>XX</w:t>
            </w:r>
            <w:r>
              <w:rPr>
                <w:rFonts w:cs="Times New Roman"/>
                <w:sz w:val="20"/>
              </w:rPr>
              <w:t>%</w:t>
            </w:r>
          </w:p>
        </w:tc>
      </w:tr>
      <w:tr w14:paraId="15ECE4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54D5DF0">
            <w:pPr>
              <w:pStyle w:val="149"/>
              <w:widowControl w:val="0"/>
              <w:jc w:val="both"/>
              <w:rPr>
                <w:rFonts w:cs="Times New Roman"/>
                <w:sz w:val="20"/>
              </w:rPr>
            </w:pPr>
            <w:r>
              <w:rPr>
                <w:rFonts w:cs="Times New Roman"/>
                <w:sz w:val="20"/>
              </w:rPr>
              <w:t>i-Admin</w:t>
            </w:r>
          </w:p>
        </w:tc>
        <w:tc>
          <w:tcPr>
            <w:tcW w:w="602" w:type="pct"/>
            <w:shd w:val="clear" w:color="auto" w:fill="auto"/>
            <w:vAlign w:val="center"/>
          </w:tcPr>
          <w:p w14:paraId="241995E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498B75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1BDE76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D627A9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6059A31">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FF9317F">
            <w:pPr>
              <w:pStyle w:val="149"/>
              <w:widowControl w:val="0"/>
              <w:jc w:val="right"/>
              <w:rPr>
                <w:rFonts w:cs="Times New Roman"/>
                <w:sz w:val="20"/>
              </w:rPr>
            </w:pPr>
            <w:r>
              <w:rPr>
                <w:rFonts w:hint="eastAsia" w:cs="Times New Roman"/>
                <w:sz w:val="20"/>
              </w:rPr>
              <w:t>XX</w:t>
            </w:r>
            <w:r>
              <w:rPr>
                <w:rFonts w:cs="Times New Roman"/>
                <w:sz w:val="20"/>
              </w:rPr>
              <w:t>%</w:t>
            </w:r>
          </w:p>
        </w:tc>
      </w:tr>
      <w:tr w14:paraId="1A8164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3C00227D">
            <w:pPr>
              <w:pStyle w:val="149"/>
              <w:widowControl w:val="0"/>
              <w:jc w:val="both"/>
              <w:rPr>
                <w:rFonts w:cs="Times New Roman"/>
                <w:sz w:val="20"/>
              </w:rPr>
            </w:pPr>
            <w:r>
              <w:rPr>
                <w:rFonts w:cs="Times New Roman"/>
                <w:sz w:val="20"/>
              </w:rPr>
              <w:t>TriNet</w:t>
            </w:r>
          </w:p>
        </w:tc>
        <w:tc>
          <w:tcPr>
            <w:tcW w:w="602" w:type="pct"/>
            <w:shd w:val="clear" w:color="auto" w:fill="auto"/>
            <w:vAlign w:val="center"/>
          </w:tcPr>
          <w:p w14:paraId="6C37E32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71370B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D90D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4F3571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660596E">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7953AF84">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167094557"/>
      <w:bookmarkStart w:id="135" w:name="_Toc26780013"/>
      <w:bookmarkStart w:id="136" w:name="_Toc121583609"/>
      <w:bookmarkStart w:id="137" w:name="_Toc24028915"/>
      <w:r>
        <w:rPr>
          <w:rFonts w:hint="eastAsia"/>
        </w:rPr>
        <w:t>2023年欧洲市场主要厂商</w:t>
      </w:r>
      <w:r>
        <w:t>工资外包服务</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972497"/>
      <w:bookmarkStart w:id="139" w:name="_Toc24028307"/>
      <w:bookmarkStart w:id="140" w:name="_Toc167094645"/>
      <w:bookmarkStart w:id="141" w:name="_Toc121583898"/>
      <w:r>
        <w:rPr>
          <w:rFonts w:hint="eastAsia"/>
        </w:rPr>
        <w:t>欧洲市场主要厂商</w:t>
      </w:r>
      <w:r>
        <w:t>工资外包服务收入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工资外包服务收入</w:t>
      </w:r>
      <w:r>
        <w:rPr>
          <w:rFonts w:hint="eastAsia"/>
        </w:rPr>
        <w:t>（2019-2024）</w:t>
      </w:r>
      <w:bookmarkEnd w:id="142"/>
    </w:p>
    <w:p w14:paraId="24603FA7">
      <w:pPr>
        <w:pStyle w:val="132"/>
        <w:ind w:left="252" w:right="-105"/>
      </w:pPr>
      <w:bookmarkStart w:id="143" w:name="_Toc26780071"/>
      <w:bookmarkStart w:id="144" w:name="_Toc24028916"/>
      <w:bookmarkStart w:id="145" w:name="_Toc167094569"/>
      <w:bookmarkStart w:id="146" w:name="_Toc121583629"/>
      <w:r>
        <w:rPr>
          <w:rFonts w:hint="eastAsia"/>
        </w:rPr>
        <w:t>欧洲市场主要厂商</w:t>
      </w:r>
      <w:r>
        <w:t>工资外包服务收入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ADP</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Sage</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Xerox</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Paychex</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Gusto</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Intuit</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Zalaris</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081A388">
            <w:pPr>
              <w:pStyle w:val="149"/>
              <w:widowControl w:val="0"/>
              <w:jc w:val="both"/>
              <w:rPr>
                <w:rFonts w:cs="Times New Roman"/>
                <w:sz w:val="20"/>
              </w:rPr>
            </w:pPr>
            <w:r>
              <w:rPr>
                <w:rFonts w:cs="Times New Roman"/>
                <w:sz w:val="20"/>
              </w:rPr>
              <w:t>Infosys</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6814C4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5C85A9D">
            <w:pPr>
              <w:pStyle w:val="149"/>
              <w:widowControl w:val="0"/>
              <w:jc w:val="both"/>
              <w:rPr>
                <w:rFonts w:cs="Times New Roman"/>
                <w:sz w:val="20"/>
              </w:rPr>
            </w:pPr>
            <w:r>
              <w:rPr>
                <w:rFonts w:cs="Times New Roman"/>
                <w:sz w:val="20"/>
              </w:rPr>
              <w:t>KPMG</w:t>
            </w:r>
          </w:p>
        </w:tc>
        <w:tc>
          <w:tcPr>
            <w:tcW w:w="606" w:type="pct"/>
            <w:shd w:val="clear" w:color="auto" w:fill="auto"/>
            <w:vAlign w:val="center"/>
          </w:tcPr>
          <w:p w14:paraId="624905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660845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C14A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55135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7D692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137E338">
            <w:pPr>
              <w:pStyle w:val="149"/>
              <w:widowControl w:val="0"/>
              <w:jc w:val="right"/>
              <w:rPr>
                <w:rFonts w:cs="Times New Roman"/>
                <w:sz w:val="20"/>
              </w:rPr>
            </w:pPr>
            <w:r>
              <w:rPr>
                <w:rFonts w:hint="eastAsia" w:cs="Times New Roman"/>
                <w:sz w:val="20"/>
              </w:rPr>
              <w:t>XX</w:t>
            </w:r>
          </w:p>
        </w:tc>
      </w:tr>
      <w:tr w14:paraId="129BCC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FBC439E">
            <w:pPr>
              <w:pStyle w:val="149"/>
              <w:widowControl w:val="0"/>
              <w:jc w:val="both"/>
              <w:rPr>
                <w:rFonts w:cs="Times New Roman"/>
                <w:sz w:val="20"/>
              </w:rPr>
            </w:pPr>
            <w:r>
              <w:rPr>
                <w:rFonts w:cs="Times New Roman"/>
                <w:sz w:val="20"/>
              </w:rPr>
              <w:t>Vision H.R.</w:t>
            </w:r>
          </w:p>
        </w:tc>
        <w:tc>
          <w:tcPr>
            <w:tcW w:w="606" w:type="pct"/>
            <w:shd w:val="clear" w:color="auto" w:fill="auto"/>
            <w:vAlign w:val="center"/>
          </w:tcPr>
          <w:p w14:paraId="747B0FB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15C6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E6EF38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24A6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E6C43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A58254D">
            <w:pPr>
              <w:pStyle w:val="149"/>
              <w:widowControl w:val="0"/>
              <w:jc w:val="right"/>
              <w:rPr>
                <w:rFonts w:cs="Times New Roman"/>
                <w:sz w:val="20"/>
              </w:rPr>
            </w:pPr>
            <w:r>
              <w:rPr>
                <w:rFonts w:hint="eastAsia" w:cs="Times New Roman"/>
                <w:sz w:val="20"/>
              </w:rPr>
              <w:t>XX</w:t>
            </w:r>
          </w:p>
        </w:tc>
      </w:tr>
      <w:tr w14:paraId="69ACD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DFE0FB7">
            <w:pPr>
              <w:pStyle w:val="149"/>
              <w:widowControl w:val="0"/>
              <w:jc w:val="both"/>
              <w:rPr>
                <w:rFonts w:cs="Times New Roman"/>
                <w:sz w:val="20"/>
              </w:rPr>
            </w:pPr>
            <w:r>
              <w:rPr>
                <w:rFonts w:cs="Times New Roman"/>
                <w:sz w:val="20"/>
              </w:rPr>
              <w:t>Deloitte</w:t>
            </w:r>
          </w:p>
        </w:tc>
        <w:tc>
          <w:tcPr>
            <w:tcW w:w="606" w:type="pct"/>
            <w:shd w:val="clear" w:color="auto" w:fill="auto"/>
            <w:vAlign w:val="center"/>
          </w:tcPr>
          <w:p w14:paraId="16ADE06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787CD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FD163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D1DDF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43C0F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A0273">
            <w:pPr>
              <w:pStyle w:val="149"/>
              <w:widowControl w:val="0"/>
              <w:jc w:val="right"/>
              <w:rPr>
                <w:rFonts w:cs="Times New Roman"/>
                <w:sz w:val="20"/>
              </w:rPr>
            </w:pPr>
            <w:r>
              <w:rPr>
                <w:rFonts w:hint="eastAsia" w:cs="Times New Roman"/>
                <w:sz w:val="20"/>
              </w:rPr>
              <w:t>XX</w:t>
            </w:r>
          </w:p>
        </w:tc>
      </w:tr>
      <w:tr w14:paraId="13DE96D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6C0926">
            <w:pPr>
              <w:pStyle w:val="149"/>
              <w:widowControl w:val="0"/>
              <w:jc w:val="both"/>
              <w:rPr>
                <w:rFonts w:cs="Times New Roman"/>
                <w:sz w:val="20"/>
              </w:rPr>
            </w:pPr>
            <w:r>
              <w:rPr>
                <w:rFonts w:cs="Times New Roman"/>
                <w:sz w:val="20"/>
              </w:rPr>
              <w:t>Aurion</w:t>
            </w:r>
          </w:p>
        </w:tc>
        <w:tc>
          <w:tcPr>
            <w:tcW w:w="606" w:type="pct"/>
            <w:shd w:val="clear" w:color="auto" w:fill="auto"/>
            <w:vAlign w:val="center"/>
          </w:tcPr>
          <w:p w14:paraId="19A7C06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8C57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A0C6D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C43AD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11795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1689310">
            <w:pPr>
              <w:pStyle w:val="149"/>
              <w:widowControl w:val="0"/>
              <w:jc w:val="right"/>
              <w:rPr>
                <w:rFonts w:cs="Times New Roman"/>
                <w:sz w:val="20"/>
              </w:rPr>
            </w:pPr>
            <w:r>
              <w:rPr>
                <w:rFonts w:hint="eastAsia" w:cs="Times New Roman"/>
                <w:sz w:val="20"/>
              </w:rPr>
              <w:t>XX</w:t>
            </w:r>
          </w:p>
        </w:tc>
      </w:tr>
      <w:tr w14:paraId="5E2C1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4DA1A0">
            <w:pPr>
              <w:pStyle w:val="149"/>
              <w:widowControl w:val="0"/>
              <w:jc w:val="both"/>
              <w:rPr>
                <w:rFonts w:cs="Times New Roman"/>
                <w:sz w:val="20"/>
              </w:rPr>
            </w:pPr>
            <w:r>
              <w:rPr>
                <w:rFonts w:cs="Times New Roman"/>
                <w:sz w:val="20"/>
              </w:rPr>
              <w:t>Activpayroll</w:t>
            </w:r>
          </w:p>
        </w:tc>
        <w:tc>
          <w:tcPr>
            <w:tcW w:w="606" w:type="pct"/>
            <w:shd w:val="clear" w:color="auto" w:fill="auto"/>
            <w:vAlign w:val="center"/>
          </w:tcPr>
          <w:p w14:paraId="063E6A1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77DA1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F60B2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517BC5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AA19D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35DB54">
            <w:pPr>
              <w:pStyle w:val="149"/>
              <w:widowControl w:val="0"/>
              <w:jc w:val="right"/>
              <w:rPr>
                <w:rFonts w:cs="Times New Roman"/>
                <w:sz w:val="20"/>
              </w:rPr>
            </w:pPr>
            <w:r>
              <w:rPr>
                <w:rFonts w:hint="eastAsia" w:cs="Times New Roman"/>
                <w:sz w:val="20"/>
              </w:rPr>
              <w:t>XX</w:t>
            </w:r>
          </w:p>
        </w:tc>
      </w:tr>
      <w:tr w14:paraId="72C542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C0C53E8">
            <w:pPr>
              <w:pStyle w:val="149"/>
              <w:widowControl w:val="0"/>
              <w:jc w:val="both"/>
              <w:rPr>
                <w:rFonts w:cs="Times New Roman"/>
                <w:sz w:val="20"/>
              </w:rPr>
            </w:pPr>
            <w:r>
              <w:rPr>
                <w:rFonts w:cs="Times New Roman"/>
                <w:sz w:val="20"/>
              </w:rPr>
              <w:t>Immedis</w:t>
            </w:r>
          </w:p>
        </w:tc>
        <w:tc>
          <w:tcPr>
            <w:tcW w:w="606" w:type="pct"/>
            <w:shd w:val="clear" w:color="auto" w:fill="auto"/>
            <w:vAlign w:val="center"/>
          </w:tcPr>
          <w:p w14:paraId="5FFBCE0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A1C18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E66E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D1E955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53D2E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CF6793">
            <w:pPr>
              <w:pStyle w:val="149"/>
              <w:widowControl w:val="0"/>
              <w:jc w:val="right"/>
              <w:rPr>
                <w:rFonts w:cs="Times New Roman"/>
                <w:sz w:val="20"/>
              </w:rPr>
            </w:pPr>
            <w:r>
              <w:rPr>
                <w:rFonts w:hint="eastAsia" w:cs="Times New Roman"/>
                <w:sz w:val="20"/>
              </w:rPr>
              <w:t>XX</w:t>
            </w:r>
          </w:p>
        </w:tc>
      </w:tr>
      <w:tr w14:paraId="412C38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4A6483C">
            <w:pPr>
              <w:pStyle w:val="149"/>
              <w:widowControl w:val="0"/>
              <w:jc w:val="both"/>
              <w:rPr>
                <w:rFonts w:cs="Times New Roman"/>
                <w:sz w:val="20"/>
              </w:rPr>
            </w:pPr>
            <w:r>
              <w:rPr>
                <w:rFonts w:cs="Times New Roman"/>
                <w:sz w:val="20"/>
              </w:rPr>
              <w:t>Ascender</w:t>
            </w:r>
          </w:p>
        </w:tc>
        <w:tc>
          <w:tcPr>
            <w:tcW w:w="606" w:type="pct"/>
            <w:shd w:val="clear" w:color="auto" w:fill="auto"/>
            <w:vAlign w:val="center"/>
          </w:tcPr>
          <w:p w14:paraId="4A2DE54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C10F6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7901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354A6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27475E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DB53D6">
            <w:pPr>
              <w:pStyle w:val="149"/>
              <w:widowControl w:val="0"/>
              <w:jc w:val="right"/>
              <w:rPr>
                <w:rFonts w:cs="Times New Roman"/>
                <w:sz w:val="20"/>
              </w:rPr>
            </w:pPr>
            <w:r>
              <w:rPr>
                <w:rFonts w:hint="eastAsia" w:cs="Times New Roman"/>
                <w:sz w:val="20"/>
              </w:rPr>
              <w:t>XX</w:t>
            </w:r>
          </w:p>
        </w:tc>
      </w:tr>
      <w:tr w14:paraId="1CEAE8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588BADD8">
            <w:pPr>
              <w:pStyle w:val="149"/>
              <w:widowControl w:val="0"/>
              <w:jc w:val="both"/>
              <w:rPr>
                <w:rFonts w:cs="Times New Roman"/>
                <w:sz w:val="20"/>
              </w:rPr>
            </w:pPr>
            <w:r>
              <w:rPr>
                <w:rFonts w:cs="Times New Roman"/>
                <w:sz w:val="20"/>
              </w:rPr>
              <w:t>NGA HR</w:t>
            </w:r>
          </w:p>
        </w:tc>
        <w:tc>
          <w:tcPr>
            <w:tcW w:w="606" w:type="pct"/>
            <w:shd w:val="clear" w:color="auto" w:fill="auto"/>
            <w:vAlign w:val="center"/>
          </w:tcPr>
          <w:p w14:paraId="0199191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964C7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567B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CDEAB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0B183C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51976AE">
            <w:pPr>
              <w:pStyle w:val="149"/>
              <w:widowControl w:val="0"/>
              <w:jc w:val="right"/>
              <w:rPr>
                <w:rFonts w:cs="Times New Roman"/>
                <w:sz w:val="20"/>
              </w:rPr>
            </w:pPr>
            <w:r>
              <w:rPr>
                <w:rFonts w:hint="eastAsia" w:cs="Times New Roman"/>
                <w:sz w:val="20"/>
              </w:rPr>
              <w:t>XX</w:t>
            </w:r>
          </w:p>
        </w:tc>
      </w:tr>
      <w:tr w14:paraId="18BEFC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AD7D136">
            <w:pPr>
              <w:pStyle w:val="149"/>
              <w:widowControl w:val="0"/>
              <w:jc w:val="both"/>
              <w:rPr>
                <w:rFonts w:cs="Times New Roman"/>
                <w:sz w:val="20"/>
              </w:rPr>
            </w:pPr>
            <w:r>
              <w:rPr>
                <w:rFonts w:cs="Times New Roman"/>
                <w:sz w:val="20"/>
              </w:rPr>
              <w:t>Neeyamo</w:t>
            </w:r>
          </w:p>
        </w:tc>
        <w:tc>
          <w:tcPr>
            <w:tcW w:w="606" w:type="pct"/>
            <w:shd w:val="clear" w:color="auto" w:fill="auto"/>
            <w:vAlign w:val="center"/>
          </w:tcPr>
          <w:p w14:paraId="448210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C5E9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F9A5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F14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3BF8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EC602">
            <w:pPr>
              <w:pStyle w:val="149"/>
              <w:widowControl w:val="0"/>
              <w:jc w:val="right"/>
              <w:rPr>
                <w:rFonts w:cs="Times New Roman"/>
                <w:sz w:val="20"/>
              </w:rPr>
            </w:pPr>
            <w:r>
              <w:rPr>
                <w:rFonts w:hint="eastAsia" w:cs="Times New Roman"/>
                <w:sz w:val="20"/>
              </w:rPr>
              <w:t>XX</w:t>
            </w:r>
          </w:p>
        </w:tc>
      </w:tr>
      <w:tr w14:paraId="5F1D0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D8DAA2">
            <w:pPr>
              <w:pStyle w:val="149"/>
              <w:widowControl w:val="0"/>
              <w:jc w:val="both"/>
              <w:rPr>
                <w:rFonts w:cs="Times New Roman"/>
                <w:sz w:val="20"/>
              </w:rPr>
            </w:pPr>
            <w:r>
              <w:rPr>
                <w:rFonts w:cs="Times New Roman"/>
                <w:sz w:val="20"/>
              </w:rPr>
              <w:t>BDO</w:t>
            </w:r>
          </w:p>
        </w:tc>
        <w:tc>
          <w:tcPr>
            <w:tcW w:w="606" w:type="pct"/>
            <w:shd w:val="clear" w:color="auto" w:fill="auto"/>
            <w:vAlign w:val="center"/>
          </w:tcPr>
          <w:p w14:paraId="27487D7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30278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0CD16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7D89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19E084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6B16930">
            <w:pPr>
              <w:pStyle w:val="149"/>
              <w:widowControl w:val="0"/>
              <w:jc w:val="right"/>
              <w:rPr>
                <w:rFonts w:cs="Times New Roman"/>
                <w:sz w:val="20"/>
              </w:rPr>
            </w:pPr>
            <w:r>
              <w:rPr>
                <w:rFonts w:hint="eastAsia" w:cs="Times New Roman"/>
                <w:sz w:val="20"/>
              </w:rPr>
              <w:t>XX</w:t>
            </w:r>
          </w:p>
        </w:tc>
      </w:tr>
      <w:tr w14:paraId="0316DD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803C853">
            <w:pPr>
              <w:pStyle w:val="149"/>
              <w:widowControl w:val="0"/>
              <w:jc w:val="both"/>
              <w:rPr>
                <w:rFonts w:cs="Times New Roman"/>
                <w:sz w:val="20"/>
              </w:rPr>
            </w:pPr>
            <w:r>
              <w:rPr>
                <w:rFonts w:cs="Times New Roman"/>
                <w:sz w:val="20"/>
              </w:rPr>
              <w:t>CloudPay</w:t>
            </w:r>
          </w:p>
        </w:tc>
        <w:tc>
          <w:tcPr>
            <w:tcW w:w="606" w:type="pct"/>
            <w:shd w:val="clear" w:color="auto" w:fill="auto"/>
            <w:vAlign w:val="center"/>
          </w:tcPr>
          <w:p w14:paraId="4429062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4DDAC2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72257E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92AC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4E71F2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1A286B6">
            <w:pPr>
              <w:pStyle w:val="149"/>
              <w:widowControl w:val="0"/>
              <w:jc w:val="right"/>
              <w:rPr>
                <w:rFonts w:cs="Times New Roman"/>
                <w:sz w:val="20"/>
              </w:rPr>
            </w:pPr>
            <w:r>
              <w:rPr>
                <w:rFonts w:hint="eastAsia" w:cs="Times New Roman"/>
                <w:sz w:val="20"/>
              </w:rPr>
              <w:t>XX</w:t>
            </w:r>
          </w:p>
        </w:tc>
      </w:tr>
      <w:tr w14:paraId="5FA900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46868A">
            <w:pPr>
              <w:pStyle w:val="149"/>
              <w:widowControl w:val="0"/>
              <w:jc w:val="both"/>
              <w:rPr>
                <w:rFonts w:cs="Times New Roman"/>
                <w:sz w:val="20"/>
              </w:rPr>
            </w:pPr>
            <w:r>
              <w:rPr>
                <w:rFonts w:cs="Times New Roman"/>
                <w:sz w:val="20"/>
              </w:rPr>
              <w:t>Excelity</w:t>
            </w:r>
          </w:p>
        </w:tc>
        <w:tc>
          <w:tcPr>
            <w:tcW w:w="606" w:type="pct"/>
            <w:shd w:val="clear" w:color="auto" w:fill="auto"/>
            <w:vAlign w:val="center"/>
          </w:tcPr>
          <w:p w14:paraId="6FA429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E8AEF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48CA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3A5D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1849D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D4FADF">
            <w:pPr>
              <w:pStyle w:val="149"/>
              <w:widowControl w:val="0"/>
              <w:jc w:val="right"/>
              <w:rPr>
                <w:rFonts w:cs="Times New Roman"/>
                <w:sz w:val="20"/>
              </w:rPr>
            </w:pPr>
            <w:r>
              <w:rPr>
                <w:rFonts w:hint="eastAsia" w:cs="Times New Roman"/>
                <w:sz w:val="20"/>
              </w:rPr>
              <w:t>XX</w:t>
            </w:r>
          </w:p>
        </w:tc>
      </w:tr>
      <w:tr w14:paraId="18E439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9720A1">
            <w:pPr>
              <w:pStyle w:val="149"/>
              <w:widowControl w:val="0"/>
              <w:jc w:val="both"/>
              <w:rPr>
                <w:rFonts w:cs="Times New Roman"/>
                <w:sz w:val="20"/>
              </w:rPr>
            </w:pPr>
            <w:r>
              <w:rPr>
                <w:rFonts w:cs="Times New Roman"/>
                <w:sz w:val="20"/>
              </w:rPr>
              <w:t>i-Admin</w:t>
            </w:r>
          </w:p>
        </w:tc>
        <w:tc>
          <w:tcPr>
            <w:tcW w:w="606" w:type="pct"/>
            <w:shd w:val="clear" w:color="auto" w:fill="auto"/>
            <w:vAlign w:val="center"/>
          </w:tcPr>
          <w:p w14:paraId="4DCBA7F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8F782B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5EE4C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7C4E0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CCA86A3">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09BED1D">
            <w:pPr>
              <w:pStyle w:val="149"/>
              <w:widowControl w:val="0"/>
              <w:jc w:val="right"/>
              <w:rPr>
                <w:rFonts w:cs="Times New Roman"/>
                <w:sz w:val="20"/>
              </w:rPr>
            </w:pPr>
            <w:r>
              <w:rPr>
                <w:rFonts w:hint="eastAsia" w:cs="Times New Roman"/>
                <w:sz w:val="20"/>
              </w:rPr>
              <w:t>XX</w:t>
            </w:r>
          </w:p>
        </w:tc>
      </w:tr>
      <w:tr w14:paraId="4ADCA2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067D7276">
            <w:pPr>
              <w:pStyle w:val="149"/>
              <w:widowControl w:val="0"/>
              <w:jc w:val="both"/>
              <w:rPr>
                <w:rFonts w:cs="Times New Roman"/>
                <w:sz w:val="20"/>
              </w:rPr>
            </w:pPr>
            <w:r>
              <w:rPr>
                <w:rFonts w:cs="Times New Roman"/>
                <w:sz w:val="20"/>
              </w:rPr>
              <w:t>TriNet</w:t>
            </w:r>
          </w:p>
        </w:tc>
        <w:tc>
          <w:tcPr>
            <w:tcW w:w="606" w:type="pct"/>
            <w:shd w:val="clear" w:color="auto" w:fill="auto"/>
            <w:vAlign w:val="center"/>
          </w:tcPr>
          <w:p w14:paraId="159CBF6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6D40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E066E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7C63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DCFFB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4A8BA9">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工资外包服务收入</w:t>
      </w:r>
      <w:r>
        <w:rPr>
          <w:rFonts w:hint="eastAsia"/>
        </w:rPr>
        <w:t>市场份额（2019-2024）</w:t>
      </w:r>
      <w:bookmarkEnd w:id="147"/>
    </w:p>
    <w:p w14:paraId="5BFB6978">
      <w:pPr>
        <w:pStyle w:val="132"/>
        <w:ind w:left="252" w:right="-105"/>
      </w:pPr>
      <w:bookmarkStart w:id="148" w:name="_Toc26780072"/>
      <w:bookmarkStart w:id="149" w:name="_Toc24028917"/>
      <w:bookmarkStart w:id="150" w:name="_Toc167094570"/>
      <w:bookmarkStart w:id="151" w:name="_Toc121583630"/>
      <w:r>
        <w:rPr>
          <w:rFonts w:hint="eastAsia"/>
        </w:rPr>
        <w:t>欧洲市场主要厂商</w:t>
      </w:r>
      <w:r>
        <w:t>工资外包服务</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ADP</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Sage</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Xerox</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Paychex</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Gusto</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Intuit</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Zalaris</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FAFD9A5">
            <w:pPr>
              <w:pStyle w:val="149"/>
              <w:widowControl w:val="0"/>
              <w:jc w:val="both"/>
              <w:rPr>
                <w:rFonts w:cs="Times New Roman"/>
                <w:sz w:val="20"/>
              </w:rPr>
            </w:pPr>
            <w:r>
              <w:rPr>
                <w:rFonts w:cs="Times New Roman"/>
                <w:sz w:val="20"/>
              </w:rPr>
              <w:t>Infosys</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3DED1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A9380F">
            <w:pPr>
              <w:pStyle w:val="149"/>
              <w:widowControl w:val="0"/>
              <w:jc w:val="both"/>
              <w:rPr>
                <w:rFonts w:cs="Times New Roman"/>
                <w:sz w:val="20"/>
              </w:rPr>
            </w:pPr>
            <w:r>
              <w:rPr>
                <w:rFonts w:cs="Times New Roman"/>
                <w:sz w:val="20"/>
              </w:rPr>
              <w:t>KPMG</w:t>
            </w:r>
          </w:p>
        </w:tc>
        <w:tc>
          <w:tcPr>
            <w:tcW w:w="606" w:type="pct"/>
            <w:shd w:val="clear" w:color="auto" w:fill="auto"/>
            <w:vAlign w:val="center"/>
          </w:tcPr>
          <w:p w14:paraId="1AD8899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24BB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00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C32DA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5BA84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F709ABD">
            <w:pPr>
              <w:pStyle w:val="149"/>
              <w:widowControl w:val="0"/>
              <w:jc w:val="right"/>
              <w:rPr>
                <w:rFonts w:cs="Times New Roman"/>
                <w:sz w:val="20"/>
              </w:rPr>
            </w:pPr>
            <w:r>
              <w:rPr>
                <w:rFonts w:hint="eastAsia" w:cs="Times New Roman"/>
                <w:sz w:val="20"/>
              </w:rPr>
              <w:t>XX</w:t>
            </w:r>
          </w:p>
        </w:tc>
      </w:tr>
      <w:tr w14:paraId="57023D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BCF10A6">
            <w:pPr>
              <w:pStyle w:val="149"/>
              <w:widowControl w:val="0"/>
              <w:jc w:val="both"/>
              <w:rPr>
                <w:rFonts w:cs="Times New Roman"/>
                <w:sz w:val="20"/>
              </w:rPr>
            </w:pPr>
            <w:r>
              <w:rPr>
                <w:rFonts w:cs="Times New Roman"/>
                <w:sz w:val="20"/>
              </w:rPr>
              <w:t>Vision H.R.</w:t>
            </w:r>
          </w:p>
        </w:tc>
        <w:tc>
          <w:tcPr>
            <w:tcW w:w="606" w:type="pct"/>
            <w:shd w:val="clear" w:color="auto" w:fill="auto"/>
            <w:vAlign w:val="center"/>
          </w:tcPr>
          <w:p w14:paraId="61BE7E3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3FD73A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4B905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EC061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7B2363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AD77723">
            <w:pPr>
              <w:pStyle w:val="149"/>
              <w:widowControl w:val="0"/>
              <w:jc w:val="right"/>
              <w:rPr>
                <w:rFonts w:cs="Times New Roman"/>
                <w:sz w:val="20"/>
              </w:rPr>
            </w:pPr>
            <w:r>
              <w:rPr>
                <w:rFonts w:hint="eastAsia" w:cs="Times New Roman"/>
                <w:sz w:val="20"/>
              </w:rPr>
              <w:t>XX</w:t>
            </w:r>
          </w:p>
        </w:tc>
      </w:tr>
      <w:tr w14:paraId="05E1D0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F686AC">
            <w:pPr>
              <w:pStyle w:val="149"/>
              <w:widowControl w:val="0"/>
              <w:jc w:val="both"/>
              <w:rPr>
                <w:rFonts w:cs="Times New Roman"/>
                <w:sz w:val="20"/>
              </w:rPr>
            </w:pPr>
            <w:r>
              <w:rPr>
                <w:rFonts w:cs="Times New Roman"/>
                <w:sz w:val="20"/>
              </w:rPr>
              <w:t>Deloitte</w:t>
            </w:r>
          </w:p>
        </w:tc>
        <w:tc>
          <w:tcPr>
            <w:tcW w:w="606" w:type="pct"/>
            <w:shd w:val="clear" w:color="auto" w:fill="auto"/>
            <w:vAlign w:val="center"/>
          </w:tcPr>
          <w:p w14:paraId="0B9923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D00C12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FECB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BFF8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A3A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4BD1BD7">
            <w:pPr>
              <w:pStyle w:val="149"/>
              <w:widowControl w:val="0"/>
              <w:jc w:val="right"/>
              <w:rPr>
                <w:rFonts w:cs="Times New Roman"/>
                <w:sz w:val="20"/>
              </w:rPr>
            </w:pPr>
            <w:r>
              <w:rPr>
                <w:rFonts w:hint="eastAsia" w:cs="Times New Roman"/>
                <w:sz w:val="20"/>
              </w:rPr>
              <w:t>XX</w:t>
            </w:r>
          </w:p>
        </w:tc>
      </w:tr>
      <w:tr w14:paraId="682FAE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309F1E9">
            <w:pPr>
              <w:pStyle w:val="149"/>
              <w:widowControl w:val="0"/>
              <w:jc w:val="both"/>
              <w:rPr>
                <w:rFonts w:cs="Times New Roman"/>
                <w:sz w:val="20"/>
              </w:rPr>
            </w:pPr>
            <w:r>
              <w:rPr>
                <w:rFonts w:cs="Times New Roman"/>
                <w:sz w:val="20"/>
              </w:rPr>
              <w:t>Aurion</w:t>
            </w:r>
          </w:p>
        </w:tc>
        <w:tc>
          <w:tcPr>
            <w:tcW w:w="606" w:type="pct"/>
            <w:shd w:val="clear" w:color="auto" w:fill="auto"/>
            <w:vAlign w:val="center"/>
          </w:tcPr>
          <w:p w14:paraId="6F923E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88113E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E6148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AE906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EE6A7F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1C5B14E">
            <w:pPr>
              <w:pStyle w:val="149"/>
              <w:widowControl w:val="0"/>
              <w:jc w:val="right"/>
              <w:rPr>
                <w:rFonts w:cs="Times New Roman"/>
                <w:sz w:val="20"/>
              </w:rPr>
            </w:pPr>
            <w:r>
              <w:rPr>
                <w:rFonts w:hint="eastAsia" w:cs="Times New Roman"/>
                <w:sz w:val="20"/>
              </w:rPr>
              <w:t>XX</w:t>
            </w:r>
          </w:p>
        </w:tc>
      </w:tr>
      <w:tr w14:paraId="1F3D1A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3D31A3">
            <w:pPr>
              <w:pStyle w:val="149"/>
              <w:widowControl w:val="0"/>
              <w:jc w:val="both"/>
              <w:rPr>
                <w:rFonts w:cs="Times New Roman"/>
                <w:sz w:val="20"/>
              </w:rPr>
            </w:pPr>
            <w:r>
              <w:rPr>
                <w:rFonts w:cs="Times New Roman"/>
                <w:sz w:val="20"/>
              </w:rPr>
              <w:t>Activpayroll</w:t>
            </w:r>
          </w:p>
        </w:tc>
        <w:tc>
          <w:tcPr>
            <w:tcW w:w="606" w:type="pct"/>
            <w:shd w:val="clear" w:color="auto" w:fill="auto"/>
            <w:vAlign w:val="center"/>
          </w:tcPr>
          <w:p w14:paraId="2EA5DFE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8B88C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0ABD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72682C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B72C74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54F4B8">
            <w:pPr>
              <w:pStyle w:val="149"/>
              <w:widowControl w:val="0"/>
              <w:jc w:val="right"/>
              <w:rPr>
                <w:rFonts w:cs="Times New Roman"/>
                <w:sz w:val="20"/>
              </w:rPr>
            </w:pPr>
            <w:r>
              <w:rPr>
                <w:rFonts w:hint="eastAsia" w:cs="Times New Roman"/>
                <w:sz w:val="20"/>
              </w:rPr>
              <w:t>XX</w:t>
            </w:r>
          </w:p>
        </w:tc>
      </w:tr>
      <w:tr w14:paraId="03D03B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6314A2E">
            <w:pPr>
              <w:pStyle w:val="149"/>
              <w:widowControl w:val="0"/>
              <w:jc w:val="both"/>
              <w:rPr>
                <w:rFonts w:cs="Times New Roman"/>
                <w:sz w:val="20"/>
              </w:rPr>
            </w:pPr>
            <w:r>
              <w:rPr>
                <w:rFonts w:cs="Times New Roman"/>
                <w:sz w:val="20"/>
              </w:rPr>
              <w:t>Immedis</w:t>
            </w:r>
          </w:p>
        </w:tc>
        <w:tc>
          <w:tcPr>
            <w:tcW w:w="606" w:type="pct"/>
            <w:shd w:val="clear" w:color="auto" w:fill="auto"/>
            <w:vAlign w:val="center"/>
          </w:tcPr>
          <w:p w14:paraId="2BF772D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FDA1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34634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BD16AA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BF5EDD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4B3765A">
            <w:pPr>
              <w:pStyle w:val="149"/>
              <w:widowControl w:val="0"/>
              <w:jc w:val="right"/>
              <w:rPr>
                <w:rFonts w:cs="Times New Roman"/>
                <w:sz w:val="20"/>
              </w:rPr>
            </w:pPr>
            <w:r>
              <w:rPr>
                <w:rFonts w:hint="eastAsia" w:cs="Times New Roman"/>
                <w:sz w:val="20"/>
              </w:rPr>
              <w:t>XX</w:t>
            </w:r>
          </w:p>
        </w:tc>
      </w:tr>
      <w:tr w14:paraId="7DC973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6903106">
            <w:pPr>
              <w:pStyle w:val="149"/>
              <w:widowControl w:val="0"/>
              <w:jc w:val="both"/>
              <w:rPr>
                <w:rFonts w:cs="Times New Roman"/>
                <w:sz w:val="20"/>
              </w:rPr>
            </w:pPr>
            <w:r>
              <w:rPr>
                <w:rFonts w:cs="Times New Roman"/>
                <w:sz w:val="20"/>
              </w:rPr>
              <w:t>Ascender</w:t>
            </w:r>
          </w:p>
        </w:tc>
        <w:tc>
          <w:tcPr>
            <w:tcW w:w="606" w:type="pct"/>
            <w:shd w:val="clear" w:color="auto" w:fill="auto"/>
            <w:vAlign w:val="center"/>
          </w:tcPr>
          <w:p w14:paraId="44B5A6F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7D25DB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C6314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284AD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4CC887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9B9C56">
            <w:pPr>
              <w:pStyle w:val="149"/>
              <w:widowControl w:val="0"/>
              <w:jc w:val="right"/>
              <w:rPr>
                <w:rFonts w:cs="Times New Roman"/>
                <w:sz w:val="20"/>
              </w:rPr>
            </w:pPr>
            <w:r>
              <w:rPr>
                <w:rFonts w:hint="eastAsia" w:cs="Times New Roman"/>
                <w:sz w:val="20"/>
              </w:rPr>
              <w:t>XX</w:t>
            </w:r>
          </w:p>
        </w:tc>
      </w:tr>
      <w:tr w14:paraId="34510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44F6B1A">
            <w:pPr>
              <w:pStyle w:val="149"/>
              <w:widowControl w:val="0"/>
              <w:jc w:val="both"/>
              <w:rPr>
                <w:rFonts w:cs="Times New Roman"/>
                <w:sz w:val="20"/>
              </w:rPr>
            </w:pPr>
            <w:r>
              <w:rPr>
                <w:rFonts w:cs="Times New Roman"/>
                <w:sz w:val="20"/>
              </w:rPr>
              <w:t>NGA HR</w:t>
            </w:r>
          </w:p>
        </w:tc>
        <w:tc>
          <w:tcPr>
            <w:tcW w:w="606" w:type="pct"/>
            <w:shd w:val="clear" w:color="auto" w:fill="auto"/>
            <w:vAlign w:val="center"/>
          </w:tcPr>
          <w:p w14:paraId="65CC92E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42C3B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00D9C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BB0BC4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633E7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034CAB2">
            <w:pPr>
              <w:pStyle w:val="149"/>
              <w:widowControl w:val="0"/>
              <w:jc w:val="right"/>
              <w:rPr>
                <w:rFonts w:cs="Times New Roman"/>
                <w:sz w:val="20"/>
              </w:rPr>
            </w:pPr>
            <w:r>
              <w:rPr>
                <w:rFonts w:hint="eastAsia" w:cs="Times New Roman"/>
                <w:sz w:val="20"/>
              </w:rPr>
              <w:t>XX</w:t>
            </w:r>
          </w:p>
        </w:tc>
      </w:tr>
      <w:tr w14:paraId="3A68C18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363DB9A">
            <w:pPr>
              <w:pStyle w:val="149"/>
              <w:widowControl w:val="0"/>
              <w:jc w:val="both"/>
              <w:rPr>
                <w:rFonts w:cs="Times New Roman"/>
                <w:sz w:val="20"/>
              </w:rPr>
            </w:pPr>
            <w:r>
              <w:rPr>
                <w:rFonts w:cs="Times New Roman"/>
                <w:sz w:val="20"/>
              </w:rPr>
              <w:t>Neeyamo</w:t>
            </w:r>
          </w:p>
        </w:tc>
        <w:tc>
          <w:tcPr>
            <w:tcW w:w="606" w:type="pct"/>
            <w:shd w:val="clear" w:color="auto" w:fill="auto"/>
            <w:vAlign w:val="center"/>
          </w:tcPr>
          <w:p w14:paraId="48EC79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30621F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52F6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BADB3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788FA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C5FEC">
            <w:pPr>
              <w:pStyle w:val="149"/>
              <w:widowControl w:val="0"/>
              <w:jc w:val="right"/>
              <w:rPr>
                <w:rFonts w:cs="Times New Roman"/>
                <w:sz w:val="20"/>
              </w:rPr>
            </w:pPr>
            <w:r>
              <w:rPr>
                <w:rFonts w:hint="eastAsia" w:cs="Times New Roman"/>
                <w:sz w:val="20"/>
              </w:rPr>
              <w:t>XX</w:t>
            </w:r>
          </w:p>
        </w:tc>
      </w:tr>
      <w:tr w14:paraId="0B2E9E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D5BF0C">
            <w:pPr>
              <w:pStyle w:val="149"/>
              <w:widowControl w:val="0"/>
              <w:jc w:val="both"/>
              <w:rPr>
                <w:rFonts w:cs="Times New Roman"/>
                <w:sz w:val="20"/>
              </w:rPr>
            </w:pPr>
            <w:r>
              <w:rPr>
                <w:rFonts w:cs="Times New Roman"/>
                <w:sz w:val="20"/>
              </w:rPr>
              <w:t>BDO</w:t>
            </w:r>
          </w:p>
        </w:tc>
        <w:tc>
          <w:tcPr>
            <w:tcW w:w="606" w:type="pct"/>
            <w:shd w:val="clear" w:color="auto" w:fill="auto"/>
            <w:vAlign w:val="center"/>
          </w:tcPr>
          <w:p w14:paraId="260F0920">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DDDB5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3403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964F16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8D7E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F4CAA51">
            <w:pPr>
              <w:pStyle w:val="149"/>
              <w:widowControl w:val="0"/>
              <w:jc w:val="right"/>
              <w:rPr>
                <w:rFonts w:cs="Times New Roman"/>
                <w:sz w:val="20"/>
              </w:rPr>
            </w:pPr>
            <w:r>
              <w:rPr>
                <w:rFonts w:hint="eastAsia" w:cs="Times New Roman"/>
                <w:sz w:val="20"/>
              </w:rPr>
              <w:t>XX</w:t>
            </w:r>
          </w:p>
        </w:tc>
      </w:tr>
      <w:tr w14:paraId="7D26E2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672FEAB">
            <w:pPr>
              <w:pStyle w:val="149"/>
              <w:widowControl w:val="0"/>
              <w:jc w:val="both"/>
              <w:rPr>
                <w:rFonts w:cs="Times New Roman"/>
                <w:sz w:val="20"/>
              </w:rPr>
            </w:pPr>
            <w:r>
              <w:rPr>
                <w:rFonts w:cs="Times New Roman"/>
                <w:sz w:val="20"/>
              </w:rPr>
              <w:t>CloudPay</w:t>
            </w:r>
          </w:p>
        </w:tc>
        <w:tc>
          <w:tcPr>
            <w:tcW w:w="606" w:type="pct"/>
            <w:shd w:val="clear" w:color="auto" w:fill="auto"/>
            <w:vAlign w:val="center"/>
          </w:tcPr>
          <w:p w14:paraId="54A0AFB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3814E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9E20C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5B2F6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036717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ABB40B">
            <w:pPr>
              <w:pStyle w:val="149"/>
              <w:widowControl w:val="0"/>
              <w:jc w:val="right"/>
              <w:rPr>
                <w:rFonts w:cs="Times New Roman"/>
                <w:sz w:val="20"/>
              </w:rPr>
            </w:pPr>
            <w:r>
              <w:rPr>
                <w:rFonts w:hint="eastAsia" w:cs="Times New Roman"/>
                <w:sz w:val="20"/>
              </w:rPr>
              <w:t>XX</w:t>
            </w:r>
          </w:p>
        </w:tc>
      </w:tr>
      <w:tr w14:paraId="409693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7BA5D84">
            <w:pPr>
              <w:pStyle w:val="149"/>
              <w:widowControl w:val="0"/>
              <w:jc w:val="both"/>
              <w:rPr>
                <w:rFonts w:cs="Times New Roman"/>
                <w:sz w:val="20"/>
              </w:rPr>
            </w:pPr>
            <w:r>
              <w:rPr>
                <w:rFonts w:cs="Times New Roman"/>
                <w:sz w:val="20"/>
              </w:rPr>
              <w:t>Excelity</w:t>
            </w:r>
          </w:p>
        </w:tc>
        <w:tc>
          <w:tcPr>
            <w:tcW w:w="606" w:type="pct"/>
            <w:shd w:val="clear" w:color="auto" w:fill="auto"/>
            <w:vAlign w:val="center"/>
          </w:tcPr>
          <w:p w14:paraId="23A280A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C2F19A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5F80D5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2464C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73AD32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6C4379E">
            <w:pPr>
              <w:pStyle w:val="149"/>
              <w:widowControl w:val="0"/>
              <w:jc w:val="right"/>
              <w:rPr>
                <w:rFonts w:cs="Times New Roman"/>
                <w:sz w:val="20"/>
              </w:rPr>
            </w:pPr>
            <w:r>
              <w:rPr>
                <w:rFonts w:hint="eastAsia" w:cs="Times New Roman"/>
                <w:sz w:val="20"/>
              </w:rPr>
              <w:t>XX</w:t>
            </w:r>
          </w:p>
        </w:tc>
      </w:tr>
      <w:tr w14:paraId="7F3446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98D29A">
            <w:pPr>
              <w:pStyle w:val="149"/>
              <w:widowControl w:val="0"/>
              <w:jc w:val="both"/>
              <w:rPr>
                <w:rFonts w:cs="Times New Roman"/>
                <w:sz w:val="20"/>
              </w:rPr>
            </w:pPr>
            <w:r>
              <w:rPr>
                <w:rFonts w:cs="Times New Roman"/>
                <w:sz w:val="20"/>
              </w:rPr>
              <w:t>i-Admin</w:t>
            </w:r>
          </w:p>
        </w:tc>
        <w:tc>
          <w:tcPr>
            <w:tcW w:w="606" w:type="pct"/>
            <w:shd w:val="clear" w:color="auto" w:fill="auto"/>
            <w:vAlign w:val="center"/>
          </w:tcPr>
          <w:p w14:paraId="60D4530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833CB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1BC2EC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5ACE3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5A643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712F66">
            <w:pPr>
              <w:pStyle w:val="149"/>
              <w:widowControl w:val="0"/>
              <w:jc w:val="right"/>
              <w:rPr>
                <w:rFonts w:cs="Times New Roman"/>
                <w:sz w:val="20"/>
              </w:rPr>
            </w:pPr>
            <w:r>
              <w:rPr>
                <w:rFonts w:hint="eastAsia" w:cs="Times New Roman"/>
                <w:sz w:val="20"/>
              </w:rPr>
              <w:t>XX</w:t>
            </w:r>
          </w:p>
        </w:tc>
      </w:tr>
      <w:tr w14:paraId="6410A02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36E6810">
            <w:pPr>
              <w:pStyle w:val="149"/>
              <w:widowControl w:val="0"/>
              <w:jc w:val="both"/>
              <w:rPr>
                <w:rFonts w:cs="Times New Roman"/>
                <w:sz w:val="20"/>
              </w:rPr>
            </w:pPr>
            <w:r>
              <w:rPr>
                <w:rFonts w:cs="Times New Roman"/>
                <w:sz w:val="20"/>
              </w:rPr>
              <w:t>TriNet</w:t>
            </w:r>
          </w:p>
        </w:tc>
        <w:tc>
          <w:tcPr>
            <w:tcW w:w="606" w:type="pct"/>
            <w:shd w:val="clear" w:color="auto" w:fill="auto"/>
            <w:vAlign w:val="center"/>
          </w:tcPr>
          <w:p w14:paraId="0D9ADD3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9266C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1EBBE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1A871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4BD942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7EAC190">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167094558"/>
      <w:bookmarkStart w:id="153" w:name="_Toc24028918"/>
      <w:bookmarkStart w:id="154" w:name="_Toc26780014"/>
      <w:bookmarkStart w:id="155" w:name="_Toc121583610"/>
      <w:r>
        <w:rPr>
          <w:rFonts w:hint="eastAsia"/>
        </w:rPr>
        <w:t>2023年欧洲市场主要厂商</w:t>
      </w:r>
      <w:r>
        <w:t>工资外包服务</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21583900"/>
      <w:bookmarkStart w:id="159" w:name="_Toc167094648"/>
      <w:r>
        <w:rPr>
          <w:rFonts w:hint="eastAsia"/>
        </w:rPr>
        <w:t>欧洲市场主要厂商</w:t>
      </w:r>
      <w:r>
        <w:t>工资外包服务</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6780073"/>
      <w:bookmarkStart w:id="161" w:name="_Toc24028919"/>
      <w:bookmarkStart w:id="162" w:name="_Toc121583632"/>
      <w:bookmarkStart w:id="163" w:name="_Toc167094571"/>
      <w:r>
        <w:rPr>
          <w:rFonts w:hint="eastAsia"/>
        </w:rPr>
        <w:t>欧洲市场主要厂商</w:t>
      </w:r>
      <w:r>
        <w:t>工资外包服务</w:t>
      </w:r>
      <w:r>
        <w:rPr>
          <w:rFonts w:hint="eastAsia"/>
        </w:rPr>
        <w:t>价格</w:t>
      </w:r>
      <w:bookmarkEnd w:id="160"/>
      <w:bookmarkEnd w:id="161"/>
      <w:r>
        <w:rPr>
          <w:rFonts w:hint="eastAsia"/>
        </w:rPr>
        <w:t>（2019-2024）&amp;（）</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ADP</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Sage</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Xerox</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Paychex</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Gusto</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Intuit</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Zalaris</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D8A9F6C">
            <w:pPr>
              <w:pStyle w:val="149"/>
              <w:widowControl w:val="0"/>
              <w:jc w:val="both"/>
              <w:rPr>
                <w:rFonts w:cs="Times New Roman"/>
                <w:sz w:val="20"/>
              </w:rPr>
            </w:pPr>
            <w:r>
              <w:rPr>
                <w:rFonts w:cs="Times New Roman"/>
                <w:sz w:val="20"/>
              </w:rPr>
              <w:t>Infosys</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r w14:paraId="70F470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2DE57F">
            <w:pPr>
              <w:pStyle w:val="149"/>
              <w:widowControl w:val="0"/>
              <w:jc w:val="both"/>
              <w:rPr>
                <w:rFonts w:cs="Times New Roman"/>
                <w:sz w:val="20"/>
              </w:rPr>
            </w:pPr>
            <w:r>
              <w:rPr>
                <w:rFonts w:cs="Times New Roman"/>
                <w:sz w:val="20"/>
              </w:rPr>
              <w:t>KPMG</w:t>
            </w:r>
          </w:p>
        </w:tc>
        <w:tc>
          <w:tcPr>
            <w:tcW w:w="606" w:type="pct"/>
            <w:shd w:val="clear" w:color="auto" w:fill="auto"/>
            <w:vAlign w:val="center"/>
          </w:tcPr>
          <w:p w14:paraId="1FCA27F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6BAE5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30CB6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BF0D2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168425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C5239F">
            <w:pPr>
              <w:pStyle w:val="149"/>
              <w:widowControl w:val="0"/>
              <w:jc w:val="right"/>
              <w:rPr>
                <w:rFonts w:cs="Times New Roman"/>
                <w:sz w:val="20"/>
              </w:rPr>
            </w:pPr>
            <w:r>
              <w:rPr>
                <w:rFonts w:hint="eastAsia" w:cs="Times New Roman"/>
                <w:sz w:val="20"/>
              </w:rPr>
              <w:t>XX</w:t>
            </w:r>
          </w:p>
        </w:tc>
      </w:tr>
      <w:tr w14:paraId="263CF3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C9BA468">
            <w:pPr>
              <w:pStyle w:val="149"/>
              <w:widowControl w:val="0"/>
              <w:jc w:val="both"/>
              <w:rPr>
                <w:rFonts w:cs="Times New Roman"/>
                <w:sz w:val="20"/>
              </w:rPr>
            </w:pPr>
            <w:r>
              <w:rPr>
                <w:rFonts w:cs="Times New Roman"/>
                <w:sz w:val="20"/>
              </w:rPr>
              <w:t>Vision H.R.</w:t>
            </w:r>
          </w:p>
        </w:tc>
        <w:tc>
          <w:tcPr>
            <w:tcW w:w="606" w:type="pct"/>
            <w:shd w:val="clear" w:color="auto" w:fill="auto"/>
            <w:vAlign w:val="center"/>
          </w:tcPr>
          <w:p w14:paraId="29FF120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962A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2E12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8C168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491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80189C">
            <w:pPr>
              <w:pStyle w:val="149"/>
              <w:widowControl w:val="0"/>
              <w:jc w:val="right"/>
              <w:rPr>
                <w:rFonts w:cs="Times New Roman"/>
                <w:sz w:val="20"/>
              </w:rPr>
            </w:pPr>
            <w:r>
              <w:rPr>
                <w:rFonts w:hint="eastAsia" w:cs="Times New Roman"/>
                <w:sz w:val="20"/>
              </w:rPr>
              <w:t>XX</w:t>
            </w:r>
          </w:p>
        </w:tc>
      </w:tr>
      <w:tr w14:paraId="213E7C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4FFBD8">
            <w:pPr>
              <w:pStyle w:val="149"/>
              <w:widowControl w:val="0"/>
              <w:jc w:val="both"/>
              <w:rPr>
                <w:rFonts w:cs="Times New Roman"/>
                <w:sz w:val="20"/>
              </w:rPr>
            </w:pPr>
            <w:r>
              <w:rPr>
                <w:rFonts w:cs="Times New Roman"/>
                <w:sz w:val="20"/>
              </w:rPr>
              <w:t>Deloitte</w:t>
            </w:r>
          </w:p>
        </w:tc>
        <w:tc>
          <w:tcPr>
            <w:tcW w:w="606" w:type="pct"/>
            <w:shd w:val="clear" w:color="auto" w:fill="auto"/>
            <w:vAlign w:val="center"/>
          </w:tcPr>
          <w:p w14:paraId="167D398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D14C26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07241B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4F8C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8C468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1F2F8C5">
            <w:pPr>
              <w:pStyle w:val="149"/>
              <w:widowControl w:val="0"/>
              <w:jc w:val="right"/>
              <w:rPr>
                <w:rFonts w:cs="Times New Roman"/>
                <w:sz w:val="20"/>
              </w:rPr>
            </w:pPr>
            <w:r>
              <w:rPr>
                <w:rFonts w:hint="eastAsia" w:cs="Times New Roman"/>
                <w:sz w:val="20"/>
              </w:rPr>
              <w:t>XX</w:t>
            </w:r>
          </w:p>
        </w:tc>
      </w:tr>
      <w:tr w14:paraId="07337D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5469924">
            <w:pPr>
              <w:pStyle w:val="149"/>
              <w:widowControl w:val="0"/>
              <w:jc w:val="both"/>
              <w:rPr>
                <w:rFonts w:cs="Times New Roman"/>
                <w:sz w:val="20"/>
              </w:rPr>
            </w:pPr>
            <w:r>
              <w:rPr>
                <w:rFonts w:cs="Times New Roman"/>
                <w:sz w:val="20"/>
              </w:rPr>
              <w:t>Aurion</w:t>
            </w:r>
          </w:p>
        </w:tc>
        <w:tc>
          <w:tcPr>
            <w:tcW w:w="606" w:type="pct"/>
            <w:shd w:val="clear" w:color="auto" w:fill="auto"/>
            <w:vAlign w:val="center"/>
          </w:tcPr>
          <w:p w14:paraId="306DDD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1DD5F4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9E150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F9A1B7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1BA3B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D650311">
            <w:pPr>
              <w:pStyle w:val="149"/>
              <w:widowControl w:val="0"/>
              <w:jc w:val="right"/>
              <w:rPr>
                <w:rFonts w:cs="Times New Roman"/>
                <w:sz w:val="20"/>
              </w:rPr>
            </w:pPr>
            <w:r>
              <w:rPr>
                <w:rFonts w:hint="eastAsia" w:cs="Times New Roman"/>
                <w:sz w:val="20"/>
              </w:rPr>
              <w:t>XX</w:t>
            </w:r>
          </w:p>
        </w:tc>
      </w:tr>
      <w:tr w14:paraId="78BFC6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D66D317">
            <w:pPr>
              <w:pStyle w:val="149"/>
              <w:widowControl w:val="0"/>
              <w:jc w:val="both"/>
              <w:rPr>
                <w:rFonts w:cs="Times New Roman"/>
                <w:sz w:val="20"/>
              </w:rPr>
            </w:pPr>
            <w:r>
              <w:rPr>
                <w:rFonts w:cs="Times New Roman"/>
                <w:sz w:val="20"/>
              </w:rPr>
              <w:t>Activpayroll</w:t>
            </w:r>
          </w:p>
        </w:tc>
        <w:tc>
          <w:tcPr>
            <w:tcW w:w="606" w:type="pct"/>
            <w:shd w:val="clear" w:color="auto" w:fill="auto"/>
            <w:vAlign w:val="center"/>
          </w:tcPr>
          <w:p w14:paraId="4CBCF82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884E4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30B5E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7BFB8F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1277F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340D1DC">
            <w:pPr>
              <w:pStyle w:val="149"/>
              <w:widowControl w:val="0"/>
              <w:jc w:val="right"/>
              <w:rPr>
                <w:rFonts w:cs="Times New Roman"/>
                <w:sz w:val="20"/>
              </w:rPr>
            </w:pPr>
            <w:r>
              <w:rPr>
                <w:rFonts w:hint="eastAsia" w:cs="Times New Roman"/>
                <w:sz w:val="20"/>
              </w:rPr>
              <w:t>XX</w:t>
            </w:r>
          </w:p>
        </w:tc>
      </w:tr>
      <w:tr w14:paraId="325780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1FC3D6">
            <w:pPr>
              <w:pStyle w:val="149"/>
              <w:widowControl w:val="0"/>
              <w:jc w:val="both"/>
              <w:rPr>
                <w:rFonts w:cs="Times New Roman"/>
                <w:sz w:val="20"/>
              </w:rPr>
            </w:pPr>
            <w:r>
              <w:rPr>
                <w:rFonts w:cs="Times New Roman"/>
                <w:sz w:val="20"/>
              </w:rPr>
              <w:t>Immedis</w:t>
            </w:r>
          </w:p>
        </w:tc>
        <w:tc>
          <w:tcPr>
            <w:tcW w:w="606" w:type="pct"/>
            <w:shd w:val="clear" w:color="auto" w:fill="auto"/>
            <w:vAlign w:val="center"/>
          </w:tcPr>
          <w:p w14:paraId="0DA8D44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E401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14D2E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ECCA41">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217F8A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CAA0A3C">
            <w:pPr>
              <w:pStyle w:val="149"/>
              <w:widowControl w:val="0"/>
              <w:jc w:val="right"/>
              <w:rPr>
                <w:rFonts w:cs="Times New Roman"/>
                <w:sz w:val="20"/>
              </w:rPr>
            </w:pPr>
            <w:r>
              <w:rPr>
                <w:rFonts w:hint="eastAsia" w:cs="Times New Roman"/>
                <w:sz w:val="20"/>
              </w:rPr>
              <w:t>XX</w:t>
            </w:r>
          </w:p>
        </w:tc>
      </w:tr>
      <w:tr w14:paraId="22334E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1DC48A2">
            <w:pPr>
              <w:pStyle w:val="149"/>
              <w:widowControl w:val="0"/>
              <w:jc w:val="both"/>
              <w:rPr>
                <w:rFonts w:cs="Times New Roman"/>
                <w:sz w:val="20"/>
              </w:rPr>
            </w:pPr>
            <w:r>
              <w:rPr>
                <w:rFonts w:cs="Times New Roman"/>
                <w:sz w:val="20"/>
              </w:rPr>
              <w:t>Ascender</w:t>
            </w:r>
          </w:p>
        </w:tc>
        <w:tc>
          <w:tcPr>
            <w:tcW w:w="606" w:type="pct"/>
            <w:shd w:val="clear" w:color="auto" w:fill="auto"/>
            <w:vAlign w:val="center"/>
          </w:tcPr>
          <w:p w14:paraId="5ADB615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32356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A3862D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03601C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2EEA6A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87D18F5">
            <w:pPr>
              <w:pStyle w:val="149"/>
              <w:widowControl w:val="0"/>
              <w:jc w:val="right"/>
              <w:rPr>
                <w:rFonts w:cs="Times New Roman"/>
                <w:sz w:val="20"/>
              </w:rPr>
            </w:pPr>
            <w:r>
              <w:rPr>
                <w:rFonts w:hint="eastAsia" w:cs="Times New Roman"/>
                <w:sz w:val="20"/>
              </w:rPr>
              <w:t>XX</w:t>
            </w:r>
          </w:p>
        </w:tc>
      </w:tr>
      <w:tr w14:paraId="0AFA75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54D4ED5">
            <w:pPr>
              <w:pStyle w:val="149"/>
              <w:widowControl w:val="0"/>
              <w:jc w:val="both"/>
              <w:rPr>
                <w:rFonts w:cs="Times New Roman"/>
                <w:sz w:val="20"/>
              </w:rPr>
            </w:pPr>
            <w:r>
              <w:rPr>
                <w:rFonts w:cs="Times New Roman"/>
                <w:sz w:val="20"/>
              </w:rPr>
              <w:t>NGA HR</w:t>
            </w:r>
          </w:p>
        </w:tc>
        <w:tc>
          <w:tcPr>
            <w:tcW w:w="606" w:type="pct"/>
            <w:shd w:val="clear" w:color="auto" w:fill="auto"/>
            <w:vAlign w:val="center"/>
          </w:tcPr>
          <w:p w14:paraId="21D5FE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994F66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2BE419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7E7D63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412B07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C087197">
            <w:pPr>
              <w:pStyle w:val="149"/>
              <w:widowControl w:val="0"/>
              <w:jc w:val="right"/>
              <w:rPr>
                <w:rFonts w:cs="Times New Roman"/>
                <w:sz w:val="20"/>
              </w:rPr>
            </w:pPr>
            <w:r>
              <w:rPr>
                <w:rFonts w:hint="eastAsia" w:cs="Times New Roman"/>
                <w:sz w:val="20"/>
              </w:rPr>
              <w:t>XX</w:t>
            </w:r>
          </w:p>
        </w:tc>
      </w:tr>
      <w:tr w14:paraId="1BE2DB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582A860">
            <w:pPr>
              <w:pStyle w:val="149"/>
              <w:widowControl w:val="0"/>
              <w:jc w:val="both"/>
              <w:rPr>
                <w:rFonts w:cs="Times New Roman"/>
                <w:sz w:val="20"/>
              </w:rPr>
            </w:pPr>
            <w:r>
              <w:rPr>
                <w:rFonts w:cs="Times New Roman"/>
                <w:sz w:val="20"/>
              </w:rPr>
              <w:t>Neeyamo</w:t>
            </w:r>
          </w:p>
        </w:tc>
        <w:tc>
          <w:tcPr>
            <w:tcW w:w="606" w:type="pct"/>
            <w:shd w:val="clear" w:color="auto" w:fill="auto"/>
            <w:vAlign w:val="center"/>
          </w:tcPr>
          <w:p w14:paraId="40823BD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F3FC16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BEBCC7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0F934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090C38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CAB1F77">
            <w:pPr>
              <w:pStyle w:val="149"/>
              <w:widowControl w:val="0"/>
              <w:jc w:val="right"/>
              <w:rPr>
                <w:rFonts w:cs="Times New Roman"/>
                <w:sz w:val="20"/>
              </w:rPr>
            </w:pPr>
            <w:r>
              <w:rPr>
                <w:rFonts w:hint="eastAsia" w:cs="Times New Roman"/>
                <w:sz w:val="20"/>
              </w:rPr>
              <w:t>XX</w:t>
            </w:r>
          </w:p>
        </w:tc>
      </w:tr>
      <w:tr w14:paraId="1EDC7D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1A947D">
            <w:pPr>
              <w:pStyle w:val="149"/>
              <w:widowControl w:val="0"/>
              <w:jc w:val="both"/>
              <w:rPr>
                <w:rFonts w:cs="Times New Roman"/>
                <w:sz w:val="20"/>
              </w:rPr>
            </w:pPr>
            <w:r>
              <w:rPr>
                <w:rFonts w:cs="Times New Roman"/>
                <w:sz w:val="20"/>
              </w:rPr>
              <w:t>BDO</w:t>
            </w:r>
          </w:p>
        </w:tc>
        <w:tc>
          <w:tcPr>
            <w:tcW w:w="606" w:type="pct"/>
            <w:shd w:val="clear" w:color="auto" w:fill="auto"/>
            <w:vAlign w:val="center"/>
          </w:tcPr>
          <w:p w14:paraId="3BBF775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5349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548282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C39EB5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071E4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D21A5A5">
            <w:pPr>
              <w:pStyle w:val="149"/>
              <w:widowControl w:val="0"/>
              <w:jc w:val="right"/>
              <w:rPr>
                <w:rFonts w:cs="Times New Roman"/>
                <w:sz w:val="20"/>
              </w:rPr>
            </w:pPr>
            <w:r>
              <w:rPr>
                <w:rFonts w:hint="eastAsia" w:cs="Times New Roman"/>
                <w:sz w:val="20"/>
              </w:rPr>
              <w:t>XX</w:t>
            </w:r>
          </w:p>
        </w:tc>
      </w:tr>
      <w:tr w14:paraId="2574D99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BCACABF">
            <w:pPr>
              <w:pStyle w:val="149"/>
              <w:widowControl w:val="0"/>
              <w:jc w:val="both"/>
              <w:rPr>
                <w:rFonts w:cs="Times New Roman"/>
                <w:sz w:val="20"/>
              </w:rPr>
            </w:pPr>
            <w:r>
              <w:rPr>
                <w:rFonts w:cs="Times New Roman"/>
                <w:sz w:val="20"/>
              </w:rPr>
              <w:t>CloudPay</w:t>
            </w:r>
          </w:p>
        </w:tc>
        <w:tc>
          <w:tcPr>
            <w:tcW w:w="606" w:type="pct"/>
            <w:shd w:val="clear" w:color="auto" w:fill="auto"/>
            <w:vAlign w:val="center"/>
          </w:tcPr>
          <w:p w14:paraId="7DD0C06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C72000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786A8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9CAB2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F5E70F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51FF132">
            <w:pPr>
              <w:pStyle w:val="149"/>
              <w:widowControl w:val="0"/>
              <w:jc w:val="right"/>
              <w:rPr>
                <w:rFonts w:cs="Times New Roman"/>
                <w:sz w:val="20"/>
              </w:rPr>
            </w:pPr>
            <w:r>
              <w:rPr>
                <w:rFonts w:hint="eastAsia" w:cs="Times New Roman"/>
                <w:sz w:val="20"/>
              </w:rPr>
              <w:t>XX</w:t>
            </w:r>
          </w:p>
        </w:tc>
      </w:tr>
      <w:tr w14:paraId="62F83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ECD3CB2">
            <w:pPr>
              <w:pStyle w:val="149"/>
              <w:widowControl w:val="0"/>
              <w:jc w:val="both"/>
              <w:rPr>
                <w:rFonts w:cs="Times New Roman"/>
                <w:sz w:val="20"/>
              </w:rPr>
            </w:pPr>
            <w:r>
              <w:rPr>
                <w:rFonts w:cs="Times New Roman"/>
                <w:sz w:val="20"/>
              </w:rPr>
              <w:t>Excelity</w:t>
            </w:r>
          </w:p>
        </w:tc>
        <w:tc>
          <w:tcPr>
            <w:tcW w:w="606" w:type="pct"/>
            <w:shd w:val="clear" w:color="auto" w:fill="auto"/>
            <w:vAlign w:val="center"/>
          </w:tcPr>
          <w:p w14:paraId="729E384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AE1DDC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606CB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B6F92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F811DD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763992E">
            <w:pPr>
              <w:pStyle w:val="149"/>
              <w:widowControl w:val="0"/>
              <w:jc w:val="right"/>
              <w:rPr>
                <w:rFonts w:cs="Times New Roman"/>
                <w:sz w:val="20"/>
              </w:rPr>
            </w:pPr>
            <w:r>
              <w:rPr>
                <w:rFonts w:hint="eastAsia" w:cs="Times New Roman"/>
                <w:sz w:val="20"/>
              </w:rPr>
              <w:t>XX</w:t>
            </w:r>
          </w:p>
        </w:tc>
      </w:tr>
      <w:tr w14:paraId="295AC5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67455E6">
            <w:pPr>
              <w:pStyle w:val="149"/>
              <w:widowControl w:val="0"/>
              <w:jc w:val="both"/>
              <w:rPr>
                <w:rFonts w:cs="Times New Roman"/>
                <w:sz w:val="20"/>
              </w:rPr>
            </w:pPr>
            <w:r>
              <w:rPr>
                <w:rFonts w:cs="Times New Roman"/>
                <w:sz w:val="20"/>
              </w:rPr>
              <w:t>i-Admin</w:t>
            </w:r>
          </w:p>
        </w:tc>
        <w:tc>
          <w:tcPr>
            <w:tcW w:w="606" w:type="pct"/>
            <w:shd w:val="clear" w:color="auto" w:fill="auto"/>
            <w:vAlign w:val="center"/>
          </w:tcPr>
          <w:p w14:paraId="1810525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532A74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347E4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995F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9A79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92E1EA6">
            <w:pPr>
              <w:pStyle w:val="149"/>
              <w:widowControl w:val="0"/>
              <w:jc w:val="right"/>
              <w:rPr>
                <w:rFonts w:cs="Times New Roman"/>
                <w:sz w:val="20"/>
              </w:rPr>
            </w:pPr>
            <w:r>
              <w:rPr>
                <w:rFonts w:hint="eastAsia" w:cs="Times New Roman"/>
                <w:sz w:val="20"/>
              </w:rPr>
              <w:t>XX</w:t>
            </w:r>
          </w:p>
        </w:tc>
      </w:tr>
      <w:tr w14:paraId="6279D1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A673BF0">
            <w:pPr>
              <w:pStyle w:val="149"/>
              <w:widowControl w:val="0"/>
              <w:jc w:val="both"/>
              <w:rPr>
                <w:rFonts w:cs="Times New Roman"/>
                <w:sz w:val="20"/>
              </w:rPr>
            </w:pPr>
            <w:r>
              <w:rPr>
                <w:rFonts w:cs="Times New Roman"/>
                <w:sz w:val="20"/>
              </w:rPr>
              <w:t>TriNet</w:t>
            </w:r>
          </w:p>
        </w:tc>
        <w:tc>
          <w:tcPr>
            <w:tcW w:w="606" w:type="pct"/>
            <w:shd w:val="clear" w:color="auto" w:fill="auto"/>
            <w:vAlign w:val="center"/>
          </w:tcPr>
          <w:p w14:paraId="057313D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ACC2A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87F1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571C1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DE09DB">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C2CEC7F">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24972503"/>
      <w:bookmarkStart w:id="165" w:name="_Toc121583904"/>
      <w:bookmarkStart w:id="166" w:name="_Toc24028313"/>
      <w:bookmarkStart w:id="167" w:name="_Toc167094649"/>
      <w:r>
        <w:t>工资外包服务</w:t>
      </w:r>
      <w:r>
        <w:rPr>
          <w:rFonts w:hint="eastAsia"/>
        </w:rPr>
        <w:t>行业集中度、竞争程度分析</w:t>
      </w:r>
      <w:bookmarkEnd w:id="164"/>
      <w:bookmarkEnd w:id="165"/>
      <w:bookmarkEnd w:id="166"/>
      <w:bookmarkEnd w:id="167"/>
    </w:p>
    <w:p w14:paraId="1B669F95">
      <w:pPr>
        <w:pStyle w:val="130"/>
      </w:pPr>
      <w:bookmarkStart w:id="168" w:name="_Toc167094559"/>
      <w:bookmarkStart w:id="169" w:name="_Toc121583611"/>
      <w:bookmarkStart w:id="170" w:name="_Hlk76049547"/>
      <w:r>
        <w:rPr>
          <w:rFonts w:hint="eastAsia"/>
        </w:rPr>
        <w:t>2023年欧洲市场前五大厂商</w:t>
      </w:r>
      <w:r>
        <w:t>工资外包服务</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7094651"/>
      <w:bookmarkStart w:id="173" w:name="_Toc166747454"/>
      <w:r>
        <w:rPr>
          <w:rFonts w:hint="eastAsia"/>
        </w:rPr>
        <w:t>欧洲市场</w:t>
      </w:r>
      <w:r>
        <w:t>工资外包服务</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欧洲主要国家工资外包服务厂商分析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21583907"/>
      <w:bookmarkStart w:id="179" w:name="_Toc167094654"/>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972530"/>
      <w:bookmarkStart w:id="181" w:name="_Toc24028340"/>
      <w:bookmarkStart w:id="182" w:name="_Toc121583908"/>
      <w:bookmarkStart w:id="183" w:name="_Toc167094655"/>
      <w:r>
        <w:rPr>
          <w:rFonts w:hint="eastAsia"/>
        </w:rPr>
        <w:t>ADP</w:t>
      </w:r>
      <w:bookmarkEnd w:id="180"/>
      <w:bookmarkEnd w:id="181"/>
      <w:bookmarkEnd w:id="182"/>
      <w:bookmarkEnd w:id="183"/>
    </w:p>
    <w:p w14:paraId="2AD2EBE1"/>
    <w:p w14:paraId="78AFE423">
      <w:pPr>
        <w:pStyle w:val="4"/>
      </w:pPr>
      <w:bookmarkStart w:id="184" w:name="_Toc121583909"/>
      <w:bookmarkStart w:id="185" w:name="_Toc24028341"/>
      <w:bookmarkStart w:id="186" w:name="_Toc167094656"/>
      <w:bookmarkStart w:id="187" w:name="_Toc24972531"/>
      <w:r>
        <w:rPr>
          <w:rFonts w:hint="eastAsia"/>
        </w:rPr>
        <w:t>ADP基本信息、</w:t>
      </w:r>
      <w:bookmarkStart w:id="188" w:name="_Hlk28095203"/>
      <w:r>
        <w:rPr>
          <w:rFonts w:hint="eastAsia"/>
        </w:rPr>
        <w:t>工资外包服务</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24028962"/>
      <w:bookmarkStart w:id="190" w:name="_Toc121583637"/>
      <w:bookmarkStart w:id="191" w:name="_Toc26780083"/>
      <w:bookmarkStart w:id="192" w:name="_Toc167094572"/>
      <w:r>
        <w:rPr>
          <w:rFonts w:hint="eastAsia"/>
        </w:rPr>
        <w:t>ADP</w:t>
      </w:r>
      <w:r>
        <w:t xml:space="preserve"> </w:t>
      </w:r>
      <w:r>
        <w:rPr>
          <w:rFonts w:hint="eastAsia"/>
        </w:rPr>
        <w:t>工资外包服务生产基地、总部、竞争对手及市场地位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ADP</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资料来源：ADP；第三方资料、新闻报道、业内专家采访及QYResearch整理研究，2024年</w:t>
      </w:r>
    </w:p>
    <w:p w14:paraId="600CEEC1">
      <w:pPr>
        <w:pStyle w:val="4"/>
      </w:pPr>
      <w:bookmarkStart w:id="193" w:name="_Toc24028342"/>
      <w:bookmarkStart w:id="194" w:name="_Toc24972532"/>
      <w:bookmarkStart w:id="195" w:name="_Toc167094657"/>
      <w:bookmarkStart w:id="196" w:name="_Toc121583910"/>
      <w:r>
        <w:rPr>
          <w:rFonts w:hint="eastAsia"/>
        </w:rPr>
        <w:t>ADP 工资外包服务产品规格、参数及市场应用</w:t>
      </w:r>
      <w:bookmarkEnd w:id="193"/>
      <w:bookmarkEnd w:id="194"/>
      <w:bookmarkEnd w:id="195"/>
      <w:bookmarkEnd w:id="196"/>
    </w:p>
    <w:p w14:paraId="6B304817">
      <w:pPr>
        <w:pStyle w:val="132"/>
        <w:ind w:left="252" w:right="-105"/>
      </w:pPr>
      <w:bookmarkStart w:id="197" w:name="_Toc24028963"/>
      <w:bookmarkStart w:id="198" w:name="_Toc121583638"/>
      <w:bookmarkStart w:id="199" w:name="_Toc167094573"/>
      <w:bookmarkStart w:id="200" w:name="_Toc26780084"/>
      <w:r>
        <w:rPr>
          <w:rFonts w:hint="eastAsia"/>
        </w:rPr>
        <w:t>ADP 工资外包服务产品规格、参数及市场应用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资料来源：ADP；第三方资料、新闻报道、业内专家采访及QYResearch整理研究，2024年</w:t>
      </w:r>
    </w:p>
    <w:p w14:paraId="797F85D5">
      <w:pPr>
        <w:pStyle w:val="4"/>
      </w:pPr>
      <w:bookmarkStart w:id="201" w:name="_Toc121583912"/>
      <w:bookmarkStart w:id="202" w:name="_Toc24972534"/>
      <w:bookmarkStart w:id="203" w:name="_Toc24028344"/>
      <w:bookmarkStart w:id="204" w:name="_Toc167094658"/>
      <w:bookmarkStart w:id="205" w:name="_Hlk28108908"/>
      <w:r>
        <w:rPr>
          <w:rFonts w:hint="eastAsia"/>
        </w:rPr>
        <w:t>ADP公司简介及主要业务</w:t>
      </w:r>
      <w:bookmarkEnd w:id="201"/>
      <w:bookmarkEnd w:id="202"/>
      <w:bookmarkEnd w:id="203"/>
      <w:bookmarkEnd w:id="204"/>
    </w:p>
    <w:p w14:paraId="2C3E2EB9">
      <w:pPr>
        <w:pStyle w:val="132"/>
        <w:ind w:left="252" w:right="-105"/>
      </w:pPr>
      <w:bookmarkStart w:id="206" w:name="_Toc121583640"/>
      <w:bookmarkStart w:id="207" w:name="_Toc24028965"/>
      <w:bookmarkStart w:id="208" w:name="_Toc167094574"/>
      <w:bookmarkStart w:id="209" w:name="_Toc26780086"/>
      <w:r>
        <w:rPr>
          <w:rFonts w:hint="eastAsia"/>
        </w:rPr>
        <w:t>ADP公司简介及主要业务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ADP</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资料来源：ADP；第三方资料、新闻报道、业内专家采访及QYResearch整理研究，2024年</w:t>
      </w:r>
    </w:p>
    <w:bookmarkEnd w:id="205"/>
    <w:p w14:paraId="7E015625">
      <w:pPr>
        <w:pStyle w:val="4"/>
      </w:pPr>
      <w:bookmarkStart w:id="210" w:name="_Toc167094659"/>
      <w:bookmarkStart w:id="211" w:name="_Toc121583913"/>
      <w:r>
        <w:rPr>
          <w:rFonts w:hint="eastAsia"/>
        </w:rPr>
        <w:t>ADP企业最新动态</w:t>
      </w:r>
      <w:bookmarkEnd w:id="210"/>
      <w:bookmarkEnd w:id="211"/>
    </w:p>
    <w:p w14:paraId="1452B484">
      <w:pPr>
        <w:pStyle w:val="132"/>
        <w:ind w:left="252" w:right="-105"/>
      </w:pPr>
      <w:bookmarkStart w:id="212" w:name="_Toc121583641"/>
      <w:bookmarkStart w:id="213" w:name="_Toc167094575"/>
      <w:r>
        <w:rPr>
          <w:rFonts w:hint="eastAsia"/>
        </w:rPr>
        <w:t>ADP企业最新动态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资料来源：ADP；第三方资料、新闻报道、业内专家采访及QYResearch整理研究，2024年</w:t>
      </w:r>
    </w:p>
    <w:p w14:paraId="1CF90344">
      <w:pPr>
        <w:pStyle w:val="3"/>
      </w:pPr>
      <w:bookmarkStart w:id="214" w:name="_Toc121583914"/>
      <w:bookmarkStart w:id="215" w:name="_Toc167094660"/>
      <w:r>
        <w:rPr>
          <w:rFonts w:hint="eastAsia"/>
        </w:rPr>
        <w:t>Sage</w:t>
      </w:r>
      <w:bookmarkEnd w:id="214"/>
      <w:bookmarkEnd w:id="215"/>
    </w:p>
    <w:p w14:paraId="17FEF629"/>
    <w:p w14:paraId="2B364E0D">
      <w:pPr>
        <w:pStyle w:val="4"/>
      </w:pPr>
      <w:bookmarkStart w:id="216" w:name="_Toc167094661"/>
      <w:bookmarkStart w:id="217" w:name="_Toc121583915"/>
      <w:r>
        <w:rPr>
          <w:rFonts w:hint="eastAsia"/>
        </w:rPr>
        <w:t>Sage基本信息、工资外包服务生产基地、总部、竞争对手及市场地位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Sage</w:t>
      </w:r>
      <w:r>
        <w:t xml:space="preserve"> </w:t>
      </w:r>
      <w:r>
        <w:rPr>
          <w:rFonts w:hint="eastAsia"/>
        </w:rPr>
        <w:t>工资外包服务生产基地、总部、竞争对手及市场地位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Sage</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资料来源：Sage；第三方资料、新闻报道、业内专家采访及QYResearch整理研究，2024年</w:t>
      </w:r>
    </w:p>
    <w:p w14:paraId="4BFB72A0">
      <w:pPr>
        <w:pStyle w:val="4"/>
      </w:pPr>
      <w:bookmarkStart w:id="220" w:name="_Toc167094662"/>
      <w:bookmarkStart w:id="221" w:name="_Toc121583916"/>
      <w:r>
        <w:rPr>
          <w:rFonts w:hint="eastAsia"/>
        </w:rPr>
        <w:t>Sage 工资外包服务产品规格、参数及市场应用</w:t>
      </w:r>
      <w:bookmarkEnd w:id="220"/>
      <w:bookmarkEnd w:id="221"/>
    </w:p>
    <w:p w14:paraId="08693AE5">
      <w:pPr>
        <w:pStyle w:val="132"/>
        <w:ind w:left="252" w:right="-105"/>
      </w:pPr>
      <w:bookmarkStart w:id="222" w:name="_Toc121583643"/>
      <w:bookmarkStart w:id="223" w:name="_Toc167094577"/>
      <w:r>
        <w:rPr>
          <w:rFonts w:hint="eastAsia"/>
        </w:rPr>
        <w:t>Sage 工资外包服务产品规格、参数及市场应用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资料来源：Sage；第三方资料、新闻报道、业内专家采访及QYResearch整理研究，2024年</w:t>
      </w:r>
    </w:p>
    <w:p w14:paraId="41E26D48">
      <w:pPr>
        <w:pStyle w:val="4"/>
      </w:pPr>
      <w:bookmarkStart w:id="224" w:name="_Toc121583918"/>
      <w:bookmarkStart w:id="225" w:name="_Toc167094663"/>
      <w:r>
        <w:rPr>
          <w:rFonts w:hint="eastAsia"/>
        </w:rPr>
        <w:t>Sage公司简介及主要业务</w:t>
      </w:r>
      <w:bookmarkEnd w:id="224"/>
      <w:bookmarkEnd w:id="225"/>
    </w:p>
    <w:p w14:paraId="26872AF0">
      <w:pPr>
        <w:pStyle w:val="132"/>
        <w:ind w:left="252" w:right="-105"/>
      </w:pPr>
      <w:bookmarkStart w:id="226" w:name="_Toc167094578"/>
      <w:bookmarkStart w:id="227" w:name="_Toc121583645"/>
      <w:r>
        <w:rPr>
          <w:rFonts w:hint="eastAsia"/>
        </w:rPr>
        <w:t>Sage公司简介及主要业务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Sage</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资料来源：Sage；第三方资料、新闻报道、业内专家采访及QYResearch整理研究，2024年</w:t>
      </w:r>
    </w:p>
    <w:p w14:paraId="1443D1BA">
      <w:pPr>
        <w:pStyle w:val="4"/>
      </w:pPr>
      <w:bookmarkStart w:id="228" w:name="_Toc167094664"/>
      <w:bookmarkStart w:id="229" w:name="_Toc121583919"/>
      <w:r>
        <w:rPr>
          <w:rFonts w:hint="eastAsia"/>
        </w:rPr>
        <w:t>Sage企业最新动态</w:t>
      </w:r>
      <w:bookmarkEnd w:id="228"/>
      <w:bookmarkEnd w:id="229"/>
    </w:p>
    <w:p w14:paraId="08D18632">
      <w:pPr>
        <w:pStyle w:val="132"/>
        <w:ind w:left="252" w:right="-105"/>
      </w:pPr>
      <w:bookmarkStart w:id="230" w:name="_Toc121583646"/>
      <w:bookmarkStart w:id="231" w:name="_Toc167094579"/>
      <w:r>
        <w:rPr>
          <w:rFonts w:hint="eastAsia"/>
        </w:rPr>
        <w:t>Sage企业最新动态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资料来源：Sage；第三方资料、新闻报道、业内专家采访及QYResearch整理研究，2024年</w:t>
      </w:r>
    </w:p>
    <w:p w14:paraId="4D239C5E">
      <w:pPr>
        <w:pStyle w:val="3"/>
      </w:pPr>
      <w:bookmarkStart w:id="232" w:name="_Toc121583920"/>
      <w:bookmarkStart w:id="233" w:name="_Toc167094665"/>
      <w:r>
        <w:rPr>
          <w:rFonts w:hint="eastAsia"/>
        </w:rPr>
        <w:t>Xerox</w:t>
      </w:r>
      <w:bookmarkEnd w:id="232"/>
      <w:bookmarkEnd w:id="233"/>
    </w:p>
    <w:p w14:paraId="6A32A19B"/>
    <w:p w14:paraId="336EA0E2">
      <w:pPr>
        <w:pStyle w:val="4"/>
      </w:pPr>
      <w:bookmarkStart w:id="234" w:name="_Toc167094666"/>
      <w:bookmarkStart w:id="235" w:name="_Toc121583921"/>
      <w:r>
        <w:rPr>
          <w:rFonts w:hint="eastAsia"/>
        </w:rPr>
        <w:t>Xerox基本信息、工资外包服务生产基地、总部、竞争对手及市场地位</w:t>
      </w:r>
      <w:bookmarkEnd w:id="234"/>
      <w:bookmarkEnd w:id="235"/>
    </w:p>
    <w:p w14:paraId="361ED552">
      <w:pPr>
        <w:pStyle w:val="132"/>
        <w:ind w:left="252" w:right="-105"/>
      </w:pPr>
      <w:bookmarkStart w:id="236" w:name="_Toc167094580"/>
      <w:bookmarkStart w:id="237" w:name="_Toc121583647"/>
      <w:r>
        <w:rPr>
          <w:rFonts w:hint="eastAsia"/>
        </w:rPr>
        <w:t>Xerox</w:t>
      </w:r>
      <w:r>
        <w:t xml:space="preserve"> </w:t>
      </w:r>
      <w:r>
        <w:rPr>
          <w:rFonts w:hint="eastAsia"/>
        </w:rPr>
        <w:t>工资外包服务生产基地、总部、竞争对手及市场地位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Xerox</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资料来源：Xerox；第三方资料、新闻报道、业内专家采访及QYResearch整理研究，2024年</w:t>
      </w:r>
    </w:p>
    <w:p w14:paraId="64D3D539">
      <w:pPr>
        <w:pStyle w:val="4"/>
      </w:pPr>
      <w:bookmarkStart w:id="238" w:name="_Toc167094667"/>
      <w:bookmarkStart w:id="239" w:name="_Toc121583922"/>
      <w:r>
        <w:rPr>
          <w:rFonts w:hint="eastAsia"/>
        </w:rPr>
        <w:t>Xerox 工资外包服务产品规格、参数及市场应用</w:t>
      </w:r>
      <w:bookmarkEnd w:id="238"/>
      <w:bookmarkEnd w:id="239"/>
    </w:p>
    <w:p w14:paraId="2DA7D236">
      <w:pPr>
        <w:pStyle w:val="132"/>
        <w:ind w:left="252" w:right="-105"/>
      </w:pPr>
      <w:bookmarkStart w:id="240" w:name="_Toc167094581"/>
      <w:bookmarkStart w:id="241" w:name="_Toc121583648"/>
      <w:r>
        <w:rPr>
          <w:rFonts w:hint="eastAsia"/>
        </w:rPr>
        <w:t>Xerox 工资外包服务产品规格、参数及市场应用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资料来源：Xerox；第三方资料、新闻报道、业内专家采访及QYResearch整理研究，2024年</w:t>
      </w:r>
    </w:p>
    <w:p w14:paraId="54DD4B25">
      <w:pPr>
        <w:pStyle w:val="4"/>
      </w:pPr>
      <w:bookmarkStart w:id="242" w:name="_Toc167094668"/>
      <w:bookmarkStart w:id="243" w:name="_Toc121583924"/>
      <w:r>
        <w:rPr>
          <w:rFonts w:hint="eastAsia"/>
        </w:rPr>
        <w:t>Xerox公司简介及主要业务</w:t>
      </w:r>
      <w:bookmarkEnd w:id="242"/>
      <w:bookmarkEnd w:id="243"/>
    </w:p>
    <w:p w14:paraId="4898A3FB">
      <w:pPr>
        <w:pStyle w:val="132"/>
        <w:ind w:left="252" w:right="-105"/>
      </w:pPr>
      <w:bookmarkStart w:id="244" w:name="_Toc167094582"/>
      <w:bookmarkStart w:id="245" w:name="_Toc121583650"/>
      <w:r>
        <w:rPr>
          <w:rFonts w:hint="eastAsia"/>
        </w:rPr>
        <w:t>Xerox公司简介及主要业务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Xerox</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资料来源：Xerox；第三方资料、新闻报道、业内专家采访及QYResearch整理研究，2024年</w:t>
      </w:r>
    </w:p>
    <w:p w14:paraId="0FDEA2FA">
      <w:pPr>
        <w:pStyle w:val="4"/>
      </w:pPr>
      <w:bookmarkStart w:id="246" w:name="_Toc121583925"/>
      <w:bookmarkStart w:id="247" w:name="_Toc167094669"/>
      <w:r>
        <w:rPr>
          <w:rFonts w:hint="eastAsia"/>
        </w:rPr>
        <w:t>Xerox企业最新动态</w:t>
      </w:r>
      <w:bookmarkEnd w:id="246"/>
      <w:bookmarkEnd w:id="247"/>
    </w:p>
    <w:p w14:paraId="6B1F1CDF">
      <w:pPr>
        <w:pStyle w:val="132"/>
        <w:ind w:left="252" w:right="-105"/>
      </w:pPr>
      <w:bookmarkStart w:id="248" w:name="_Toc167094583"/>
      <w:bookmarkStart w:id="249" w:name="_Toc121583651"/>
      <w:r>
        <w:rPr>
          <w:rFonts w:hint="eastAsia"/>
        </w:rPr>
        <w:t>Xerox企业最新动态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资料来源：Xerox；第三方资料、新闻报道、业内专家采访及QYResearch整理研究，2024年</w:t>
      </w:r>
    </w:p>
    <w:p w14:paraId="0F067400">
      <w:pPr>
        <w:pStyle w:val="3"/>
      </w:pPr>
      <w:bookmarkStart w:id="250" w:name="_Toc121583926"/>
      <w:bookmarkStart w:id="251" w:name="_Toc167094670"/>
      <w:r>
        <w:rPr>
          <w:rFonts w:hint="eastAsia"/>
        </w:rPr>
        <w:t>Paychex</w:t>
      </w:r>
      <w:bookmarkEnd w:id="250"/>
      <w:bookmarkEnd w:id="251"/>
    </w:p>
    <w:p w14:paraId="059CD5D5"/>
    <w:p w14:paraId="26C15806">
      <w:pPr>
        <w:pStyle w:val="3"/>
      </w:pPr>
      <w:bookmarkStart w:id="252" w:name="_Toc121583932"/>
      <w:bookmarkStart w:id="253" w:name="_Toc167094671"/>
      <w:r>
        <w:rPr>
          <w:rFonts w:hint="eastAsia"/>
        </w:rPr>
        <w:t>Gusto</w:t>
      </w:r>
      <w:bookmarkEnd w:id="252"/>
      <w:bookmarkEnd w:id="253"/>
    </w:p>
    <w:p w14:paraId="625AB612"/>
    <w:p w14:paraId="33DDFD6D">
      <w:pPr>
        <w:pStyle w:val="3"/>
      </w:pPr>
      <w:bookmarkStart w:id="254" w:name="_Toc167094672"/>
      <w:bookmarkStart w:id="255" w:name="_Toc121583938"/>
      <w:r>
        <w:rPr>
          <w:rFonts w:hint="eastAsia"/>
        </w:rPr>
        <w:t>Intuit</w:t>
      </w:r>
      <w:bookmarkEnd w:id="254"/>
      <w:bookmarkEnd w:id="255"/>
    </w:p>
    <w:p w14:paraId="66501FA1"/>
    <w:p w14:paraId="5FACBF27">
      <w:pPr>
        <w:pStyle w:val="3"/>
      </w:pPr>
      <w:bookmarkStart w:id="256" w:name="_Toc121583944"/>
      <w:bookmarkStart w:id="257" w:name="_Toc167094673"/>
      <w:r>
        <w:rPr>
          <w:rFonts w:hint="eastAsia"/>
        </w:rPr>
        <w:t>Zalaris</w:t>
      </w:r>
      <w:bookmarkEnd w:id="256"/>
      <w:bookmarkEnd w:id="257"/>
    </w:p>
    <w:p w14:paraId="012E26FE"/>
    <w:p w14:paraId="67290366">
      <w:pPr>
        <w:pStyle w:val="3"/>
      </w:pPr>
      <w:bookmarkStart w:id="258" w:name="_Toc121583950"/>
      <w:bookmarkStart w:id="259" w:name="_Toc167094674"/>
      <w:r>
        <w:rPr>
          <w:rFonts w:hint="eastAsia"/>
        </w:rPr>
        <w:t>Infosys</w:t>
      </w:r>
      <w:bookmarkEnd w:id="258"/>
      <w:bookmarkEnd w:id="259"/>
    </w:p>
    <w:p w14:paraId="2B744AAE"/>
    <w:p w14:paraId="2645DED4">
      <w:pPr>
        <w:pStyle w:val="3"/>
      </w:pPr>
      <w:bookmarkStart w:id="260" w:name="_Toc121583956"/>
      <w:bookmarkStart w:id="261" w:name="_Toc167094675"/>
      <w:r>
        <w:rPr>
          <w:rFonts w:hint="eastAsia"/>
        </w:rPr>
        <w:t>KPMG</w:t>
      </w:r>
      <w:bookmarkEnd w:id="260"/>
      <w:bookmarkEnd w:id="261"/>
    </w:p>
    <w:p w14:paraId="618227DB"/>
    <w:p w14:paraId="3AFA8022">
      <w:pPr>
        <w:pStyle w:val="3"/>
      </w:pPr>
      <w:bookmarkStart w:id="262" w:name="_Toc121583962"/>
      <w:bookmarkStart w:id="263" w:name="_Toc167094676"/>
      <w:r>
        <w:rPr>
          <w:rFonts w:hint="eastAsia"/>
        </w:rPr>
        <w:t>Vision H.R.</w:t>
      </w:r>
      <w:bookmarkEnd w:id="262"/>
      <w:bookmarkEnd w:id="263"/>
    </w:p>
    <w:p w14:paraId="371270C5"/>
    <w:p w14:paraId="5B36D186">
      <w:pPr>
        <w:pStyle w:val="3"/>
      </w:pPr>
      <w:bookmarkStart w:id="264" w:name="_Toc167094677"/>
      <w:bookmarkStart w:id="265" w:name="_Toc121583968"/>
      <w:r>
        <w:rPr>
          <w:rFonts w:hint="eastAsia"/>
        </w:rPr>
        <w:t>Deloitte</w:t>
      </w:r>
      <w:bookmarkEnd w:id="264"/>
      <w:bookmarkEnd w:id="265"/>
    </w:p>
    <w:p w14:paraId="6110DC1E"/>
    <w:p w14:paraId="401DF628">
      <w:pPr>
        <w:pStyle w:val="3"/>
      </w:pPr>
      <w:bookmarkStart w:id="266" w:name="_Toc121583974"/>
      <w:bookmarkStart w:id="267" w:name="_Toc167094678"/>
      <w:r>
        <w:rPr>
          <w:rFonts w:hint="eastAsia"/>
        </w:rPr>
        <w:t>Aurion</w:t>
      </w:r>
      <w:bookmarkEnd w:id="266"/>
      <w:bookmarkEnd w:id="267"/>
    </w:p>
    <w:p w14:paraId="58792FA0"/>
    <w:p w14:paraId="3907FB57">
      <w:pPr>
        <w:pStyle w:val="3"/>
      </w:pPr>
      <w:bookmarkStart w:id="268" w:name="_Toc121583980"/>
      <w:bookmarkStart w:id="269" w:name="_Toc167094679"/>
      <w:r>
        <w:rPr>
          <w:rFonts w:hint="eastAsia"/>
        </w:rPr>
        <w:t>Activpayroll</w:t>
      </w:r>
      <w:bookmarkEnd w:id="268"/>
      <w:bookmarkEnd w:id="269"/>
    </w:p>
    <w:p w14:paraId="024211D9"/>
    <w:p w14:paraId="6BC93CC3">
      <w:pPr>
        <w:pStyle w:val="3"/>
      </w:pPr>
      <w:bookmarkStart w:id="270" w:name="_Toc167094680"/>
      <w:bookmarkStart w:id="271" w:name="_Toc121583986"/>
      <w:r>
        <w:rPr>
          <w:rFonts w:hint="eastAsia"/>
        </w:rPr>
        <w:t>Immedis</w:t>
      </w:r>
      <w:bookmarkEnd w:id="270"/>
      <w:bookmarkEnd w:id="271"/>
    </w:p>
    <w:p w14:paraId="222CE2CD"/>
    <w:p w14:paraId="0C9858DD">
      <w:pPr>
        <w:pStyle w:val="3"/>
      </w:pPr>
      <w:bookmarkStart w:id="272" w:name="_Toc167094681"/>
      <w:bookmarkStart w:id="273" w:name="_Toc121583992"/>
      <w:r>
        <w:rPr>
          <w:rFonts w:hint="eastAsia"/>
        </w:rPr>
        <w:t>Ascender</w:t>
      </w:r>
      <w:bookmarkEnd w:id="272"/>
      <w:bookmarkEnd w:id="273"/>
    </w:p>
    <w:p w14:paraId="4B95BEF9"/>
    <w:p w14:paraId="587B5336">
      <w:pPr>
        <w:pStyle w:val="3"/>
      </w:pPr>
      <w:bookmarkStart w:id="274" w:name="_Toc121583998"/>
      <w:bookmarkStart w:id="275" w:name="_Toc167094682"/>
      <w:r>
        <w:rPr>
          <w:rFonts w:hint="eastAsia"/>
        </w:rPr>
        <w:t>NGA HR</w:t>
      </w:r>
      <w:bookmarkEnd w:id="274"/>
      <w:bookmarkEnd w:id="275"/>
    </w:p>
    <w:p w14:paraId="0E342319"/>
    <w:p w14:paraId="5ABCF515">
      <w:pPr>
        <w:pStyle w:val="3"/>
      </w:pPr>
      <w:bookmarkStart w:id="276" w:name="_Toc167094683"/>
      <w:bookmarkStart w:id="277" w:name="_Toc121584004"/>
      <w:r>
        <w:rPr>
          <w:rFonts w:hint="eastAsia"/>
        </w:rPr>
        <w:t>Neeyamo</w:t>
      </w:r>
      <w:bookmarkEnd w:id="276"/>
      <w:bookmarkEnd w:id="277"/>
    </w:p>
    <w:p w14:paraId="1E1307AA"/>
    <w:p w14:paraId="1297CC02">
      <w:pPr>
        <w:pStyle w:val="3"/>
      </w:pPr>
      <w:bookmarkStart w:id="278" w:name="_Toc121584010"/>
      <w:bookmarkStart w:id="279" w:name="_Toc167094684"/>
      <w:r>
        <w:rPr>
          <w:rFonts w:hint="eastAsia"/>
        </w:rPr>
        <w:t>BDO</w:t>
      </w:r>
      <w:bookmarkEnd w:id="278"/>
      <w:bookmarkEnd w:id="279"/>
    </w:p>
    <w:p w14:paraId="647A21D2"/>
    <w:p w14:paraId="6B38495B">
      <w:pPr>
        <w:pStyle w:val="3"/>
      </w:pPr>
      <w:bookmarkStart w:id="280" w:name="_Toc167094685"/>
      <w:bookmarkStart w:id="281" w:name="_Toc121584016"/>
      <w:r>
        <w:rPr>
          <w:rFonts w:hint="eastAsia"/>
        </w:rPr>
        <w:t>CloudPay</w:t>
      </w:r>
      <w:bookmarkEnd w:id="280"/>
      <w:bookmarkEnd w:id="281"/>
    </w:p>
    <w:p w14:paraId="6963232A"/>
    <w:p w14:paraId="7EFE0A2E">
      <w:pPr>
        <w:pStyle w:val="3"/>
      </w:pPr>
      <w:bookmarkStart w:id="282" w:name="_Toc167094686"/>
      <w:bookmarkStart w:id="283" w:name="_Toc121584022"/>
      <w:r>
        <w:rPr>
          <w:rFonts w:hint="eastAsia"/>
        </w:rPr>
        <w:t>Excelity</w:t>
      </w:r>
      <w:bookmarkEnd w:id="282"/>
      <w:bookmarkEnd w:id="283"/>
    </w:p>
    <w:p w14:paraId="72D99213"/>
    <w:p w14:paraId="0E7F61C4">
      <w:pPr>
        <w:pStyle w:val="3"/>
      </w:pPr>
      <w:bookmarkStart w:id="284" w:name="_Toc167094687"/>
      <w:bookmarkStart w:id="285" w:name="_Toc121584028"/>
      <w:r>
        <w:rPr>
          <w:rFonts w:hint="eastAsia"/>
        </w:rPr>
        <w:t>i-Admin</w:t>
      </w:r>
      <w:bookmarkEnd w:id="284"/>
      <w:bookmarkEnd w:id="285"/>
    </w:p>
    <w:p w14:paraId="47D650CD"/>
    <w:p w14:paraId="24AD960A">
      <w:pPr>
        <w:pStyle w:val="3"/>
      </w:pPr>
      <w:bookmarkStart w:id="286" w:name="_Toc167094688"/>
      <w:bookmarkStart w:id="287" w:name="_Toc121584034"/>
      <w:r>
        <w:rPr>
          <w:rFonts w:hint="eastAsia"/>
        </w:rPr>
        <w:t>TriNet</w:t>
      </w:r>
      <w:bookmarkEnd w:id="286"/>
      <w:bookmarkEnd w:id="287"/>
    </w:p>
    <w:p w14:paraId="3261C737"/>
    <w:bookmarkEnd w:id="19"/>
    <w:p w14:paraId="764DD197">
      <w:pPr>
        <w:pStyle w:val="2"/>
        <w:rPr>
          <w:lang w:eastAsia="zh-CN"/>
        </w:rPr>
      </w:pPr>
      <w:bookmarkStart w:id="288" w:name="_Toc167094707"/>
      <w:bookmarkStart w:id="289" w:name="_Hlk28096052"/>
      <w:bookmarkStart w:id="290" w:name="_Hlk50985774"/>
      <w:r>
        <w:rPr>
          <w:rFonts w:hint="eastAsia"/>
          <w:lang w:eastAsia="zh-CN"/>
        </w:rPr>
        <w:t>销售渠道及客户偏好分析</w:t>
      </w:r>
      <w:bookmarkEnd w:id="288"/>
    </w:p>
    <w:p w14:paraId="413E169E">
      <w:pPr>
        <w:pStyle w:val="3"/>
        <w:rPr>
          <w:lang w:val="en-IN"/>
        </w:rPr>
      </w:pPr>
      <w:bookmarkStart w:id="291" w:name="_Toc167094708"/>
      <w:r>
        <w:rPr>
          <w:rFonts w:hint="eastAsia"/>
        </w:rPr>
        <w:t>欧洲</w:t>
      </w:r>
      <w:r>
        <w:rPr>
          <w:rFonts w:hint="eastAsia"/>
          <w:lang w:val="en-IN"/>
        </w:rPr>
        <w:t>市场</w:t>
      </w:r>
      <w:r>
        <w:t>工资外包服务</w:t>
      </w:r>
      <w:r>
        <w:rPr>
          <w:rFonts w:hint="eastAsia"/>
        </w:rPr>
        <w:t>消费形态及客户偏好</w:t>
      </w:r>
      <w:bookmarkEnd w:id="291"/>
    </w:p>
    <w:p w14:paraId="5E81B9E6">
      <w:pPr>
        <w:pStyle w:val="128"/>
        <w:ind w:firstLine="420"/>
      </w:pPr>
    </w:p>
    <w:p w14:paraId="7CF5E180">
      <w:pPr>
        <w:pStyle w:val="128"/>
        <w:ind w:firstLine="420"/>
      </w:pPr>
    </w:p>
    <w:p w14:paraId="75F3C1A6">
      <w:pPr>
        <w:pStyle w:val="128"/>
        <w:ind w:firstLine="420"/>
      </w:pPr>
    </w:p>
    <w:p w14:paraId="7EA4E372">
      <w:pPr>
        <w:pStyle w:val="3"/>
      </w:pPr>
      <w:bookmarkStart w:id="292" w:name="_Toc121584178"/>
      <w:bookmarkStart w:id="293" w:name="_Toc167094709"/>
      <w:r>
        <w:rPr>
          <w:rFonts w:hint="eastAsia"/>
        </w:rPr>
        <w:t>欧洲</w:t>
      </w:r>
      <w:r>
        <w:rPr>
          <w:rFonts w:hint="eastAsia"/>
          <w:lang w:val="en-IN"/>
        </w:rPr>
        <w:t>市场</w:t>
      </w:r>
      <w:r>
        <w:t>工资外包服务</w:t>
      </w:r>
      <w:bookmarkEnd w:id="292"/>
      <w:r>
        <w:rPr>
          <w:rFonts w:hint="eastAsia"/>
        </w:rPr>
        <w:t>代表性客户分析</w:t>
      </w:r>
      <w:bookmarkEnd w:id="293"/>
    </w:p>
    <w:p w14:paraId="16B67A7D">
      <w:pPr>
        <w:pStyle w:val="128"/>
        <w:ind w:firstLine="420"/>
        <w:rPr>
          <w:lang w:eastAsia="zh-CN"/>
        </w:rPr>
      </w:pPr>
    </w:p>
    <w:p w14:paraId="7185BA70">
      <w:pPr>
        <w:pStyle w:val="132"/>
        <w:ind w:left="252" w:right="-105"/>
      </w:pPr>
      <w:bookmarkStart w:id="294" w:name="_Toc167094584"/>
      <w:r>
        <w:rPr>
          <w:rFonts w:hint="eastAsia"/>
        </w:rPr>
        <w:t>欧洲本土</w:t>
      </w:r>
      <w:r>
        <w:t>工资外包服务</w:t>
      </w:r>
      <w:r>
        <w:rPr>
          <w:rFonts w:hint="eastAsia"/>
        </w:rPr>
        <w:t>代表性客户分析</w:t>
      </w:r>
      <w:bookmarkEnd w:id="294"/>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95" w:name="_Toc167094710"/>
      <w:r>
        <w:rPr>
          <w:rFonts w:hint="eastAsia"/>
        </w:rPr>
        <w:t>欧洲市场</w:t>
      </w:r>
      <w:r>
        <w:t>工资外包服务</w:t>
      </w:r>
      <w:r>
        <w:rPr>
          <w:rFonts w:hint="eastAsia"/>
        </w:rPr>
        <w:t>销售渠道及销售模式分析</w:t>
      </w:r>
      <w:bookmarkEnd w:id="295"/>
    </w:p>
    <w:p w14:paraId="4DED5238">
      <w:pPr>
        <w:pStyle w:val="4"/>
      </w:pPr>
      <w:bookmarkStart w:id="296" w:name="_Toc167094711"/>
      <w:r>
        <w:rPr>
          <w:rFonts w:hint="eastAsia"/>
        </w:rPr>
        <w:t>直销模式</w:t>
      </w:r>
      <w:bookmarkEnd w:id="296"/>
    </w:p>
    <w:p w14:paraId="59862754">
      <w:pPr>
        <w:pStyle w:val="128"/>
        <w:ind w:firstLine="420"/>
        <w:rPr>
          <w:lang w:eastAsia="zh-CN"/>
        </w:rPr>
      </w:pPr>
    </w:p>
    <w:p w14:paraId="70E3ACFB">
      <w:pPr>
        <w:pStyle w:val="128"/>
        <w:ind w:firstLine="420"/>
        <w:rPr>
          <w:lang w:eastAsia="zh-CN"/>
        </w:rPr>
      </w:pPr>
    </w:p>
    <w:p w14:paraId="2B00423D">
      <w:pPr>
        <w:pStyle w:val="4"/>
      </w:pPr>
      <w:bookmarkStart w:id="297" w:name="_Toc167094712"/>
      <w:r>
        <w:rPr>
          <w:rFonts w:hint="eastAsia"/>
        </w:rPr>
        <w:t>经销/代理模式</w:t>
      </w:r>
      <w:bookmarkEnd w:id="297"/>
    </w:p>
    <w:p w14:paraId="0A58E88B">
      <w:pPr>
        <w:pStyle w:val="128"/>
        <w:ind w:firstLine="420"/>
        <w:rPr>
          <w:lang w:eastAsia="zh-CN"/>
        </w:rPr>
      </w:pPr>
    </w:p>
    <w:p w14:paraId="0EF93071">
      <w:pPr>
        <w:pStyle w:val="128"/>
        <w:ind w:firstLine="420"/>
        <w:rPr>
          <w:lang w:eastAsia="zh-CN"/>
        </w:rPr>
      </w:pPr>
    </w:p>
    <w:p w14:paraId="317FFEC5">
      <w:pPr>
        <w:pStyle w:val="4"/>
      </w:pPr>
      <w:bookmarkStart w:id="298" w:name="_Toc167094713"/>
      <w:r>
        <w:rPr>
          <w:rFonts w:hint="eastAsia"/>
        </w:rPr>
        <w:t>销售渠道分析</w:t>
      </w:r>
      <w:bookmarkEnd w:id="298"/>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99" w:name="_Toc167094714"/>
      <w:r>
        <w:rPr>
          <w:rFonts w:hint="eastAsia"/>
        </w:rPr>
        <w:t>欧洲市场</w:t>
      </w:r>
      <w:r>
        <w:t>工资外包服务</w:t>
      </w:r>
      <w:r>
        <w:rPr>
          <w:rFonts w:hint="eastAsia"/>
        </w:rPr>
        <w:t>代表性代理商分析</w:t>
      </w:r>
      <w:bookmarkEnd w:id="299"/>
    </w:p>
    <w:p w14:paraId="3A7D8231">
      <w:pPr>
        <w:pStyle w:val="128"/>
        <w:ind w:firstLine="420"/>
        <w:rPr>
          <w:lang w:eastAsia="zh-CN"/>
        </w:rPr>
      </w:pPr>
    </w:p>
    <w:p w14:paraId="5CC97965">
      <w:pPr>
        <w:pStyle w:val="132"/>
        <w:ind w:left="252" w:right="-105"/>
      </w:pPr>
      <w:bookmarkStart w:id="300" w:name="_Toc167094585"/>
      <w:r>
        <w:rPr>
          <w:rFonts w:hint="eastAsia"/>
        </w:rPr>
        <w:t>欧洲市场</w:t>
      </w:r>
      <w:r>
        <w:t>工资外包服务</w:t>
      </w:r>
      <w:r>
        <w:rPr>
          <w:rFonts w:hint="eastAsia"/>
        </w:rPr>
        <w:t>代理商列表</w:t>
      </w:r>
      <w:bookmarkEnd w:id="300"/>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301" w:name="_Toc59105060"/>
      <w:bookmarkStart w:id="302" w:name="_Toc167094715"/>
      <w:bookmarkStart w:id="303" w:name="_Toc121584180"/>
      <w:bookmarkStart w:id="304" w:name="_Toc43885444"/>
      <w:bookmarkStart w:id="305" w:name="_Toc43885438"/>
      <w:bookmarkStart w:id="306" w:name="_Toc59105054"/>
      <w:bookmarkStart w:id="307" w:name="_Toc121584175"/>
      <w:r>
        <w:t>工资外包服务</w:t>
      </w:r>
      <w:r>
        <w:rPr>
          <w:rFonts w:hint="eastAsia"/>
        </w:rPr>
        <w:t>行业生产模式</w:t>
      </w:r>
      <w:bookmarkEnd w:id="301"/>
      <w:bookmarkEnd w:id="302"/>
      <w:bookmarkEnd w:id="303"/>
      <w:bookmarkEnd w:id="304"/>
    </w:p>
    <w:p w14:paraId="1F71F5BE">
      <w:pPr>
        <w:pStyle w:val="130"/>
      </w:pPr>
      <w:bookmarkStart w:id="308" w:name="_Toc43885079"/>
      <w:bookmarkStart w:id="309" w:name="_Toc59105380"/>
      <w:bookmarkStart w:id="310" w:name="_Toc121583618"/>
      <w:bookmarkStart w:id="311" w:name="_Toc167094560"/>
      <w:r>
        <w:t>工资外包服务</w:t>
      </w:r>
      <w:r>
        <w:rPr>
          <w:rFonts w:hint="eastAsia"/>
        </w:rPr>
        <w:t>行业生产模式分析</w:t>
      </w:r>
      <w:bookmarkEnd w:id="308"/>
      <w:bookmarkEnd w:id="309"/>
      <w:bookmarkEnd w:id="310"/>
      <w:bookmarkEnd w:id="311"/>
    </w:p>
    <w:p w14:paraId="71ED4699">
      <w:pPr>
        <w:rPr>
          <w:lang w:val="en-IN"/>
        </w:rPr>
      </w:pPr>
    </w:p>
    <w:p w14:paraId="36BA4DD9">
      <w:pPr>
        <w:pStyle w:val="126"/>
      </w:pPr>
      <w:r>
        <w:rPr>
          <w:rFonts w:hint="eastAsia"/>
        </w:rPr>
        <w:t>资料来源：QYResearch</w:t>
      </w:r>
    </w:p>
    <w:bookmarkEnd w:id="305"/>
    <w:bookmarkEnd w:id="306"/>
    <w:bookmarkEnd w:id="307"/>
    <w:p w14:paraId="4AE71D99">
      <w:pPr>
        <w:pStyle w:val="3"/>
      </w:pPr>
      <w:bookmarkStart w:id="312" w:name="_Toc121584186"/>
      <w:bookmarkStart w:id="313" w:name="_Toc167094716"/>
      <w:r>
        <w:rPr>
          <w:rFonts w:hint="eastAsia"/>
        </w:rPr>
        <w:t>欧洲</w:t>
      </w:r>
      <w:r>
        <w:t>工资外包服务</w:t>
      </w:r>
      <w:r>
        <w:rPr>
          <w:rFonts w:hint="eastAsia"/>
        </w:rPr>
        <w:t>进出口分析</w:t>
      </w:r>
      <w:bookmarkEnd w:id="312"/>
      <w:bookmarkEnd w:id="313"/>
    </w:p>
    <w:p w14:paraId="22D9605A">
      <w:pPr>
        <w:pStyle w:val="4"/>
      </w:pPr>
      <w:bookmarkStart w:id="314" w:name="_Toc121584187"/>
      <w:bookmarkStart w:id="315" w:name="_Toc24028559"/>
      <w:bookmarkStart w:id="316" w:name="_Toc167094717"/>
      <w:bookmarkStart w:id="317" w:name="_Toc24972749"/>
      <w:r>
        <w:rPr>
          <w:rFonts w:hint="eastAsia"/>
        </w:rPr>
        <w:t>欧洲市场</w:t>
      </w:r>
      <w:r>
        <w:t>工资外包服务</w:t>
      </w:r>
      <w:r>
        <w:rPr>
          <w:rFonts w:hint="eastAsia"/>
        </w:rPr>
        <w:t>主要进口来源</w:t>
      </w:r>
      <w:bookmarkEnd w:id="314"/>
      <w:bookmarkEnd w:id="315"/>
      <w:bookmarkEnd w:id="316"/>
      <w:bookmarkEnd w:id="317"/>
    </w:p>
    <w:p w14:paraId="085217AB">
      <w:pPr>
        <w:pStyle w:val="132"/>
        <w:ind w:left="252" w:right="-105"/>
      </w:pPr>
      <w:bookmarkStart w:id="318" w:name="_Toc121583864"/>
      <w:bookmarkStart w:id="319" w:name="_Toc24029146"/>
      <w:bookmarkStart w:id="320" w:name="_Toc167094586"/>
      <w:bookmarkStart w:id="321" w:name="_Toc26780257"/>
      <w:r>
        <w:rPr>
          <w:rFonts w:hint="eastAsia"/>
        </w:rPr>
        <w:t>欧洲市场工资外包服务主要进口来源</w:t>
      </w:r>
      <w:bookmarkEnd w:id="318"/>
      <w:bookmarkEnd w:id="319"/>
      <w:bookmarkEnd w:id="320"/>
      <w:bookmarkEnd w:id="32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322" w:name="_Toc167094561"/>
      <w:r>
        <w:rPr>
          <w:rFonts w:hint="eastAsia"/>
        </w:rPr>
        <w:t>欧洲市场</w:t>
      </w:r>
      <w:r>
        <w:t>工资外包服务</w:t>
      </w:r>
      <w:r>
        <w:rPr>
          <w:rFonts w:hint="eastAsia"/>
        </w:rPr>
        <w:t>主要来源地进口占比（2023）</w:t>
      </w:r>
      <w:bookmarkEnd w:id="322"/>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323" w:name="_Toc121584188"/>
      <w:bookmarkStart w:id="324" w:name="_Toc167094718"/>
      <w:bookmarkStart w:id="325" w:name="_Toc24028560"/>
      <w:bookmarkStart w:id="326" w:name="_Toc24972750"/>
      <w:r>
        <w:rPr>
          <w:rFonts w:hint="eastAsia"/>
        </w:rPr>
        <w:t>欧洲市场</w:t>
      </w:r>
      <w:r>
        <w:t>工资外包服务</w:t>
      </w:r>
      <w:r>
        <w:rPr>
          <w:rFonts w:hint="eastAsia"/>
        </w:rPr>
        <w:t>主要出口目的地</w:t>
      </w:r>
      <w:bookmarkEnd w:id="323"/>
      <w:bookmarkEnd w:id="324"/>
      <w:bookmarkEnd w:id="325"/>
      <w:bookmarkEnd w:id="326"/>
    </w:p>
    <w:p w14:paraId="2670D013">
      <w:pPr>
        <w:pStyle w:val="132"/>
        <w:ind w:left="252" w:right="-105"/>
      </w:pPr>
      <w:bookmarkStart w:id="327" w:name="_Toc121583865"/>
      <w:bookmarkStart w:id="328" w:name="_Toc167094587"/>
      <w:bookmarkStart w:id="329" w:name="_Toc26780258"/>
      <w:bookmarkStart w:id="330" w:name="_Toc24029147"/>
      <w:r>
        <w:rPr>
          <w:rFonts w:hint="eastAsia"/>
        </w:rPr>
        <w:t>欧洲市场</w:t>
      </w:r>
      <w:r>
        <w:t>工资外包服务</w:t>
      </w:r>
      <w:r>
        <w:rPr>
          <w:rFonts w:hint="eastAsia"/>
        </w:rPr>
        <w:t>主要出口目的地</w:t>
      </w:r>
      <w:bookmarkEnd w:id="327"/>
      <w:bookmarkEnd w:id="328"/>
      <w:bookmarkEnd w:id="329"/>
      <w:bookmarkEnd w:id="33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31" w:name="_Toc167094562"/>
      <w:r>
        <w:rPr>
          <w:rFonts w:hint="eastAsia"/>
        </w:rPr>
        <w:t>欧洲市场</w:t>
      </w:r>
      <w:r>
        <w:t>工资外包服务</w:t>
      </w:r>
      <w:r>
        <w:rPr>
          <w:rFonts w:hint="eastAsia"/>
        </w:rPr>
        <w:t>主要目的地出口占比（2023）</w:t>
      </w:r>
      <w:bookmarkEnd w:id="331"/>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32" w:name="_Toc43885421"/>
      <w:bookmarkStart w:id="333" w:name="_Toc87984664"/>
      <w:bookmarkStart w:id="334" w:name="_Toc167094719"/>
      <w:bookmarkStart w:id="335" w:name="_Toc121584164"/>
      <w:bookmarkStart w:id="336" w:name="_Toc59105052"/>
      <w:bookmarkStart w:id="337" w:name="_Toc43885436"/>
      <w:r>
        <w:rPr>
          <w:rFonts w:hint="eastAsia"/>
          <w:lang w:eastAsia="zh-CN"/>
        </w:rPr>
        <w:t>行业发展趋势及影响因素</w:t>
      </w:r>
      <w:bookmarkEnd w:id="332"/>
      <w:bookmarkEnd w:id="333"/>
      <w:bookmarkEnd w:id="334"/>
      <w:bookmarkEnd w:id="335"/>
    </w:p>
    <w:p w14:paraId="216A64D6">
      <w:pPr>
        <w:pStyle w:val="3"/>
      </w:pPr>
      <w:bookmarkStart w:id="338" w:name="_Toc121584165"/>
      <w:bookmarkStart w:id="339" w:name="_Toc167094720"/>
      <w:bookmarkStart w:id="340" w:name="_Toc43885430"/>
      <w:bookmarkStart w:id="341" w:name="_Toc87984665"/>
      <w:r>
        <w:t>工资外包服务</w:t>
      </w:r>
      <w:r>
        <w:rPr>
          <w:rFonts w:hint="eastAsia"/>
        </w:rPr>
        <w:t>行业发展分析-</w:t>
      </w:r>
      <w:r>
        <w:t>--</w:t>
      </w:r>
      <w:r>
        <w:rPr>
          <w:rFonts w:hint="eastAsia"/>
        </w:rPr>
        <w:t>发展趋势</w:t>
      </w:r>
      <w:bookmarkEnd w:id="338"/>
      <w:bookmarkEnd w:id="339"/>
      <w:bookmarkEnd w:id="340"/>
      <w:bookmarkEnd w:id="341"/>
    </w:p>
    <w:p w14:paraId="09AB279C">
      <w:pPr>
        <w:pStyle w:val="132"/>
        <w:ind w:left="252" w:right="-105"/>
      </w:pPr>
      <w:bookmarkStart w:id="342" w:name="_Toc121583853"/>
      <w:bookmarkStart w:id="343" w:name="_Toc167094588"/>
      <w:r>
        <w:t>工资外包服务</w:t>
      </w:r>
      <w:r>
        <w:rPr>
          <w:rFonts w:hint="eastAsia"/>
        </w:rPr>
        <w:t>行业发展分析-</w:t>
      </w:r>
      <w:r>
        <w:t>--</w:t>
      </w:r>
      <w:r>
        <w:rPr>
          <w:rFonts w:hint="eastAsia"/>
        </w:rPr>
        <w:t>发展趋势</w:t>
      </w:r>
      <w:bookmarkEnd w:id="342"/>
      <w:bookmarkEnd w:id="34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44" w:name="_Toc121584166"/>
      <w:bookmarkStart w:id="345" w:name="_Toc167094721"/>
      <w:r>
        <w:t>工资外包服务</w:t>
      </w:r>
      <w:r>
        <w:rPr>
          <w:rFonts w:hint="eastAsia"/>
        </w:rPr>
        <w:t>行业发展分析-</w:t>
      </w:r>
      <w:r>
        <w:t>--</w:t>
      </w:r>
      <w:r>
        <w:rPr>
          <w:rFonts w:hint="eastAsia"/>
        </w:rPr>
        <w:t>厂商壁垒</w:t>
      </w:r>
      <w:bookmarkEnd w:id="344"/>
      <w:bookmarkEnd w:id="345"/>
    </w:p>
    <w:p w14:paraId="1418AD79">
      <w:pPr>
        <w:pStyle w:val="132"/>
        <w:ind w:left="252" w:right="-105"/>
      </w:pPr>
      <w:bookmarkStart w:id="346" w:name="_Toc167094589"/>
      <w:bookmarkStart w:id="347" w:name="_Toc121583854"/>
      <w:r>
        <w:t>工资外包服务</w:t>
      </w:r>
      <w:r>
        <w:rPr>
          <w:rFonts w:hint="eastAsia"/>
        </w:rPr>
        <w:t>行业发展分析-</w:t>
      </w:r>
      <w:r>
        <w:t>--</w:t>
      </w:r>
      <w:r>
        <w:rPr>
          <w:rFonts w:hint="eastAsia"/>
        </w:rPr>
        <w:t>厂商壁垒</w:t>
      </w:r>
      <w:bookmarkEnd w:id="346"/>
      <w:bookmarkEnd w:id="34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48" w:name="_Toc121584167"/>
      <w:bookmarkStart w:id="349" w:name="_Toc167094722"/>
      <w:bookmarkStart w:id="350" w:name="_Toc87984338"/>
      <w:r>
        <w:t>工资外包服务</w:t>
      </w:r>
      <w:r>
        <w:rPr>
          <w:rFonts w:hint="eastAsia"/>
        </w:rPr>
        <w:t>行业发展分析-</w:t>
      </w:r>
      <w:r>
        <w:t>--</w:t>
      </w:r>
      <w:r>
        <w:rPr>
          <w:rFonts w:hint="eastAsia"/>
        </w:rPr>
        <w:t>驱动因素</w:t>
      </w:r>
      <w:bookmarkEnd w:id="348"/>
      <w:bookmarkEnd w:id="349"/>
    </w:p>
    <w:bookmarkEnd w:id="350"/>
    <w:p w14:paraId="66FCC542">
      <w:pPr>
        <w:pStyle w:val="132"/>
        <w:ind w:left="252" w:right="-105"/>
      </w:pPr>
      <w:bookmarkStart w:id="351" w:name="_Toc167094590"/>
      <w:bookmarkStart w:id="352" w:name="_Toc121583855"/>
      <w:r>
        <w:t>工资外包服务</w:t>
      </w:r>
      <w:r>
        <w:rPr>
          <w:rFonts w:hint="eastAsia"/>
        </w:rPr>
        <w:t>行业发展分析-</w:t>
      </w:r>
      <w:r>
        <w:t>--</w:t>
      </w:r>
      <w:r>
        <w:rPr>
          <w:rFonts w:hint="eastAsia"/>
        </w:rPr>
        <w:t>驱动因素</w:t>
      </w:r>
      <w:bookmarkEnd w:id="351"/>
      <w:bookmarkEnd w:id="35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53" w:name="_Toc167094723"/>
      <w:bookmarkStart w:id="354" w:name="_Toc121584168"/>
      <w:r>
        <w:t>工资外包服务</w:t>
      </w:r>
      <w:r>
        <w:rPr>
          <w:rFonts w:hint="eastAsia"/>
        </w:rPr>
        <w:t>行业发展分析-</w:t>
      </w:r>
      <w:r>
        <w:t>--</w:t>
      </w:r>
      <w:r>
        <w:rPr>
          <w:rFonts w:hint="eastAsia"/>
        </w:rPr>
        <w:t>制约因素</w:t>
      </w:r>
      <w:bookmarkEnd w:id="353"/>
      <w:bookmarkEnd w:id="354"/>
    </w:p>
    <w:p w14:paraId="6D28A5F9">
      <w:pPr>
        <w:pStyle w:val="132"/>
        <w:ind w:left="252" w:right="-105"/>
      </w:pPr>
      <w:bookmarkStart w:id="355" w:name="_Toc121583856"/>
      <w:bookmarkStart w:id="356" w:name="_Toc167094591"/>
      <w:r>
        <w:t>工资外包服务</w:t>
      </w:r>
      <w:r>
        <w:rPr>
          <w:rFonts w:hint="eastAsia"/>
        </w:rPr>
        <w:t>行业发展分析-</w:t>
      </w:r>
      <w:r>
        <w:t>--</w:t>
      </w:r>
      <w:r>
        <w:rPr>
          <w:rFonts w:hint="eastAsia"/>
        </w:rPr>
        <w:t>制约因素</w:t>
      </w:r>
      <w:bookmarkEnd w:id="355"/>
      <w:bookmarkEnd w:id="356"/>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57" w:name="_Toc43885422"/>
      <w:bookmarkStart w:id="358" w:name="_Toc167094724"/>
      <w:bookmarkStart w:id="359" w:name="_Toc87984668"/>
      <w:bookmarkStart w:id="360" w:name="_Toc121584170"/>
      <w:r>
        <w:t>工资外包服务</w:t>
      </w:r>
      <w:r>
        <w:rPr>
          <w:rFonts w:hint="eastAsia"/>
        </w:rPr>
        <w:t>行业发展分析-</w:t>
      </w:r>
      <w:r>
        <w:t>--</w:t>
      </w:r>
      <w:r>
        <w:rPr>
          <w:rFonts w:hint="eastAsia"/>
        </w:rPr>
        <w:t>行业政策</w:t>
      </w:r>
      <w:bookmarkEnd w:id="357"/>
      <w:bookmarkEnd w:id="358"/>
      <w:bookmarkEnd w:id="359"/>
      <w:bookmarkEnd w:id="360"/>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89"/>
    <w:bookmarkEnd w:id="290"/>
    <w:bookmarkEnd w:id="336"/>
    <w:bookmarkEnd w:id="337"/>
    <w:p w14:paraId="05DA7643">
      <w:pPr>
        <w:pStyle w:val="2"/>
        <w:rPr>
          <w:lang w:eastAsia="zh-CN"/>
        </w:rPr>
      </w:pPr>
      <w:bookmarkStart w:id="361" w:name="_Toc121584189"/>
      <w:bookmarkStart w:id="362" w:name="_Toc167094725"/>
      <w:bookmarkStart w:id="363" w:name="_Toc24028588"/>
      <w:bookmarkStart w:id="364" w:name="_Toc24972778"/>
      <w:r>
        <w:rPr>
          <w:rFonts w:hint="eastAsia"/>
          <w:lang w:eastAsia="zh-CN"/>
        </w:rPr>
        <w:t>研究成果及结论</w:t>
      </w:r>
      <w:bookmarkEnd w:id="361"/>
      <w:bookmarkEnd w:id="362"/>
      <w:bookmarkEnd w:id="363"/>
      <w:bookmarkEnd w:id="364"/>
    </w:p>
    <w:p w14:paraId="28F796A6">
      <w:pPr>
        <w:pStyle w:val="128"/>
        <w:ind w:firstLine="420"/>
        <w:rPr>
          <w:lang w:eastAsia="zh-CN"/>
        </w:rPr>
      </w:pPr>
      <w:r>
        <w:rPr>
          <w:rFonts w:hint="eastAsia"/>
          <w:lang w:eastAsia="zh-CN"/>
        </w:rPr>
        <w:t>通过多年对本行业的调研，结合对行业厂商、业内专家的采访，以及本文分析师观点，得出如下总结：</w:t>
      </w:r>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32C14D97">
      <w:pPr>
        <w:pStyle w:val="128"/>
        <w:ind w:firstLine="420"/>
        <w:rPr>
          <w:lang w:eastAsia="zh-CN"/>
        </w:rPr>
      </w:pPr>
    </w:p>
    <w:p w14:paraId="3CCA6E4D">
      <w:pPr>
        <w:pStyle w:val="128"/>
        <w:ind w:firstLine="420"/>
        <w:rPr>
          <w:lang w:eastAsia="zh-CN"/>
        </w:rPr>
      </w:pPr>
    </w:p>
    <w:p w14:paraId="6F3FC960">
      <w:pPr>
        <w:pStyle w:val="128"/>
        <w:ind w:firstLine="420"/>
        <w:rPr>
          <w:lang w:eastAsia="zh-CN"/>
        </w:rPr>
      </w:pPr>
    </w:p>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B1E7B">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65" w:name="_Hlk39682314"/>
    <w:bookmarkStart w:id="366"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2024年欧洲工资外包服务市场主要企业市场占有率及排名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2024年欧洲工资外包服务市场主要企业市场占有率及排名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65"/>
    <w:bookmarkEnd w:id="366"/>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8855644"/>
    <w:rsid w:val="3FE77181"/>
    <w:rsid w:val="46BB66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47</Pages>
  <Words>11316</Words>
  <Characters>16122</Characters>
  <Lines>256</Lines>
  <Paragraphs>72</Paragraphs>
  <TotalTime>5</TotalTime>
  <ScaleCrop>false</ScaleCrop>
  <LinksUpToDate>false</LinksUpToDate>
  <CharactersWithSpaces>16577</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2024-06-18T06:25:28Z</dcterms:modified>
  <cp:revision>5374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21FC402DE8EF4D7E84F1B2D5882C4274_13</vt:lpwstr>
  </property>
</Properties>
</file>