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陶瓷卫浴市场</w:t>
      </w:r>
      <w:r>
        <w:rPr>
          <w:rFonts w:hint="eastAsia"/>
          <w:lang w:val="en-US" w:eastAsia="zh-CN"/>
        </w:rPr>
        <w:t>分析：预计全球</w:t>
      </w:r>
      <w:r>
        <w:rPr>
          <w:rFonts w:hint="eastAsia"/>
          <w:lang w:eastAsia="zh-CN"/>
        </w:rPr>
        <w:t>年复合增长率（2025-2031）为 5.4%</w:t>
      </w:r>
    </w:p>
    <w:bookmarkEnd w:id="0"/>
    <w:p w14:paraId="62E05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一、行业定义与市场边界</w:t>
      </w:r>
    </w:p>
    <w:p w14:paraId="1E3C8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陶瓷卫浴产品涵盖洗手池、马桶、小便池、浴缸等品类，全球市场规模从2024年的296.5亿美元增至2031年426.3亿美元，CAGR 5.4%。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最新调研报告显示，中国作为全球最大市场，贡献约35%产能，但出口依赖度高达60%（海关总署2024年数据），受美国关税政策冲击显著。</w:t>
      </w:r>
    </w:p>
    <w:p w14:paraId="190FE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1903730"/>
            <wp:effectExtent l="0" t="0" r="8255" b="1270"/>
            <wp:docPr id="1" name="图片 1" descr="陶瓷卫浴产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陶瓷卫浴产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3B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二、供应链结构与区域化重构</w:t>
      </w:r>
    </w:p>
    <w:p w14:paraId="024C9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全球价值链分工演变</w:t>
      </w:r>
    </w:p>
    <w:p w14:paraId="04C06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传统模式：中国主导制造（占全球产能70%），欧美品牌商（如科勒、TOTO）掌控设计与品牌。</w:t>
      </w:r>
    </w:p>
    <w:p w14:paraId="57A0C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新趋势：中国企业加速布局“区域制造中心+本地化生产”，例如九牧在越南、墨西哥建设智能工厂，规避关税壁垒。</w:t>
      </w:r>
    </w:p>
    <w:p w14:paraId="679BD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供应链关键环节</w:t>
      </w:r>
    </w:p>
    <w:p w14:paraId="47B39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上游：原材料（高岭土、釉料）依赖进口，价格波动影响成本（2024年高岭土价格同比上涨12%）。</w:t>
      </w:r>
    </w:p>
    <w:p w14:paraId="00DAF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中游：制造环节向东南亚、中东转移，中国产能占比预计从70%降至2030年的55%（摩根士丹利预测）。</w:t>
      </w:r>
    </w:p>
    <w:p w14:paraId="0DFD8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下游：渠道呈现“工程渠道主导+零售渠道分化”格局，精装房占比超40%（奥维云网2024年数据）。</w:t>
      </w:r>
    </w:p>
    <w:p w14:paraId="517CD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三、主要生产商竞争格局</w:t>
      </w:r>
    </w:p>
    <w:p w14:paraId="02316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国际头部企业</w:t>
      </w:r>
    </w:p>
    <w:p w14:paraId="50878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企业名称2024年全球收入（亿美元）核心优势区域布局</w:t>
      </w:r>
    </w:p>
    <w:p w14:paraId="31BA6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科勒（Kohler）85高端工程渠道（酒店市占率28%）美国、中国、印度</w:t>
      </w:r>
    </w:p>
    <w:p w14:paraId="065AD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骊住集团（LIXIL）72水效技术专利（节水马桶占比45%）日本、东南亚、欧洲</w:t>
      </w:r>
    </w:p>
    <w:p w14:paraId="5736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TOTO68智能卫浴（智能马桶占比60%）日本、中国、美国</w:t>
      </w:r>
    </w:p>
    <w:p w14:paraId="7072C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乐家（Roca）45欧洲本土化生产（西班牙工厂产能）欧洲、中东、拉美</w:t>
      </w:r>
    </w:p>
    <w:p w14:paraId="1E4C1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中国企业突围路径</w:t>
      </w:r>
    </w:p>
    <w:p w14:paraId="56E38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惠达卫浴：2024年海外收入占比提升至38%，在越南建设年产能100万套的智能工厂。</w:t>
      </w:r>
    </w:p>
    <w:p w14:paraId="6A6DC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九牧集团：推出“AI卫浴生态”，通过DeepSeek大模型实现产品个性化定制，2025年品牌价值达1812.86亿元。</w:t>
      </w:r>
    </w:p>
    <w:p w14:paraId="2AC7F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恒洁卫浴（HEGII）：聚焦东南亚市场，2024年马来西亚销售额同比增长85%。</w:t>
      </w:r>
    </w:p>
    <w:p w14:paraId="71B14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四、政策与市场驱动因素</w:t>
      </w:r>
    </w:p>
    <w:p w14:paraId="2BDFF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关税政策倒逼产业升级</w:t>
      </w:r>
    </w:p>
    <w:p w14:paraId="4A1FA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美国对华陶瓷卫浴产品加征25%关税，导致中国企业出口成本增加15%-20%。</w:t>
      </w:r>
    </w:p>
    <w:p w14:paraId="7B6BE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欧盟《循环经济行动计划》要求2030年产品回收率达65%，推动再生材料应用（如箭牌家居研发竹纤维陶瓷）。</w:t>
      </w:r>
    </w:p>
    <w:p w14:paraId="17A6B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消费升级与技术创新</w:t>
      </w:r>
    </w:p>
    <w:p w14:paraId="6E164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智能化：智能马桶渗透率从2020年的4%提升至2024年的12%（中国家用电器协会数据）。</w:t>
      </w:r>
    </w:p>
    <w:p w14:paraId="0BC09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节水化：美国《水效标签法》要求马桶单次冲水量≤4.8升，推动节水技术迭代。</w:t>
      </w:r>
    </w:p>
    <w:p w14:paraId="23B35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五、未来趋势与行业前景</w:t>
      </w:r>
    </w:p>
    <w:p w14:paraId="79305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市场空间预测</w:t>
      </w:r>
    </w:p>
    <w:p w14:paraId="7E168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区域分化：亚太市场（尤其是中国、印度）贡献主要增量，CAGR 6.8%；欧美市场增长平缓（CAGR 3.2%）。</w:t>
      </w:r>
    </w:p>
    <w:p w14:paraId="29C7F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品类迭代：智能卫浴、定制化浴室柜将成为核心增长点，预计2030年市场规模占比超30%。</w:t>
      </w:r>
    </w:p>
    <w:p w14:paraId="536FE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技术创新方向</w:t>
      </w:r>
    </w:p>
    <w:p w14:paraId="65E0C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AI与物联网：九牧AI马桶产业园实现机器人洗澡机量产，通过健康监测功能提升附加值。</w:t>
      </w:r>
    </w:p>
    <w:p w14:paraId="1DBC1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材料革命：无釉陶瓷、抗菌涂层技术降低维护成本，契合ESG投资趋势。</w:t>
      </w:r>
    </w:p>
    <w:p w14:paraId="33530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竞争格局演变</w:t>
      </w:r>
    </w:p>
    <w:p w14:paraId="4DB6A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中国品牌全球化：惠达、恒洁通过跨境电商渗透欧美中端市场，2025年目标市占率提升至10%。</w:t>
      </w:r>
    </w:p>
    <w:p w14:paraId="7D4E4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供应链韧性：跨国企业加速“中国+1”布局，在越南、墨西哥增设生产基地。</w:t>
      </w:r>
    </w:p>
    <w:p w14:paraId="1AEE8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六、投资决策建议</w:t>
      </w:r>
    </w:p>
    <w:p w14:paraId="54EB0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关注技术壁垒：优先布局AI算法、新材料研发企业（如九牧、TOTO）。</w:t>
      </w:r>
    </w:p>
    <w:p w14:paraId="6D6C0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把握区域机会：东南亚、中东市场短期受基建投资拉动，长期看好中高端产品渗透率提升。</w:t>
      </w:r>
    </w:p>
    <w:p w14:paraId="1F64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规避政策风险：欧盟碳关税（CBAM）实施后，高能耗企业成本或上升10%-15%。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2025年全球及中国陶瓷卫浴产品企业出海开展业务规划及策略研究报告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陶瓷卫浴产品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94A28D6"/>
    <w:rsid w:val="3C4B6CC9"/>
    <w:rsid w:val="3FEF68E3"/>
    <w:rsid w:val="45305CB1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28557/ceramic-sanitary-war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1362</Words>
  <Characters>1590</Characters>
  <Application>Microsoft Office Word</Application>
  <DocSecurity>0</DocSecurity>
  <Lines>0</Lines>
  <Paragraphs>0</Paragraphs>
  <ScaleCrop>false</ScaleCrop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2025-06-19T08:24:34Z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