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E4742A">
      <w:pPr>
        <w:pStyle w:val="167"/>
        <w:rPr>
          <w:rFonts w:hint="eastAsia"/>
        </w:rPr>
      </w:pPr>
      <w:bookmarkStart w:id="0" w:name="OLE_LINK24"/>
      <w:bookmarkStart w:id="1" w:name="_Toc415143481"/>
      <w:bookmarkStart w:id="2" w:name="_Toc517262917"/>
      <w:bookmarkStart w:id="3" w:name="_Toc415142861"/>
      <w:bookmarkStart w:id="4" w:name="OLE_LINK13"/>
      <w:bookmarkStart w:id="5" w:name="_Toc438987549"/>
      <w:bookmarkStart w:id="6" w:name="_Toc415818939"/>
      <w:bookmarkStart w:id="7" w:name="_Toc418070112"/>
      <w:bookmarkStart w:id="8" w:name="OLE_LINK39"/>
      <w:bookmarkStart w:id="9" w:name="_Toc453597319"/>
      <w:bookmarkStart w:id="10" w:name="OLE_LINK40"/>
      <w:bookmarkStart w:id="11" w:name="_Toc481801204"/>
      <w:bookmarkStart w:id="12" w:name="OLE_LINK15"/>
      <w:r>
        <w:rPr>
          <w:rFonts w:hint="eastAsia" w:ascii="Times New Roman" w:hAnsi="Times New Roman" w:cs="Times New Roman"/>
          <w:lang w:eastAsia="zh-CN"/>
        </w:rPr>
        <w:t>电动汽车锁定执行器全球市场总体规模</w:t>
      </w:r>
    </w:p>
    <w:p w14:paraId="60338A5B">
      <w:pPr>
        <w:spacing w:line="360" w:lineRule="auto"/>
        <w:rPr>
          <w:rFonts w:hint="eastAsia"/>
        </w:rPr>
      </w:pPr>
      <w:r>
        <w:rPr>
          <w:rFonts w:hint="eastAsia"/>
        </w:rPr>
        <w:t>电动汽车锁定执行器是指应用于电动汽车关键接口与机构中的机电执行部件，用于在特定工况下实现“锁定/解锁”的物理约束与安全互锁，防止误操作、脱落或在高压通电状态下被强行拔出，从而保障充电与行驶安全。最典型的应用包括：充电枪/车端充电口锁止执行器——在充电过程中通过锁销/锁爪机构将插枪固定，并与整车控制策略联动，只有在车辆确认断电、满足互锁条件后才允许解锁；充电口门/盖执行器——实现充电口盖板的开闭、吸合与锁止，提升防水防尘与防盗破坏能力；以及电子驻车锁止/变速箱P挡锁止执行器——驱动棘爪/锁止机构在驻车状态下可靠啮合或释放，防止车辆溜车并满足功能安全要求。</w:t>
      </w:r>
      <w:bookmarkStart w:id="13" w:name="_GoBack"/>
      <w:bookmarkEnd w:id="13"/>
    </w:p>
    <w:p w14:paraId="121E542E">
      <w:pPr>
        <w:ind w:firstLine="0" w:firstLineChars="0"/>
        <w:rPr>
          <w:rFonts w:ascii="宋体" w:hAnsi="宋体" w:eastAsia="宋体" w:cs="宋体"/>
          <w:sz w:val="24"/>
          <w:szCs w:val="24"/>
        </w:rPr>
      </w:pPr>
      <w:r>
        <w:rPr>
          <w:rFonts w:hint="eastAsia" w:cs="宋体"/>
          <w:sz w:val="24"/>
          <w:szCs w:val="24"/>
          <w:lang w:val="en-US" w:eastAsia="zh-CN"/>
        </w:rPr>
        <w:t xml:space="preserve">    </w:t>
      </w:r>
      <w:r>
        <w:rPr>
          <w:rFonts w:ascii="宋体" w:hAnsi="宋体" w:eastAsia="宋体" w:cs="宋体"/>
          <w:sz w:val="24"/>
          <w:szCs w:val="24"/>
        </w:rPr>
        <w:drawing>
          <wp:inline distT="0" distB="0" distL="114300" distR="114300">
            <wp:extent cx="2425065" cy="2425065"/>
            <wp:effectExtent l="0" t="0" r="0" b="0"/>
            <wp:docPr id="7"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6"/>
                    <pic:cNvPicPr>
                      <a:picLocks noChangeAspect="1"/>
                    </pic:cNvPicPr>
                  </pic:nvPicPr>
                  <pic:blipFill>
                    <a:blip r:embed="rId12"/>
                    <a:stretch>
                      <a:fillRect/>
                    </a:stretch>
                  </pic:blipFill>
                  <pic:spPr>
                    <a:xfrm>
                      <a:off x="0" y="0"/>
                      <a:ext cx="2425065" cy="2425065"/>
                    </a:xfrm>
                    <a:prstGeom prst="rect">
                      <a:avLst/>
                    </a:prstGeom>
                    <a:noFill/>
                    <a:ln w="9525">
                      <a:noFill/>
                    </a:ln>
                  </pic:spPr>
                </pic:pic>
              </a:graphicData>
            </a:graphic>
          </wp:inline>
        </w:drawing>
      </w:r>
    </w:p>
    <w:p w14:paraId="69A655B7">
      <w:pPr>
        <w:spacing w:line="360" w:lineRule="auto"/>
        <w:rPr>
          <w:rFonts w:hint="eastAsia"/>
          <w:lang w:val="en-US" w:eastAsia="zh-CN"/>
        </w:rPr>
      </w:pPr>
      <w:r>
        <w:rPr>
          <w:rFonts w:hint="eastAsia" w:cs="宋体"/>
          <w:sz w:val="24"/>
          <w:szCs w:val="24"/>
          <w:lang w:val="en-US" w:eastAsia="zh-CN"/>
        </w:rPr>
        <w:t xml:space="preserve"> </w:t>
      </w:r>
      <w:r>
        <w:rPr>
          <w:rFonts w:hint="eastAsia"/>
          <w:lang w:val="en-US" w:eastAsia="zh-CN"/>
        </w:rPr>
        <w:t>在电动汽车锁定执行器供应链中，上游环节主要由机电和材料投入构成，例如铜线圈和磁性钢（用于螺线管）、直流电机和齿轮传动装置、弹簧和精密冲压件、工程塑料和耐腐蚀金属、用于水/冰/盐环境的密封件和润滑剂、连接器和线束材料，以及用于实现位置反馈和诊断的电子元件（驱动器、霍尔/限位开关）。</w:t>
      </w:r>
    </w:p>
    <w:p w14:paraId="5AA3A43C">
      <w:pPr>
        <w:spacing w:line="360" w:lineRule="auto"/>
        <w:rPr>
          <w:rFonts w:hint="eastAsia"/>
          <w:lang w:val="en-US" w:eastAsia="zh-CN"/>
        </w:rPr>
      </w:pPr>
      <w:r>
        <w:rPr>
          <w:rFonts w:hint="eastAsia"/>
          <w:lang w:val="en-US" w:eastAsia="zh-CN"/>
        </w:rPr>
        <w:t>中游环节则由执行器和模块制造商组成，他们设计和生产充电口/插头锁定执行器、充电口门/挡板执行器和电子驻车锁执行器；他们将机械结构与传感和控制（通常支持LIN/CAN总线）集成，验证产品在汽车温度/振动/化学环境下的耐久性，并向一级供应商提供独立执行器或集成模块。</w:t>
      </w:r>
    </w:p>
    <w:p w14:paraId="7344A8D1">
      <w:pPr>
        <w:spacing w:line="360" w:lineRule="auto"/>
        <w:rPr>
          <w:rFonts w:hint="default"/>
          <w:lang w:val="en-US" w:eastAsia="zh-CN"/>
        </w:rPr>
      </w:pPr>
      <w:r>
        <w:rPr>
          <w:rFonts w:hint="eastAsia"/>
          <w:lang w:val="en-US" w:eastAsia="zh-CN"/>
        </w:rPr>
        <w:t>下游层由一级系统集成商和车辆 OEM 驱动，他们将这些执行器指定为充电系统和动力传动/泊车系统中的安全和用户体验组件，以确保联锁逻辑（仅在安全时解锁）、功能安全和诊断要求以及车辆生命周期内的可维护性；平台标准化、第二供应商策略以及通过经销商和零部件渠道进行的改装/售后市场更换进一步塑造了需求。</w:t>
      </w:r>
    </w:p>
    <w:p w14:paraId="55BC0D9E">
      <w:pPr>
        <w:spacing w:line="360" w:lineRule="auto"/>
        <w:rPr>
          <w:rFonts w:hint="eastAsia"/>
        </w:rPr>
      </w:pPr>
    </w:p>
    <w:p w14:paraId="5FBAE113">
      <w:pPr>
        <w:spacing w:line="360" w:lineRule="auto"/>
        <w:rPr>
          <w:rFonts w:hint="eastAsia"/>
        </w:rPr>
      </w:pPr>
      <w:r>
        <w:rPr>
          <w:rFonts w:hint="eastAsia"/>
        </w:rPr>
        <w:t>2025年全球电动汽车锁定执行器产量将达1</w:t>
      </w:r>
      <w:r>
        <w:rPr>
          <w:rFonts w:hint="eastAsia"/>
          <w:lang w:val="en-US" w:eastAsia="zh-CN"/>
        </w:rPr>
        <w:t>,</w:t>
      </w:r>
      <w:r>
        <w:rPr>
          <w:rFonts w:hint="eastAsia"/>
        </w:rPr>
        <w:t>880</w:t>
      </w:r>
      <w:r>
        <w:rPr>
          <w:rFonts w:hint="eastAsia"/>
          <w:lang w:val="en-US" w:eastAsia="zh-CN"/>
        </w:rPr>
        <w:t>万</w:t>
      </w:r>
      <w:r>
        <w:rPr>
          <w:rFonts w:hint="eastAsia"/>
        </w:rPr>
        <w:t>个，平均售价为30美元/个，毛利率约为10%-30%。据QYResearch调研团队最新报告“全球电动汽车锁定执行器市场报告2026-2032”显示，预计2032年全球电动汽车锁定执行器市场规模将达到8.7亿美元，未来几年年复合增长率CAGR为</w:t>
      </w:r>
      <w:r>
        <w:rPr>
          <w:rFonts w:hint="eastAsia"/>
          <w:lang w:val="en-US" w:eastAsia="zh-CN"/>
        </w:rPr>
        <w:t>6</w:t>
      </w:r>
      <w:r>
        <w:rPr>
          <w:rFonts w:hint="eastAsia"/>
        </w:rPr>
        <w:t>.4%。</w:t>
      </w:r>
    </w:p>
    <w:p w14:paraId="2DFE53F3">
      <w:pPr>
        <w:spacing w:line="360" w:lineRule="auto"/>
        <w:rPr>
          <w:rFonts w:hint="eastAsia"/>
        </w:rPr>
      </w:pPr>
    </w:p>
    <w:p w14:paraId="2A634A3E">
      <w:pPr>
        <w:pStyle w:val="167"/>
        <w:rPr>
          <w:rFonts w:hint="eastAsia" w:ascii="宋体" w:hAnsi="宋体" w:cs="宋体"/>
          <w:lang w:eastAsia="zh-CN"/>
        </w:rPr>
      </w:pPr>
      <w:r>
        <w:rPr>
          <w:rFonts w:hint="eastAsia" w:ascii="Times New Roman" w:hAnsi="Times New Roman" w:cs="Times New Roman"/>
          <w:lang w:eastAsia="zh-CN"/>
        </w:rPr>
        <w:t>电动汽车锁定执行器</w:t>
      </w:r>
      <w:r>
        <w:rPr>
          <w:rFonts w:hint="eastAsia" w:ascii="宋体" w:hAnsi="宋体" w:cs="宋体"/>
          <w:lang w:eastAsia="zh-CN"/>
        </w:rPr>
        <w:t>全球市场总体规模（</w:t>
      </w:r>
      <w:r>
        <w:rPr>
          <w:rFonts w:hint="eastAsia" w:ascii="Times New Roman" w:hAnsi="Times New Roman" w:cs="Times New Roman"/>
          <w:lang w:eastAsia="zh-CN"/>
        </w:rPr>
        <w:t>202</w:t>
      </w:r>
      <w:r>
        <w:rPr>
          <w:rFonts w:hint="eastAsia" w:ascii="Times New Roman" w:hAnsi="Times New Roman" w:cs="Times New Roman"/>
          <w:lang w:val="en-US" w:eastAsia="zh-CN"/>
        </w:rPr>
        <w:t>1</w:t>
      </w:r>
      <w:r>
        <w:rPr>
          <w:rFonts w:hint="eastAsia" w:ascii="Times New Roman" w:hAnsi="Times New Roman" w:cs="Times New Roman"/>
          <w:lang w:eastAsia="zh-CN"/>
        </w:rPr>
        <w:t>-203</w:t>
      </w:r>
      <w:r>
        <w:rPr>
          <w:rFonts w:hint="eastAsia" w:ascii="Times New Roman" w:hAnsi="Times New Roman" w:cs="Times New Roman"/>
          <w:lang w:val="en-US" w:eastAsia="zh-CN"/>
        </w:rPr>
        <w:t>2</w:t>
      </w:r>
      <w:r>
        <w:rPr>
          <w:rFonts w:hint="eastAsia" w:ascii="宋体" w:hAnsi="宋体" w:cs="宋体"/>
          <w:lang w:eastAsia="zh-CN"/>
        </w:rPr>
        <w:t>）</w:t>
      </w:r>
    </w:p>
    <w:p w14:paraId="3E23F49B">
      <w:pPr>
        <w:pStyle w:val="145"/>
        <w:ind w:firstLine="0" w:firstLineChars="0"/>
        <w:rPr>
          <w:rFonts w:hint="eastAsia"/>
          <w:color w:val="0D0D0D" w:themeColor="text1" w:themeTint="F2"/>
          <w14:textFill>
            <w14:solidFill>
              <w14:schemeClr w14:val="tx1">
                <w14:lumMod w14:val="95000"/>
                <w14:lumOff w14:val="5000"/>
              </w14:schemeClr>
            </w14:solidFill>
          </w14:textFill>
        </w:rPr>
      </w:pPr>
      <w:r>
        <w:rPr>
          <w:rFonts w:hint="eastAsia"/>
          <w:color w:val="0D0D0D" w:themeColor="text1" w:themeTint="F2"/>
          <w:lang w:val="en-US" w:eastAsia="zh-CN"/>
          <w14:textFill>
            <w14:solidFill>
              <w14:schemeClr w14:val="tx1">
                <w14:lumMod w14:val="95000"/>
                <w14:lumOff w14:val="5000"/>
              </w14:schemeClr>
            </w14:solidFill>
          </w14:textFill>
        </w:rPr>
        <w:t xml:space="preserve"> </w:t>
      </w:r>
      <w:r>
        <w:drawing>
          <wp:inline distT="0" distB="0" distL="114300" distR="114300">
            <wp:extent cx="6186170" cy="2950210"/>
            <wp:effectExtent l="0" t="0" r="5080" b="2540"/>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3"/>
                    <a:stretch>
                      <a:fillRect/>
                    </a:stretch>
                  </pic:blipFill>
                  <pic:spPr>
                    <a:xfrm>
                      <a:off x="0" y="0"/>
                      <a:ext cx="6186170" cy="2950210"/>
                    </a:xfrm>
                    <a:prstGeom prst="rect">
                      <a:avLst/>
                    </a:prstGeom>
                    <a:noFill/>
                    <a:ln>
                      <a:noFill/>
                    </a:ln>
                  </pic:spPr>
                </pic:pic>
              </a:graphicData>
            </a:graphic>
          </wp:inline>
        </w:drawing>
      </w:r>
    </w:p>
    <w:p w14:paraId="046BAE1C">
      <w:pPr>
        <w:pStyle w:val="143"/>
        <w:ind w:firstLine="260"/>
        <w:rPr>
          <w:rFonts w:hint="eastAsia"/>
          <w:i/>
          <w:iCs/>
          <w:sz w:val="13"/>
          <w:szCs w:val="13"/>
        </w:rPr>
      </w:pPr>
      <w:r>
        <w:rPr>
          <w:rFonts w:hint="eastAsia"/>
          <w:i/>
          <w:iCs/>
          <w:sz w:val="13"/>
          <w:szCs w:val="13"/>
        </w:rPr>
        <w:t>如上图表/数据，摘自QYResearch最新报告“全球</w:t>
      </w:r>
      <w:r>
        <w:rPr>
          <w:rFonts w:hint="eastAsia"/>
          <w:i/>
          <w:iCs/>
          <w:sz w:val="13"/>
          <w:szCs w:val="13"/>
          <w:lang w:eastAsia="zh-CN"/>
        </w:rPr>
        <w:t>电动汽车锁定执行器</w:t>
      </w:r>
      <w:r>
        <w:rPr>
          <w:rFonts w:hint="eastAsia"/>
          <w:i/>
          <w:iCs/>
          <w:sz w:val="13"/>
          <w:szCs w:val="13"/>
        </w:rPr>
        <w:t>市场研究报告2025-2031”</w:t>
      </w:r>
      <w:r>
        <w:rPr>
          <w:i/>
          <w:iCs/>
          <w:sz w:val="13"/>
          <w:szCs w:val="13"/>
        </w:rPr>
        <w:t>.</w:t>
      </w:r>
    </w:p>
    <w:p w14:paraId="32032CCF">
      <w:pPr>
        <w:pStyle w:val="167"/>
        <w:rPr>
          <w:rFonts w:hint="eastAsia" w:ascii="宋体" w:hAnsi="宋体" w:cs="宋体"/>
          <w:lang w:eastAsia="zh-CN"/>
        </w:rPr>
      </w:pPr>
      <w:r>
        <w:rPr>
          <w:rFonts w:hint="eastAsia" w:ascii="宋体" w:hAnsi="宋体" w:cs="宋体"/>
          <w:lang w:eastAsia="zh-CN"/>
        </w:rPr>
        <w:t>全球</w:t>
      </w:r>
      <w:r>
        <w:rPr>
          <w:rFonts w:hint="eastAsia" w:ascii="Times New Roman" w:hAnsi="Times New Roman" w:cs="Times New Roman"/>
          <w:lang w:eastAsia="zh-CN"/>
        </w:rPr>
        <w:t>电动汽车锁定执行器</w:t>
      </w:r>
      <w:r>
        <w:rPr>
          <w:rFonts w:hint="eastAsia" w:ascii="宋体" w:hAnsi="宋体" w:cs="宋体"/>
          <w:lang w:eastAsia="zh-CN"/>
        </w:rPr>
        <w:t>市场前</w:t>
      </w:r>
      <w:r>
        <w:rPr>
          <w:rFonts w:hint="eastAsia" w:ascii="Times New Roman" w:hAnsi="Times New Roman" w:cs="Times New Roman"/>
          <w:lang w:eastAsia="zh-CN"/>
        </w:rPr>
        <w:t>5</w:t>
      </w:r>
      <w:r>
        <w:rPr>
          <w:rFonts w:hint="eastAsia" w:ascii="宋体" w:hAnsi="宋体" w:cs="宋体"/>
          <w:lang w:eastAsia="zh-CN"/>
        </w:rPr>
        <w:t>强生产商排名及市场占有率（基于</w:t>
      </w:r>
      <w:r>
        <w:rPr>
          <w:rFonts w:ascii="Times New Roman" w:hAnsi="Times New Roman" w:cs="Times New Roman"/>
          <w:lang w:eastAsia="zh-CN"/>
        </w:rPr>
        <w:t>202</w:t>
      </w:r>
      <w:r>
        <w:rPr>
          <w:rFonts w:hint="eastAsia" w:ascii="Times New Roman" w:hAnsi="Times New Roman" w:cs="Times New Roman"/>
          <w:lang w:val="en-US" w:eastAsia="zh-CN"/>
        </w:rPr>
        <w:t>5</w:t>
      </w:r>
      <w:r>
        <w:rPr>
          <w:rFonts w:hint="eastAsia" w:ascii="宋体" w:hAnsi="宋体" w:cs="宋体"/>
          <w:lang w:eastAsia="zh-CN"/>
        </w:rPr>
        <w:t>年调研数据；目前最新数据以本公司最新调研数据为准）</w:t>
      </w:r>
    </w:p>
    <w:p w14:paraId="3EDAC35C">
      <w:pPr>
        <w:ind w:firstLine="1440" w:firstLineChars="600"/>
        <w:rPr>
          <w:rFonts w:hint="eastAsia"/>
        </w:rPr>
      </w:pPr>
      <w:r>
        <w:rPr>
          <w:rFonts w:hint="eastAsia"/>
          <w:lang w:val="en-US" w:eastAsia="zh-CN"/>
        </w:rPr>
        <w:t xml:space="preserve">   </w:t>
      </w:r>
      <w:r>
        <w:drawing>
          <wp:inline distT="0" distB="0" distL="114300" distR="114300">
            <wp:extent cx="4410075" cy="5991225"/>
            <wp:effectExtent l="0" t="0" r="9525" b="9525"/>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14"/>
                    <a:stretch>
                      <a:fillRect/>
                    </a:stretch>
                  </pic:blipFill>
                  <pic:spPr>
                    <a:xfrm>
                      <a:off x="0" y="0"/>
                      <a:ext cx="4410075" cy="5991225"/>
                    </a:xfrm>
                    <a:prstGeom prst="rect">
                      <a:avLst/>
                    </a:prstGeom>
                    <a:noFill/>
                    <a:ln>
                      <a:noFill/>
                    </a:ln>
                  </pic:spPr>
                </pic:pic>
              </a:graphicData>
            </a:graphic>
          </wp:inline>
        </w:drawing>
      </w:r>
    </w:p>
    <w:p w14:paraId="42EC3447">
      <w:pPr>
        <w:pStyle w:val="143"/>
        <w:spacing w:line="360" w:lineRule="auto"/>
        <w:ind w:firstLine="260"/>
        <w:rPr>
          <w:rFonts w:hint="eastAsia"/>
          <w:i/>
          <w:iCs/>
          <w:sz w:val="13"/>
          <w:szCs w:val="13"/>
        </w:rPr>
      </w:pPr>
      <w:r>
        <w:rPr>
          <w:rFonts w:hint="eastAsia"/>
          <w:i/>
          <w:iCs/>
          <w:sz w:val="13"/>
          <w:szCs w:val="13"/>
        </w:rPr>
        <w:t>如上图表/数据，摘自</w:t>
      </w:r>
      <w:r>
        <w:rPr>
          <w:rFonts w:ascii="Times New Roman" w:hAnsi="Times New Roman" w:cs="Times New Roman"/>
          <w:i/>
          <w:iCs/>
          <w:sz w:val="13"/>
          <w:szCs w:val="13"/>
        </w:rPr>
        <w:t>QYResearch</w:t>
      </w:r>
      <w:r>
        <w:rPr>
          <w:rFonts w:hint="eastAsia"/>
          <w:i/>
          <w:iCs/>
          <w:sz w:val="13"/>
          <w:szCs w:val="13"/>
        </w:rPr>
        <w:t>报告“全球</w:t>
      </w:r>
      <w:r>
        <w:rPr>
          <w:rFonts w:hint="eastAsia"/>
          <w:i/>
          <w:iCs/>
          <w:sz w:val="13"/>
          <w:szCs w:val="13"/>
          <w:lang w:eastAsia="zh-CN"/>
        </w:rPr>
        <w:t>电动汽车锁定执行器</w:t>
      </w:r>
      <w:r>
        <w:rPr>
          <w:rFonts w:hint="eastAsia"/>
          <w:i/>
          <w:iCs/>
          <w:sz w:val="13"/>
          <w:szCs w:val="13"/>
        </w:rPr>
        <w:t>市场研究报告</w:t>
      </w:r>
      <w:r>
        <w:rPr>
          <w:rFonts w:hint="eastAsia" w:ascii="Times New Roman" w:hAnsi="Times New Roman" w:cs="Times New Roman"/>
          <w:i/>
          <w:iCs/>
          <w:sz w:val="13"/>
          <w:szCs w:val="13"/>
        </w:rPr>
        <w:t>20</w:t>
      </w:r>
      <w:r>
        <w:rPr>
          <w:rFonts w:hint="eastAsia" w:ascii="Times New Roman" w:hAnsi="Times New Roman" w:cs="Times New Roman"/>
          <w:i/>
          <w:iCs/>
          <w:sz w:val="13"/>
          <w:szCs w:val="13"/>
          <w:lang w:val="en-US" w:eastAsia="zh-CN"/>
        </w:rPr>
        <w:t>21</w:t>
      </w:r>
      <w:r>
        <w:rPr>
          <w:rFonts w:hint="eastAsia" w:ascii="Times New Roman" w:hAnsi="Times New Roman" w:cs="Times New Roman"/>
          <w:i/>
          <w:iCs/>
          <w:sz w:val="13"/>
          <w:szCs w:val="13"/>
        </w:rPr>
        <w:t>-203</w:t>
      </w:r>
      <w:r>
        <w:rPr>
          <w:rFonts w:hint="eastAsia" w:ascii="Times New Roman" w:hAnsi="Times New Roman" w:cs="Times New Roman"/>
          <w:i/>
          <w:iCs/>
          <w:sz w:val="13"/>
          <w:szCs w:val="13"/>
          <w:lang w:val="en-US" w:eastAsia="zh-CN"/>
        </w:rPr>
        <w:t>2</w:t>
      </w:r>
      <w:r>
        <w:rPr>
          <w:rFonts w:hint="eastAsia"/>
          <w:i/>
          <w:iCs/>
          <w:sz w:val="13"/>
          <w:szCs w:val="13"/>
        </w:rPr>
        <w:t>”，排名基于</w:t>
      </w:r>
      <w:r>
        <w:rPr>
          <w:rFonts w:hint="eastAsia" w:ascii="Times New Roman" w:hAnsi="Times New Roman" w:cs="Times New Roman"/>
          <w:i/>
          <w:iCs/>
          <w:sz w:val="13"/>
          <w:szCs w:val="13"/>
        </w:rPr>
        <w:t>2</w:t>
      </w:r>
      <w:r>
        <w:rPr>
          <w:rFonts w:ascii="Times New Roman" w:hAnsi="Times New Roman" w:cs="Times New Roman"/>
          <w:i/>
          <w:iCs/>
          <w:sz w:val="13"/>
          <w:szCs w:val="13"/>
        </w:rPr>
        <w:t>02</w:t>
      </w:r>
      <w:r>
        <w:rPr>
          <w:rFonts w:hint="eastAsia" w:ascii="Times New Roman" w:hAnsi="Times New Roman" w:cs="Times New Roman"/>
          <w:i/>
          <w:iCs/>
          <w:sz w:val="13"/>
          <w:szCs w:val="13"/>
        </w:rPr>
        <w:t>4</w:t>
      </w:r>
      <w:r>
        <w:rPr>
          <w:rFonts w:hint="eastAsia"/>
          <w:i/>
          <w:iCs/>
          <w:sz w:val="13"/>
          <w:szCs w:val="13"/>
        </w:rPr>
        <w:t>数据。目前最新数据，以本公司最新调研数据为准。</w:t>
      </w:r>
    </w:p>
    <w:p w14:paraId="199F11F1">
      <w:pPr>
        <w:spacing w:line="360" w:lineRule="auto"/>
        <w:rPr>
          <w:rFonts w:hint="eastAsia"/>
        </w:rPr>
      </w:pPr>
      <w:r>
        <w:rPr>
          <w:rFonts w:hint="eastAsia"/>
        </w:rPr>
        <w:t>根据</w:t>
      </w:r>
      <w:r>
        <w:rPr>
          <w:rFonts w:hint="eastAsia" w:ascii="Times New Roman" w:hAnsi="Times New Roman" w:cs="Times New Roman"/>
        </w:rPr>
        <w:t>QYResearch</w:t>
      </w:r>
      <w:r>
        <w:rPr>
          <w:rFonts w:hint="eastAsia"/>
        </w:rPr>
        <w:t>头部企业研究中心调研，全球范围内</w:t>
      </w:r>
      <w:r>
        <w:rPr>
          <w:rFonts w:hint="eastAsia"/>
          <w:lang w:eastAsia="zh-CN"/>
        </w:rPr>
        <w:t>电动汽车锁定执行器</w:t>
      </w:r>
      <w:r>
        <w:rPr>
          <w:rFonts w:hint="eastAsia"/>
        </w:rPr>
        <w:t>生产商主要包括</w:t>
      </w:r>
      <w:r>
        <w:rPr>
          <w:rFonts w:hint="eastAsia" w:ascii="Times New Roman" w:hAnsi="Times New Roman" w:cs="Times New Roman"/>
        </w:rPr>
        <w:t>德昌电机、菲尼克斯电气、佛瑞亚海拉、Marquardt、泰科电子、法雷奥、Kiekert、Volex</w:t>
      </w:r>
      <w:r>
        <w:rPr>
          <w:rFonts w:hint="eastAsia"/>
        </w:rPr>
        <w:t>等。</w:t>
      </w:r>
      <w:r>
        <w:rPr>
          <w:rFonts w:hint="eastAsia" w:ascii="Times New Roman" w:hAnsi="Times New Roman" w:cs="Times New Roman"/>
        </w:rPr>
        <w:t>202</w:t>
      </w:r>
      <w:r>
        <w:rPr>
          <w:rFonts w:hint="eastAsia" w:ascii="Times New Roman" w:hAnsi="Times New Roman" w:cs="Times New Roman"/>
          <w:lang w:val="en-US" w:eastAsia="zh-CN"/>
        </w:rPr>
        <w:t>5</w:t>
      </w:r>
      <w:r>
        <w:rPr>
          <w:rFonts w:hint="eastAsia"/>
        </w:rPr>
        <w:t>年，全球前五大厂商占有大约</w:t>
      </w:r>
      <w:r>
        <w:rPr>
          <w:rFonts w:hint="eastAsia" w:ascii="Times New Roman" w:hAnsi="Times New Roman" w:cs="Times New Roman"/>
        </w:rPr>
        <w:t>5</w:t>
      </w:r>
      <w:r>
        <w:rPr>
          <w:rFonts w:hint="eastAsia" w:ascii="Times New Roman" w:hAnsi="Times New Roman" w:cs="Times New Roman"/>
          <w:lang w:val="en-US" w:eastAsia="zh-CN"/>
        </w:rPr>
        <w:t>4</w:t>
      </w:r>
      <w:r>
        <w:rPr>
          <w:rFonts w:hint="eastAsia" w:ascii="Times New Roman" w:hAnsi="Times New Roman" w:cs="Times New Roman"/>
        </w:rPr>
        <w:t>.0%</w:t>
      </w:r>
      <w:r>
        <w:rPr>
          <w:rFonts w:hint="eastAsia"/>
        </w:rPr>
        <w:t>的市场份额。</w:t>
      </w:r>
    </w:p>
    <w:p w14:paraId="6BAA5895">
      <w:pPr>
        <w:spacing w:line="360" w:lineRule="auto"/>
        <w:rPr>
          <w:rFonts w:hint="eastAsia"/>
        </w:rPr>
      </w:pPr>
    </w:p>
    <w:p w14:paraId="37BE7DF3">
      <w:pPr>
        <w:pStyle w:val="145"/>
        <w:spacing w:line="360" w:lineRule="auto"/>
        <w:ind w:firstLine="0" w:firstLineChars="0"/>
        <w:rPr>
          <w:rFonts w:hint="eastAsia"/>
        </w:rPr>
      </w:pPr>
      <w:r>
        <w:rPr>
          <w:rFonts w:hint="eastAsia"/>
          <w:b/>
          <w:bCs/>
          <w:color w:val="0D0D0D" w:themeColor="text1" w:themeTint="F2"/>
          <w:lang w:eastAsia="zh-CN"/>
          <w14:textFill>
            <w14:solidFill>
              <w14:schemeClr w14:val="tx1">
                <w14:lumMod w14:val="95000"/>
                <w14:lumOff w14:val="5000"/>
              </w14:schemeClr>
            </w14:solidFill>
          </w14:textFill>
        </w:rPr>
        <w:t>全球电动汽车锁定执行器的市场驱动因素和机遇</w:t>
      </w:r>
    </w:p>
    <w:p w14:paraId="009FEDDC">
      <w:pPr>
        <w:spacing w:line="360" w:lineRule="auto"/>
        <w:rPr>
          <w:rFonts w:hint="eastAsia"/>
        </w:rPr>
      </w:pPr>
      <w:r>
        <w:rPr>
          <w:rFonts w:hint="eastAsia"/>
        </w:rPr>
        <w:t>传导式充电中的安全联锁要求</w:t>
      </w:r>
      <w:r>
        <w:rPr>
          <w:rFonts w:hint="eastAsia"/>
          <w:lang w:eastAsia="zh-CN"/>
        </w:rPr>
        <w:t>：</w:t>
      </w:r>
      <w:r>
        <w:rPr>
          <w:rFonts w:hint="eastAsia"/>
        </w:rPr>
        <w:t>随着电动汽车充电功率的提升，原始设备制造商 (OEM) 和相关标准越来越重视防止负载下断开连接，并确保通电前安全对接，这直接推动了对具有状态反馈（锁定确认）的可靠输入/插头锁定机构的需求。</w:t>
      </w:r>
    </w:p>
    <w:p w14:paraId="037CE113">
      <w:pPr>
        <w:spacing w:line="360" w:lineRule="auto"/>
        <w:rPr>
          <w:rFonts w:hint="eastAsia"/>
        </w:rPr>
      </w:pPr>
    </w:p>
    <w:p w14:paraId="4E612408">
      <w:pPr>
        <w:spacing w:line="360" w:lineRule="auto"/>
        <w:rPr>
          <w:rFonts w:hint="eastAsia"/>
        </w:rPr>
      </w:pPr>
      <w:r>
        <w:rPr>
          <w:rFonts w:hint="eastAsia"/>
        </w:rPr>
        <w:t>更高功率的充电（尤其是重载充电）提高了技术门槛</w:t>
      </w:r>
      <w:r>
        <w:rPr>
          <w:rFonts w:hint="eastAsia"/>
          <w:lang w:eastAsia="zh-CN"/>
        </w:rPr>
        <w:t>：</w:t>
      </w:r>
      <w:r>
        <w:rPr>
          <w:rFonts w:hint="eastAsia"/>
        </w:rPr>
        <w:t>针对卡车和其他高能量平台的兆瓦级充电计划明确要求采用带反馈的电动锁定/保持装置，并在故障情况下保持稳健运行，这为执行器供应商创造了更高的单车零部件含量和更高的平均售价 (ASP) 机会。</w:t>
      </w:r>
    </w:p>
    <w:p w14:paraId="18A1AB46">
      <w:pPr>
        <w:spacing w:line="360" w:lineRule="auto"/>
        <w:rPr>
          <w:rFonts w:hint="eastAsia"/>
        </w:rPr>
      </w:pPr>
    </w:p>
    <w:p w14:paraId="161C6931">
      <w:pPr>
        <w:spacing w:line="360" w:lineRule="auto"/>
        <w:rPr>
          <w:rFonts w:hint="eastAsia"/>
        </w:rPr>
      </w:pPr>
      <w:r>
        <w:rPr>
          <w:rFonts w:hint="eastAsia"/>
        </w:rPr>
        <w:t>售后市场和改装市场利好</w:t>
      </w:r>
      <w:r>
        <w:rPr>
          <w:rFonts w:hint="eastAsia"/>
          <w:lang w:eastAsia="zh-CN"/>
        </w:rPr>
        <w:t>：</w:t>
      </w:r>
      <w:r>
        <w:rPr>
          <w:rFonts w:hint="eastAsia"/>
        </w:rPr>
        <w:t>随着装机量的增长，充电端口锁/门执行器和驻车锁相关组件的更换需求日益增加——尤其是在恶劣气候（冰雪、盐雾、污染）下，现场故障往往集中发生——这为售后配件市场以及 OEM 供应创造了稳定的市场机会。</w:t>
      </w:r>
    </w:p>
    <w:p w14:paraId="6B999DE0">
      <w:pPr>
        <w:pStyle w:val="145"/>
        <w:spacing w:line="360" w:lineRule="auto"/>
        <w:ind w:firstLine="0" w:firstLineChars="0"/>
        <w:rPr>
          <w:rFonts w:hint="eastAsia"/>
          <w:b/>
          <w:bCs/>
          <w:color w:val="0D0D0D" w:themeColor="text1" w:themeTint="F2"/>
          <w:lang w:eastAsia="zh-CN"/>
          <w14:textFill>
            <w14:solidFill>
              <w14:schemeClr w14:val="tx1">
                <w14:lumMod w14:val="95000"/>
                <w14:lumOff w14:val="5000"/>
              </w14:schemeClr>
            </w14:solidFill>
          </w14:textFill>
        </w:rPr>
      </w:pPr>
      <w:r>
        <w:rPr>
          <w:rFonts w:hint="eastAsia"/>
          <w:b/>
          <w:bCs/>
          <w:color w:val="0D0D0D" w:themeColor="text1" w:themeTint="F2"/>
          <w:lang w:val="en-US" w:eastAsia="zh-CN"/>
          <w14:textFill>
            <w14:solidFill>
              <w14:schemeClr w14:val="tx1">
                <w14:lumMod w14:val="95000"/>
                <w14:lumOff w14:val="5000"/>
              </w14:schemeClr>
            </w14:solidFill>
          </w14:textFill>
        </w:rPr>
        <w:t>全球</w:t>
      </w:r>
      <w:r>
        <w:rPr>
          <w:rFonts w:hint="eastAsia"/>
          <w:b/>
          <w:bCs/>
          <w:color w:val="0D0D0D" w:themeColor="text1" w:themeTint="F2"/>
          <w:lang w:eastAsia="zh-CN"/>
          <w14:textFill>
            <w14:solidFill>
              <w14:schemeClr w14:val="tx1">
                <w14:lumMod w14:val="95000"/>
                <w14:lumOff w14:val="5000"/>
              </w14:schemeClr>
            </w14:solidFill>
          </w14:textFill>
        </w:rPr>
        <w:t>电动汽车锁定执行器市场趋势</w:t>
      </w:r>
    </w:p>
    <w:p w14:paraId="6735AE73">
      <w:pPr>
        <w:pStyle w:val="145"/>
        <w:spacing w:line="360" w:lineRule="auto"/>
        <w:rPr>
          <w:rFonts w:hint="eastAsia"/>
          <w:color w:val="000000"/>
          <w:kern w:val="2"/>
          <w:szCs w:val="24"/>
          <w:lang w:val="en-US" w:eastAsia="zh-CN"/>
          <w14:textFill>
            <w14:solidFill>
              <w14:srgbClr w14:val="000000">
                <w14:lumMod w14:val="95000"/>
                <w14:lumOff w14:val="5000"/>
              </w14:srgbClr>
            </w14:solidFill>
          </w14:textFill>
        </w:rPr>
      </w:pPr>
      <w:r>
        <w:rPr>
          <w:rFonts w:hint="eastAsia"/>
          <w:color w:val="000000"/>
          <w:kern w:val="2"/>
          <w:szCs w:val="24"/>
          <w:lang w:val="en-US" w:eastAsia="zh-CN"/>
          <w14:textFill>
            <w14:solidFill>
              <w14:srgbClr w14:val="000000">
                <w14:lumMod w14:val="95000"/>
                <w14:lumOff w14:val="5000"/>
              </w14:srgbClr>
            </w14:solidFill>
          </w14:textFill>
        </w:rPr>
        <w:t>从简单的电磁阀到更智能的电动/锁扣机构：许多应用正朝着提供可控运动、更佳保持策略（断电保持或机械锁扣）以及更佳噪音/手感的设计方向发展——尤其是在充电口盖和高端车型项目中。</w:t>
      </w:r>
    </w:p>
    <w:p w14:paraId="2870F9CA">
      <w:pPr>
        <w:pStyle w:val="145"/>
        <w:spacing w:line="360" w:lineRule="auto"/>
        <w:ind w:left="0" w:leftChars="0" w:firstLine="480" w:firstLineChars="200"/>
        <w:rPr>
          <w:rFonts w:hint="eastAsia"/>
          <w:color w:val="000000"/>
          <w:kern w:val="2"/>
          <w:szCs w:val="24"/>
          <w:lang w:val="en-US" w:eastAsia="zh-CN"/>
          <w14:textFill>
            <w14:solidFill>
              <w14:srgbClr w14:val="000000">
                <w14:lumMod w14:val="95000"/>
                <w14:lumOff w14:val="5000"/>
              </w14:srgbClr>
            </w14:solidFill>
          </w14:textFill>
        </w:rPr>
      </w:pPr>
      <w:r>
        <w:rPr>
          <w:rFonts w:hint="eastAsia"/>
          <w:color w:val="000000"/>
          <w:kern w:val="2"/>
          <w:szCs w:val="24"/>
          <w:lang w:val="en-US" w:eastAsia="zh-CN"/>
          <w14:textFill>
            <w14:solidFill>
              <w14:srgbClr w14:val="000000">
                <w14:lumMod w14:val="95000"/>
                <w14:lumOff w14:val="5000"/>
              </w14:srgbClr>
            </w14:solidFill>
          </w14:textFill>
        </w:rPr>
        <w:t>环境适应性成为主要差异化因素：由于充电口会暴露在天气、道路盐分和冰雪等环境中，供应商在密封性、耐腐蚀性、抗污染性和冷启动性能方面展开竞争——这些通常比原始力输出更具实际意义。</w:t>
      </w:r>
    </w:p>
    <w:p w14:paraId="7F4A89A4">
      <w:pPr>
        <w:pStyle w:val="145"/>
        <w:spacing w:line="360" w:lineRule="auto"/>
        <w:ind w:firstLine="0" w:firstLineChars="0"/>
        <w:rPr>
          <w:rFonts w:hint="eastAsia"/>
          <w:color w:val="000000"/>
          <w:kern w:val="2"/>
          <w:szCs w:val="24"/>
          <w:lang w:val="en-US" w:eastAsia="zh-CN"/>
          <w14:textFill>
            <w14:solidFill>
              <w14:srgbClr w14:val="000000">
                <w14:lumMod w14:val="95000"/>
                <w14:lumOff w14:val="5000"/>
              </w14:srgbClr>
            </w14:solidFill>
          </w14:textFill>
        </w:rPr>
      </w:pPr>
    </w:p>
    <w:bookmarkEnd w:id="0"/>
    <w:bookmarkEnd w:id="1"/>
    <w:bookmarkEnd w:id="2"/>
    <w:bookmarkEnd w:id="3"/>
    <w:bookmarkEnd w:id="4"/>
    <w:bookmarkEnd w:id="5"/>
    <w:bookmarkEnd w:id="6"/>
    <w:bookmarkEnd w:id="7"/>
    <w:bookmarkEnd w:id="8"/>
    <w:bookmarkEnd w:id="9"/>
    <w:bookmarkEnd w:id="10"/>
    <w:bookmarkEnd w:id="11"/>
    <w:bookmarkEnd w:id="12"/>
    <w:p w14:paraId="0326FF95">
      <w:pPr>
        <w:pStyle w:val="145"/>
        <w:rPr>
          <w:rFonts w:hint="eastAsia"/>
          <w:color w:val="0D0D0D" w:themeColor="text1" w:themeTint="F2"/>
          <w:lang w:eastAsia="zh-CN"/>
          <w14:textFill>
            <w14:solidFill>
              <w14:schemeClr w14:val="tx1">
                <w14:lumMod w14:val="95000"/>
                <w14:lumOff w14:val="5000"/>
              </w14:schemeClr>
            </w14:solidFill>
          </w14:textFill>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080" w:bottom="1440" w:left="1080" w:header="709" w:footer="567"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Century Gothic">
    <w:panose1 w:val="020B05020202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10AF0">
    <w:pPr>
      <w:pStyle w:val="21"/>
      <w:ind w:firstLine="360"/>
      <w:rPr>
        <w:rFonts w:hint="eastAsia"/>
      </w:rPr>
    </w:pPr>
    <w:r>
      <w:t>Copyright © QYResearch | market@qyresearch.com | www.qyresearch.com.cn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25C91B">
    <w:pPr>
      <w:pStyle w:val="21"/>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B60572">
    <w:pPr>
      <w:pStyle w:val="21"/>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00" w:lineRule="auto"/>
        <w:ind w:firstLine="480"/>
      </w:pPr>
      <w:r>
        <w:separator/>
      </w:r>
    </w:p>
  </w:footnote>
  <w:footnote w:type="continuationSeparator" w:id="1">
    <w:p>
      <w:pPr>
        <w:spacing w:before="0" w:after="0" w:line="30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00F31">
    <w:pPr>
      <w:pStyle w:val="22"/>
      <w:ind w:firstLine="360"/>
      <w:rPr>
        <w:rFonts w:hint="eastAsia"/>
      </w:rPr>
    </w:pPr>
    <w: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1B60E6B3">
                          <w:pPr>
                            <w:rPr>
                              <w:rFonts w:hint="eastAsia"/>
                            </w:rPr>
                          </w:pPr>
                          <w:r>
                            <w:rPr>
                              <w:rFonts w:hint="eastAsia"/>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1B60E6B3">
                    <w:pPr>
                      <w:rPr>
                        <w:rFonts w:hint="eastAsia"/>
                      </w:rPr>
                    </w:pPr>
                    <w:r>
                      <w:rPr>
                        <w:rFonts w:hint="eastAsia"/>
                      </w:rPr>
                      <w:t>全球市场研究报告</w:t>
                    </w:r>
                  </w:p>
                </w:txbxContent>
              </v:textbox>
              <w10:wrap type="square"/>
            </v:shape>
          </w:pict>
        </mc:Fallback>
      </mc:AlternateContent>
    </w:r>
  </w:p>
  <w:p w14:paraId="62A3A6F6">
    <w:pPr>
      <w:pStyle w:val="22"/>
      <w:ind w:firstLine="360"/>
      <w:rPr>
        <w:rFonts w:hint="eastAsia"/>
      </w:rPr>
    </w:pPr>
  </w:p>
  <w:p w14:paraId="3B49153E">
    <w:pPr>
      <w:pStyle w:val="22"/>
      <w:ind w:firstLine="360"/>
      <w:rPr>
        <w:rFonts w:hint="eastAsia"/>
      </w:rPr>
    </w:pPr>
  </w:p>
  <w:p w14:paraId="7DC0B83F">
    <w:pPr>
      <w:pStyle w:val="22"/>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FE2A52">
    <w:pPr>
      <w:rPr>
        <w:rFonts w:hint="eastAsia"/>
      </w:rPr>
    </w:pPr>
    <w:r>
      <w:rPr>
        <w:rFonts w:hint="eastAsia"/>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C45AAB">
    <w:pPr>
      <w:rPr>
        <w:rFonts w:hint="eastAsia"/>
      </w:rPr>
    </w:pPr>
    <w:r>
      <w:rPr>
        <w:rFonts w:hint="eastAsia"/>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TY2MzI3ZTk0N2ZhODI4OTJiYTFmY2JlOWQ1MTEyZTc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AA9"/>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A29"/>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75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810"/>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00"/>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4BF"/>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5EEA"/>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4FA8"/>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DBE"/>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3ED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51C"/>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89A"/>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773"/>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989"/>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4"/>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732"/>
    <w:rsid w:val="00282954"/>
    <w:rsid w:val="00282960"/>
    <w:rsid w:val="00282965"/>
    <w:rsid w:val="00282B76"/>
    <w:rsid w:val="0028332D"/>
    <w:rsid w:val="0028356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980"/>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4B"/>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BE0"/>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8C6"/>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9B7"/>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DFA"/>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03"/>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70"/>
    <w:rsid w:val="00375DF5"/>
    <w:rsid w:val="0037615B"/>
    <w:rsid w:val="003767A4"/>
    <w:rsid w:val="003768D5"/>
    <w:rsid w:val="0037698D"/>
    <w:rsid w:val="00376A5C"/>
    <w:rsid w:val="00376A84"/>
    <w:rsid w:val="00376AA1"/>
    <w:rsid w:val="00376AED"/>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B96"/>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C62"/>
    <w:rsid w:val="003D7D9D"/>
    <w:rsid w:val="003D7F85"/>
    <w:rsid w:val="003E0011"/>
    <w:rsid w:val="003E00EE"/>
    <w:rsid w:val="003E0195"/>
    <w:rsid w:val="003E04D5"/>
    <w:rsid w:val="003E060F"/>
    <w:rsid w:val="003E067E"/>
    <w:rsid w:val="003E087D"/>
    <w:rsid w:val="003E0CAC"/>
    <w:rsid w:val="003E0DBF"/>
    <w:rsid w:val="003E0E8B"/>
    <w:rsid w:val="003E1319"/>
    <w:rsid w:val="003E167E"/>
    <w:rsid w:val="003E180C"/>
    <w:rsid w:val="003E19EF"/>
    <w:rsid w:val="003E1D2C"/>
    <w:rsid w:val="003E1D69"/>
    <w:rsid w:val="003E1DF5"/>
    <w:rsid w:val="003E1E79"/>
    <w:rsid w:val="003E200F"/>
    <w:rsid w:val="003E2107"/>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3FCE"/>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6EAA"/>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0ECF"/>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42F"/>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1FAD"/>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C22"/>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9E3"/>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55E"/>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3EC3"/>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19B"/>
    <w:rsid w:val="004C12A1"/>
    <w:rsid w:val="004C131C"/>
    <w:rsid w:val="004C1379"/>
    <w:rsid w:val="004C163C"/>
    <w:rsid w:val="004C1A2B"/>
    <w:rsid w:val="004C1B2B"/>
    <w:rsid w:val="004C1EF9"/>
    <w:rsid w:val="004C22A7"/>
    <w:rsid w:val="004C2580"/>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B90"/>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267"/>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2A5"/>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21C"/>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7ED"/>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75F"/>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71"/>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7A"/>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3A"/>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52D"/>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31D"/>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7D5"/>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0D"/>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179"/>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4E"/>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1F9"/>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133"/>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EB9"/>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85"/>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4C2"/>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82"/>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039"/>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683"/>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76"/>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07E"/>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066"/>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12"/>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1EFE"/>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994"/>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390"/>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D84"/>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586"/>
    <w:rsid w:val="00B10908"/>
    <w:rsid w:val="00B10975"/>
    <w:rsid w:val="00B109E6"/>
    <w:rsid w:val="00B10E96"/>
    <w:rsid w:val="00B10F28"/>
    <w:rsid w:val="00B10FF3"/>
    <w:rsid w:val="00B11308"/>
    <w:rsid w:val="00B11612"/>
    <w:rsid w:val="00B11729"/>
    <w:rsid w:val="00B11816"/>
    <w:rsid w:val="00B1181B"/>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6D75"/>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4BD"/>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5F2"/>
    <w:rsid w:val="00BA1EFF"/>
    <w:rsid w:val="00BA1F30"/>
    <w:rsid w:val="00BA2028"/>
    <w:rsid w:val="00BA24C2"/>
    <w:rsid w:val="00BA265D"/>
    <w:rsid w:val="00BA27B4"/>
    <w:rsid w:val="00BA27C4"/>
    <w:rsid w:val="00BA2887"/>
    <w:rsid w:val="00BA2C87"/>
    <w:rsid w:val="00BA2F01"/>
    <w:rsid w:val="00BA31E4"/>
    <w:rsid w:val="00BA3621"/>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31C"/>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88B"/>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28FE"/>
    <w:rsid w:val="00C03724"/>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A7"/>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3BB"/>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7F3"/>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57E92"/>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2"/>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062"/>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2E6"/>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0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A92"/>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6F73"/>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3B2"/>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20"/>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387"/>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7D0"/>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3E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5F2D"/>
    <w:rsid w:val="00FD61C2"/>
    <w:rsid w:val="00FD62C7"/>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850"/>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7CF539A"/>
    <w:rsid w:val="08EE4992"/>
    <w:rsid w:val="11FC3C7B"/>
    <w:rsid w:val="24AA3A0B"/>
    <w:rsid w:val="28017DE6"/>
    <w:rsid w:val="2C550700"/>
    <w:rsid w:val="2E75752B"/>
    <w:rsid w:val="30B67187"/>
    <w:rsid w:val="362F1FC2"/>
    <w:rsid w:val="38787C50"/>
    <w:rsid w:val="3997062A"/>
    <w:rsid w:val="3D0C4E0B"/>
    <w:rsid w:val="3ED73FB0"/>
    <w:rsid w:val="40EE65D6"/>
    <w:rsid w:val="47FA075F"/>
    <w:rsid w:val="4864675E"/>
    <w:rsid w:val="50E85385"/>
    <w:rsid w:val="52290AAA"/>
    <w:rsid w:val="52D56FAA"/>
    <w:rsid w:val="53E126F6"/>
    <w:rsid w:val="566E45B8"/>
    <w:rsid w:val="569F037A"/>
    <w:rsid w:val="596F4300"/>
    <w:rsid w:val="59DF5F9E"/>
    <w:rsid w:val="5DF64FF0"/>
    <w:rsid w:val="6E256048"/>
    <w:rsid w:val="73BD7103"/>
    <w:rsid w:val="746F7452"/>
    <w:rsid w:val="75A35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line="300" w:lineRule="auto"/>
      <w:ind w:firstLine="480" w:firstLineChars="200"/>
      <w:jc w:val="both"/>
    </w:pPr>
    <w:rPr>
      <w:rFonts w:ascii="宋体" w:hAnsi="宋体" w:eastAsia="宋体" w:cstheme="minorBidi"/>
      <w:kern w:val="2"/>
      <w:sz w:val="24"/>
      <w:szCs w:val="24"/>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cs="宋体"/>
      <w:kern w:val="0"/>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lang w:val="en-IN"/>
    </w:rPr>
  </w:style>
  <w:style w:type="character" w:customStyle="1" w:styleId="144">
    <w:name w:val="Source 字符"/>
    <w:basedOn w:val="67"/>
    <w:link w:val="143"/>
    <w:qFormat/>
    <w:uiPriority w:val="0"/>
    <w:rPr>
      <w:rFonts w:ascii="Tahoma" w:hAnsi="Tahoma" w:eastAsia="宋体"/>
      <w:kern w:val="2"/>
      <w:sz w:val="21"/>
      <w:szCs w:val="21"/>
      <w:lang w:val="en-IN"/>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清单表 2 - 着色 41"/>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清单表 1 浅色 - 着色 1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color w:val="00000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color w:val="00000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color w:val="FFFFFF"/>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color w:val="FFFFFF"/>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color w:val="FFFFFF"/>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清单表 2 - 着色 21"/>
    <w:basedOn w:val="34"/>
    <w:autoRedefine/>
    <w:qFormat/>
    <w:uiPriority w:val="47"/>
    <w:rPr>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sz w:val="22"/>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网格表 21"/>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网格表 2 - 着色 41"/>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网格表 2 - 着色 51"/>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清单表 2 - 着色 51"/>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清单表 1 浅色 - 着色 51"/>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sz w:val="21"/>
      <w:szCs w:val="22"/>
      <w:lang w:val="en-IN" w:eastAsia="en-US" w:bidi="ar-SA"/>
    </w:rPr>
  </w:style>
  <w:style w:type="character" w:customStyle="1" w:styleId="204">
    <w:name w:val="未处理的提及6"/>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2189</Words>
  <Characters>2439</Characters>
  <Lines>40</Lines>
  <Paragraphs>23</Paragraphs>
  <TotalTime>15</TotalTime>
  <ScaleCrop>false</ScaleCrop>
  <LinksUpToDate>false</LinksUpToDate>
  <CharactersWithSpaces>2458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2026-01-15T07:17:14Z</dcterms:modified>
  <cp:revision>908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8244C2FF1AE84807A5D0AD1BB1FD9FB7_12</vt:lpwstr>
  </property>
  <property fmtid="{D5CDD505-2E9C-101B-9397-08002B2CF9AE}" pid="4" name="KSOTemplateDocerSaveRecord">
    <vt:lpwstr>eyJoZGlkIjoiMjFmNGNlNTgxMTU0YzBhMjY3NTRmNDcyYjNlZTNhMDciLCJ1c2VySWQiOiI0MzI5MTg4NDMifQ==</vt:lpwstr>
  </property>
</Properties>
</file>