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2D7188C2">
      <w:pPr>
        <w:rPr>
          <w:rFonts w:eastAsia="等线"/>
          <w:b/>
          <w:bCs/>
          <w:sz w:val="28"/>
          <w:szCs w:val="28"/>
          <w:lang w:eastAsia="zh-CN"/>
        </w:rPr>
      </w:pPr>
      <w:r>
        <w:rPr>
          <w:rFonts w:eastAsia="等线"/>
          <w:b/>
          <w:bCs/>
          <w:sz w:val="28"/>
          <w:szCs w:val="28"/>
          <w:lang w:eastAsia="zh-CN"/>
        </w:rPr>
        <w:t>European Diclofenac Sodium Suppositories Market to Reach €365</w:t>
      </w:r>
      <w:r>
        <w:rPr>
          <w:rFonts w:eastAsia="等线" w:hint="eastAsia"/>
          <w:b/>
          <w:bCs/>
          <w:sz w:val="28"/>
          <w:szCs w:val="28"/>
          <w:lang w:eastAsia="zh-CN"/>
        </w:rPr>
        <w:t>.</w:t>
      </w:r>
      <w:r>
        <w:rPr>
          <w:rFonts w:eastAsia="等线"/>
          <w:b/>
          <w:bCs/>
          <w:sz w:val="28"/>
          <w:szCs w:val="28"/>
          <w:lang w:eastAsia="zh-CN"/>
        </w:rPr>
        <w:t>3 Million by 2031 with 5.2</w:t>
      </w:r>
      <w:r>
        <w:rPr>
          <w:rFonts w:eastAsia="等线" w:hint="eastAsia"/>
          <w:b/>
          <w:bCs/>
          <w:sz w:val="28"/>
          <w:szCs w:val="28"/>
          <w:lang w:eastAsia="zh-CN"/>
        </w:rPr>
        <w:t>%</w:t>
      </w:r>
      <w:r>
        <w:rPr>
          <w:rFonts w:eastAsia="等线"/>
          <w:b/>
          <w:bCs/>
          <w:sz w:val="28"/>
          <w:szCs w:val="28"/>
          <w:lang w:eastAsia="zh-CN"/>
        </w:rPr>
        <w:t xml:space="preserve"> CAGR</w:t>
      </w:r>
    </w:p>
    <w:p w14:paraId="676FE64D">
      <w:pPr>
        <w:rPr>
          <w:rFonts w:eastAsia="等线"/>
          <w:lang w:eastAsia="zh-CN"/>
        </w:rPr>
      </w:pPr>
    </w:p>
    <w:p w14:paraId="3A001006">
      <w:pPr>
        <w:rPr>
          <w:rFonts w:eastAsia="等线"/>
          <w:i/>
          <w:iCs/>
          <w:lang w:eastAsia="zh-CN"/>
        </w:rPr>
      </w:pPr>
      <w:r>
        <w:rPr>
          <w:rFonts w:eastAsia="等线"/>
          <w:i/>
          <w:iCs/>
          <w:lang w:eastAsia="zh-CN"/>
        </w:rPr>
        <w:t>Geneva, Switzerland—</w:t>
      </w:r>
      <w:r>
        <w:rPr>
          <w:rFonts w:eastAsia="等线" w:hint="eastAsia"/>
          <w:i/>
          <w:iCs/>
          <w:lang w:eastAsia="zh-CN"/>
        </w:rPr>
        <w:t>January 15, 2025</w:t>
      </w:r>
    </w:p>
    <w:p w14:paraId="3E69A8A3">
      <w:pPr>
        <w:rPr>
          <w:rFonts w:eastAsia="等线"/>
          <w:lang w:eastAsia="zh-CN"/>
        </w:rPr>
      </w:pPr>
    </w:p>
    <w:p w14:paraId="47BE7774">
      <w:pPr>
        <w:pStyle w:val="ListParagraph"/>
        <w:numPr>
          <w:ilvl w:val="0"/>
          <w:numId w:val="1"/>
        </w:numPr>
        <w:ind w:leftChars="0"/>
        <w:rPr>
          <w:rFonts w:eastAsia="等线"/>
          <w:lang w:eastAsia="zh-CN"/>
        </w:rPr>
      </w:pPr>
      <w:r>
        <w:rPr>
          <w:rFonts w:eastAsia="等线" w:hint="eastAsia"/>
          <w:lang w:eastAsia="zh-CN"/>
        </w:rPr>
        <w:t>European</w:t>
      </w:r>
      <w:r>
        <w:rPr>
          <w:rFonts w:eastAsia="等线"/>
          <w:lang w:eastAsia="zh-CN"/>
        </w:rPr>
        <w:t xml:space="preserve"> </w:t>
      </w:r>
      <w:r>
        <w:rPr>
          <w:rFonts w:eastAsia="等线" w:hint="eastAsia"/>
          <w:lang w:eastAsia="zh-CN"/>
        </w:rPr>
        <w:t>Diclofenac Sodium Suppositories</w:t>
      </w:r>
      <w:r>
        <w:rPr>
          <w:rFonts w:eastAsia="等线"/>
          <w:lang w:eastAsia="zh-CN"/>
        </w:rPr>
        <w:t xml:space="preserve"> Market </w:t>
      </w:r>
      <w:r>
        <w:drawing>
          <wp:inline distT="0" distB="0" distL="0" distR="0">
            <wp:extent cx="5274310" cy="3090545"/>
            <wp:effectExtent l="0" t="0" r="2540" b="0"/>
            <wp:docPr id="14210076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007672" name="图片 1"/>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a:xfrm>
                      <a:off x="0" y="0"/>
                      <a:ext cx="5274310" cy="3090545"/>
                    </a:xfrm>
                    <a:prstGeom prst="rect">
                      <a:avLst/>
                    </a:prstGeom>
                    <a:noFill/>
                    <a:ln>
                      <a:noFill/>
                    </a:ln>
                  </pic:spPr>
                </pic:pic>
              </a:graphicData>
            </a:graphic>
          </wp:inline>
        </w:drawing>
      </w:r>
    </w:p>
    <w:p w14:paraId="717684DF">
      <w:pPr>
        <w:jc w:val="both"/>
        <w:rPr>
          <w:rFonts w:eastAsia="等线"/>
          <w:lang w:eastAsia="zh-CN"/>
        </w:rPr>
      </w:pPr>
      <w:r>
        <w:rPr>
          <w:rFonts w:eastAsia="等线"/>
          <w:lang w:eastAsia="zh-CN"/>
        </w:rPr>
        <w:t>In 2024, Novartis International AG, based in Switzerland, made notable advancements in the European Diclofenac Sodium Suppositories market, further cementing its position as a leading player. According to the latest insights from QY Research, the company has prioritized diversifying its product range to meet the evolving needs of patients and healthcare providers across Europe. This initiative is complemented by a robust distribution network expansion, allowing Novartis to penetrate markets in both established and emerging regions within the continent. The demand for anti-inflammatory and pain-relief solutions continues to grow due to an aging population and increasing prevalence of chronic conditions like arthritis and post-operative pain management. As part of its strategy, Novartis has collaborated with several pharmaceutical partners to accelerate research and development efforts, focusing on enhancing the efficacy and safety profiles of Diclofenac Sodium Suppositories. Furthermore, the company has launched targeted marketing campaigns and patient education programs to raise awareness of the benefits of suppository-based delivery systems, emphasizing their effectiveness in managing severe symptoms with minimal gastrointestinal side effects. Novartis’s proactive approach reflects its commitment to addressing the unmet medical needs in this space, driving its growth trajectory in the European market.</w:t>
      </w:r>
    </w:p>
    <w:p w14:paraId="6AD44908">
      <w:pPr>
        <w:jc w:val="both"/>
        <w:rPr>
          <w:rFonts w:eastAsia="等线"/>
          <w:lang w:eastAsia="zh-CN"/>
        </w:rPr>
      </w:pPr>
    </w:p>
    <w:p w14:paraId="6D02B901">
      <w:pPr>
        <w:jc w:val="both"/>
        <w:rPr>
          <w:rFonts w:eastAsia="等线"/>
          <w:lang w:eastAsia="zh-CN"/>
        </w:rPr>
      </w:pPr>
      <w:r>
        <w:rPr>
          <w:rFonts w:eastAsia="等线"/>
          <w:lang w:eastAsia="zh-CN"/>
        </w:rPr>
        <w:t>In parallel, Reckitt Benckiser Group plc, headquartered in the United Kingdom, has also significantly increased its footprint in the European Diclofenac Sodium Suppositories market during 2024. As reported by QY Research, Reckitt Benckiser has invested heavily in innovation, focusing on product formulations tailored to specific demographic needs, such as elderly patients and those with chronic pain conditions. The company’s research and development team has introduced advanced delivery mechanisms to ensure consistent drug release, providing patients with sustained relief and enhanced compliance. Additionally, Reckitt Benckiser has expanded its manufacturing capabilities in strategic locations across Europe, ensuring that supply chains remain resilient amid global economic challenges. Marketing efforts have also been ramped up, with the company leveraging digital platforms to engage healthcare professionals and consumers directly. Their campaigns highlight the advantages of Diclofenac Sodium Suppositories as an effective and convenient treatment option for various inflammatory and pain-related conditions. Moreover, Reckitt Benckiser has partnered with regulatory bodies and healthcare organizations to ensure its products meet stringent quality and safety standards, reinforcing its reputation as a trusted brand. With these initiatives, the company has positioned itself as a formidable competitor in the European market, contributing to the overall growth of this pharmaceutical segment.</w:t>
      </w:r>
    </w:p>
    <w:p w14:paraId="1C805A5F">
      <w:pPr>
        <w:jc w:val="both"/>
        <w:rPr>
          <w:rFonts w:eastAsia="等线"/>
          <w:i/>
          <w:iCs/>
          <w:lang w:eastAsia="zh-CN"/>
        </w:rPr>
      </w:pPr>
    </w:p>
    <w:p w14:paraId="2A3CB415">
      <w:pPr>
        <w:jc w:val="both"/>
        <w:rPr>
          <w:rFonts w:eastAsia="等线"/>
          <w:lang w:eastAsia="zh-CN"/>
        </w:rPr>
      </w:pPr>
      <w:r>
        <w:rPr>
          <w:rFonts w:eastAsia="等线"/>
          <w:lang w:eastAsia="zh-CN"/>
        </w:rPr>
        <w:t xml:space="preserve">The </w:t>
      </w:r>
      <w:r>
        <w:rPr>
          <w:rFonts w:eastAsia="等线" w:hint="eastAsia"/>
          <w:lang w:eastAsia="zh-CN"/>
        </w:rPr>
        <w:t>European</w:t>
      </w:r>
      <w:r>
        <w:rPr>
          <w:rFonts w:eastAsia="等线"/>
          <w:lang w:eastAsia="zh-CN"/>
        </w:rPr>
        <w:t xml:space="preserve"> market for Diclofenac Sodium Suppositories was estimated to be worth </w:t>
      </w:r>
      <w:r>
        <w:rPr>
          <w:rFonts w:eastAsia="等线" w:hint="eastAsia"/>
          <w:lang w:eastAsia="zh-CN"/>
        </w:rPr>
        <w:t>€2</w:t>
      </w:r>
      <w:r>
        <w:rPr>
          <w:rFonts w:eastAsia="等线"/>
          <w:lang w:eastAsia="zh-CN"/>
        </w:rPr>
        <w:t>56</w:t>
      </w:r>
      <w:r>
        <w:rPr>
          <w:rFonts w:eastAsia="等线" w:hint="eastAsia"/>
          <w:lang w:eastAsia="zh-CN"/>
        </w:rPr>
        <w:t>.2</w:t>
      </w:r>
      <w:r>
        <w:rPr>
          <w:rFonts w:eastAsia="等线"/>
          <w:lang w:eastAsia="zh-CN"/>
        </w:rPr>
        <w:t xml:space="preserve"> million in 2024 and is forecast to a readjusted size of </w:t>
      </w:r>
      <w:r>
        <w:rPr>
          <w:rFonts w:eastAsia="等线" w:hint="eastAsia"/>
          <w:lang w:eastAsia="zh-CN"/>
        </w:rPr>
        <w:t>€365.3</w:t>
      </w:r>
      <w:r>
        <w:rPr>
          <w:rFonts w:eastAsia="等线"/>
          <w:lang w:eastAsia="zh-CN"/>
        </w:rPr>
        <w:t xml:space="preserve"> million by 2031 with a CAGR of 5.2% during the forecast period 2025-2031.</w:t>
      </w:r>
    </w:p>
    <w:p w14:paraId="75D55860">
      <w:pPr>
        <w:rPr>
          <w:rFonts w:eastAsia="等线"/>
          <w:lang w:eastAsia="zh-CN"/>
        </w:rPr>
      </w:pPr>
      <w:r>
        <w:drawing>
          <wp:anchor distT="0" distB="0" distL="114300" distR="114300" simplePos="0" relativeHeight="251658240" behindDoc="0" locked="0" layoutInCell="1" allowOverlap="1">
            <wp:simplePos x="0" y="0"/>
            <wp:positionH relativeFrom="column">
              <wp:posOffset>315595</wp:posOffset>
            </wp:positionH>
            <wp:positionV relativeFrom="paragraph">
              <wp:posOffset>88265</wp:posOffset>
            </wp:positionV>
            <wp:extent cx="4575175" cy="2826385"/>
            <wp:effectExtent l="0" t="0" r="0" b="0"/>
            <wp:wrapSquare wrapText="bothSides"/>
            <wp:docPr id="1155728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572890" name="图片 2"/>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a:xfrm>
                      <a:off x="0" y="0"/>
                      <a:ext cx="4575175" cy="2826385"/>
                    </a:xfrm>
                    <a:prstGeom prst="rect">
                      <a:avLst/>
                    </a:prstGeom>
                    <a:noFill/>
                    <a:ln>
                      <a:noFill/>
                    </a:ln>
                  </pic:spPr>
                </pic:pic>
              </a:graphicData>
            </a:graphic>
          </wp:anchor>
        </w:drawing>
      </w:r>
    </w:p>
    <w:p w14:paraId="5A8908AE">
      <w:pPr>
        <w:rPr>
          <w:rFonts w:eastAsia="等线"/>
          <w:lang w:eastAsia="zh-CN"/>
        </w:rPr>
      </w:pPr>
    </w:p>
    <w:p w14:paraId="7B21BFE3">
      <w:pPr>
        <w:rPr>
          <w:rFonts w:eastAsia="等线"/>
          <w:lang w:eastAsia="zh-CN"/>
        </w:rPr>
      </w:pPr>
    </w:p>
    <w:p w14:paraId="0D6367BC">
      <w:pPr>
        <w:rPr>
          <w:rFonts w:eastAsia="等线"/>
          <w:lang w:eastAsia="zh-CN"/>
        </w:rPr>
      </w:pPr>
    </w:p>
    <w:p w14:paraId="4A50F2CC">
      <w:pPr>
        <w:rPr>
          <w:rFonts w:eastAsia="等线"/>
          <w:lang w:eastAsia="zh-CN"/>
        </w:rPr>
      </w:pPr>
    </w:p>
    <w:p w14:paraId="3FFC43C6">
      <w:pPr>
        <w:rPr>
          <w:rFonts w:eastAsia="等线"/>
          <w:lang w:eastAsia="zh-CN"/>
        </w:rPr>
      </w:pPr>
    </w:p>
    <w:p w14:paraId="432CA8DB">
      <w:pPr>
        <w:rPr>
          <w:rFonts w:eastAsia="等线"/>
          <w:lang w:eastAsia="zh-CN"/>
        </w:rPr>
      </w:pPr>
    </w:p>
    <w:p w14:paraId="509A5CD0">
      <w:pPr>
        <w:rPr>
          <w:rFonts w:eastAsia="等线"/>
          <w:lang w:eastAsia="zh-CN"/>
        </w:rPr>
      </w:pPr>
    </w:p>
    <w:p w14:paraId="656C544C">
      <w:pPr>
        <w:rPr>
          <w:rFonts w:eastAsia="等线"/>
          <w:lang w:eastAsia="zh-CN"/>
        </w:rPr>
      </w:pPr>
    </w:p>
    <w:p w14:paraId="54E0E0E1">
      <w:pPr>
        <w:rPr>
          <w:rFonts w:eastAsia="等线"/>
          <w:lang w:eastAsia="zh-CN"/>
        </w:rPr>
      </w:pPr>
    </w:p>
    <w:p w14:paraId="2EBD09DA">
      <w:pPr>
        <w:rPr>
          <w:rFonts w:eastAsia="等线"/>
          <w:lang w:eastAsia="zh-CN"/>
        </w:rPr>
      </w:pPr>
    </w:p>
    <w:p w14:paraId="347AD78C">
      <w:pPr>
        <w:rPr>
          <w:rFonts w:eastAsia="等线"/>
          <w:lang w:eastAsia="zh-CN"/>
        </w:rPr>
      </w:pPr>
    </w:p>
    <w:p w14:paraId="48EC8526">
      <w:pPr>
        <w:rPr>
          <w:rFonts w:eastAsia="等线"/>
          <w:lang w:eastAsia="zh-CN"/>
        </w:rPr>
      </w:pPr>
    </w:p>
    <w:p w14:paraId="4D552D02">
      <w:pPr>
        <w:rPr>
          <w:rFonts w:eastAsia="等线"/>
          <w:lang w:eastAsia="zh-CN"/>
        </w:rPr>
      </w:pPr>
    </w:p>
    <w:p w14:paraId="432DE8FE">
      <w:pPr>
        <w:pStyle w:val="ListParagraph"/>
        <w:numPr>
          <w:ilvl w:val="0"/>
          <w:numId w:val="1"/>
        </w:numPr>
        <w:ind w:leftChars="0"/>
        <w:rPr>
          <w:rFonts w:eastAsia="等线"/>
          <w:lang w:eastAsia="zh-CN"/>
        </w:rPr>
      </w:pPr>
      <w:r>
        <w:rPr>
          <w:rFonts w:eastAsia="等线" w:hint="eastAsia"/>
          <w:lang w:eastAsia="zh-CN"/>
        </w:rPr>
        <w:t>European</w:t>
      </w:r>
      <w:r>
        <w:rPr>
          <w:rFonts w:eastAsia="等线"/>
          <w:lang w:eastAsia="zh-CN"/>
        </w:rPr>
        <w:t xml:space="preserve"> </w:t>
      </w:r>
      <w:r>
        <w:rPr>
          <w:rFonts w:eastAsia="等线" w:hint="eastAsia"/>
          <w:lang w:eastAsia="zh-CN"/>
        </w:rPr>
        <w:t xml:space="preserve">Diclofenac Sodium Suppositories </w:t>
      </w:r>
      <w:r>
        <w:rPr>
          <w:rFonts w:eastAsia="等线"/>
          <w:lang w:eastAsia="zh-CN"/>
        </w:rPr>
        <w:t>Top 2</w:t>
      </w:r>
      <w:r>
        <w:rPr>
          <w:rFonts w:eastAsia="等线" w:hint="eastAsia"/>
          <w:lang w:eastAsia="zh-CN"/>
        </w:rPr>
        <w:t>0</w:t>
      </w:r>
      <w:r>
        <w:rPr>
          <w:rFonts w:eastAsia="等线"/>
          <w:lang w:eastAsia="zh-CN"/>
        </w:rPr>
        <w:t xml:space="preserve"> Players Ranking and Market Share (Ranking is based on the revenue of 202</w:t>
      </w:r>
      <w:r>
        <w:rPr>
          <w:rFonts w:eastAsia="等线" w:hint="eastAsia"/>
          <w:lang w:eastAsia="zh-CN"/>
        </w:rPr>
        <w:t>4</w:t>
      </w:r>
      <w:r>
        <w:rPr>
          <w:rFonts w:eastAsia="等线"/>
          <w:lang w:eastAsia="zh-CN"/>
        </w:rPr>
        <w:t>, continually updated)</w:t>
      </w:r>
    </w:p>
    <w:p w14:paraId="6E25595D">
      <w:pPr>
        <w:rPr>
          <w:rFonts w:eastAsia="等线"/>
          <w:lang w:eastAsia="zh-CN"/>
        </w:rPr>
      </w:pPr>
    </w:p>
    <w:p w14:paraId="70A360C5">
      <w:pPr>
        <w:rPr>
          <w:rFonts w:eastAsia="等线"/>
          <w:lang w:eastAsia="zh-CN"/>
        </w:rPr>
      </w:pPr>
      <w:r>
        <w:rPr>
          <w:rFonts w:eastAsia="等线"/>
          <w:lang w:eastAsia="zh-CN"/>
        </w:rPr>
        <w:t>Novartis International AG (Switzerland)</w:t>
      </w:r>
    </w:p>
    <w:p w14:paraId="46C461F3">
      <w:pPr>
        <w:rPr>
          <w:rFonts w:eastAsia="等线"/>
          <w:lang w:eastAsia="zh-CN"/>
        </w:rPr>
      </w:pPr>
      <w:r>
        <w:rPr>
          <w:rFonts w:eastAsia="等线"/>
          <w:lang w:eastAsia="zh-CN"/>
        </w:rPr>
        <w:t>Teva Pharmaceutical Industries Ltd. (Israel)</w:t>
      </w:r>
    </w:p>
    <w:p w14:paraId="76EE6ED5">
      <w:pPr>
        <w:rPr>
          <w:rFonts w:eastAsia="等线"/>
          <w:lang w:eastAsia="zh-CN"/>
        </w:rPr>
      </w:pPr>
      <w:r>
        <w:rPr>
          <w:rFonts w:eastAsia="等线"/>
          <w:lang w:eastAsia="zh-CN"/>
        </w:rPr>
        <w:t>Mylan N.V. (United States)</w:t>
      </w:r>
    </w:p>
    <w:p w14:paraId="341ECD20">
      <w:pPr>
        <w:rPr>
          <w:rFonts w:eastAsia="等线"/>
          <w:lang w:eastAsia="zh-CN"/>
        </w:rPr>
      </w:pPr>
      <w:r>
        <w:rPr>
          <w:rFonts w:eastAsia="等线"/>
          <w:lang w:eastAsia="zh-CN"/>
        </w:rPr>
        <w:t>Reckitt Benckiser Group plc (United Kingdom)</w:t>
      </w:r>
    </w:p>
    <w:p w14:paraId="1CB02642">
      <w:pPr>
        <w:rPr>
          <w:rFonts w:eastAsia="等线"/>
          <w:lang w:eastAsia="zh-CN"/>
        </w:rPr>
      </w:pPr>
      <w:r>
        <w:rPr>
          <w:rFonts w:eastAsia="等线"/>
          <w:lang w:eastAsia="zh-CN"/>
        </w:rPr>
        <w:t>GlaxoSmithKline plc (United Kingdom)</w:t>
      </w:r>
    </w:p>
    <w:p w14:paraId="2CB87F74">
      <w:pPr>
        <w:rPr>
          <w:rFonts w:eastAsia="等线"/>
          <w:lang w:eastAsia="zh-CN"/>
        </w:rPr>
      </w:pPr>
      <w:r>
        <w:rPr>
          <w:rFonts w:eastAsia="等线"/>
          <w:lang w:eastAsia="zh-CN"/>
        </w:rPr>
        <w:t>Sanofi S.A. (France)</w:t>
      </w:r>
    </w:p>
    <w:p w14:paraId="3CFE57F0">
      <w:pPr>
        <w:rPr>
          <w:rFonts w:eastAsia="等线"/>
          <w:lang w:eastAsia="zh-CN"/>
        </w:rPr>
      </w:pPr>
      <w:r>
        <w:rPr>
          <w:rFonts w:eastAsia="等线"/>
          <w:lang w:eastAsia="zh-CN"/>
        </w:rPr>
        <w:t>Pfizer Inc. (United States)</w:t>
      </w:r>
    </w:p>
    <w:p w14:paraId="04806104">
      <w:pPr>
        <w:rPr>
          <w:rFonts w:eastAsia="等线"/>
          <w:lang w:eastAsia="zh-CN"/>
        </w:rPr>
      </w:pPr>
      <w:r>
        <w:rPr>
          <w:rFonts w:eastAsia="等线"/>
          <w:lang w:eastAsia="zh-CN"/>
        </w:rPr>
        <w:t>Bayer AG (Germany)</w:t>
      </w:r>
    </w:p>
    <w:p w14:paraId="4C168D3A">
      <w:pPr>
        <w:rPr>
          <w:rFonts w:eastAsia="等线"/>
          <w:lang w:eastAsia="zh-CN"/>
        </w:rPr>
      </w:pPr>
      <w:r>
        <w:rPr>
          <w:rFonts w:eastAsia="等线"/>
          <w:lang w:eastAsia="zh-CN"/>
        </w:rPr>
        <w:t>Dr. Reddy's Laboratories Ltd. (India)</w:t>
      </w:r>
    </w:p>
    <w:p w14:paraId="1834BB72">
      <w:pPr>
        <w:rPr>
          <w:rFonts w:eastAsia="等线"/>
          <w:lang w:eastAsia="zh-CN"/>
        </w:rPr>
      </w:pPr>
      <w:r>
        <w:rPr>
          <w:rFonts w:eastAsia="等线"/>
          <w:lang w:eastAsia="zh-CN"/>
        </w:rPr>
        <w:t>Hikma Pharmaceuticals PLC (United Kingdom)</w:t>
      </w:r>
    </w:p>
    <w:p w14:paraId="3A07C1EE">
      <w:pPr>
        <w:rPr>
          <w:rFonts w:eastAsia="等线"/>
          <w:lang w:eastAsia="zh-CN"/>
        </w:rPr>
      </w:pPr>
      <w:r>
        <w:rPr>
          <w:rFonts w:eastAsia="等线"/>
          <w:lang w:eastAsia="zh-CN"/>
        </w:rPr>
        <w:t>Aurobindo Pharma Ltd. (India)</w:t>
      </w:r>
    </w:p>
    <w:p w14:paraId="56A7A62B">
      <w:pPr>
        <w:rPr>
          <w:rFonts w:eastAsia="等线"/>
          <w:lang w:eastAsia="zh-CN"/>
        </w:rPr>
      </w:pPr>
      <w:r>
        <w:rPr>
          <w:rFonts w:eastAsia="等线"/>
          <w:lang w:eastAsia="zh-CN"/>
        </w:rPr>
        <w:t>Aspen Pharmacare Holdings Limited (South Africa)</w:t>
      </w:r>
    </w:p>
    <w:p w14:paraId="789EB03C">
      <w:pPr>
        <w:rPr>
          <w:rFonts w:eastAsia="等线"/>
          <w:lang w:eastAsia="zh-CN"/>
        </w:rPr>
      </w:pPr>
      <w:r>
        <w:rPr>
          <w:rFonts w:eastAsia="等线"/>
          <w:lang w:eastAsia="zh-CN"/>
        </w:rPr>
        <w:t>Apotex Inc. (Canada)</w:t>
      </w:r>
    </w:p>
    <w:p w14:paraId="7ADBEE39">
      <w:pPr>
        <w:rPr>
          <w:rFonts w:eastAsia="等线"/>
          <w:lang w:eastAsia="zh-CN"/>
        </w:rPr>
      </w:pPr>
      <w:r>
        <w:rPr>
          <w:rFonts w:eastAsia="等线"/>
          <w:lang w:eastAsia="zh-CN"/>
        </w:rPr>
        <w:t>AbbVie Inc. (United States)</w:t>
      </w:r>
    </w:p>
    <w:p w14:paraId="624EE76F">
      <w:pPr>
        <w:rPr>
          <w:rFonts w:eastAsia="等线"/>
          <w:lang w:val="fr-CH" w:eastAsia="zh-CN"/>
        </w:rPr>
      </w:pPr>
      <w:r>
        <w:rPr>
          <w:rFonts w:eastAsia="等线"/>
          <w:lang w:val="fr-CH" w:eastAsia="zh-CN"/>
        </w:rPr>
        <w:t>Sandoz (a Novartis division) (Switzerland)</w:t>
      </w:r>
    </w:p>
    <w:p w14:paraId="0811685E">
      <w:pPr>
        <w:rPr>
          <w:rFonts w:eastAsia="等线"/>
          <w:lang w:val="fr-CH" w:eastAsia="zh-CN"/>
        </w:rPr>
      </w:pPr>
      <w:r>
        <w:drawing>
          <wp:anchor distT="0" distB="0" distL="114300" distR="114300" simplePos="0" relativeHeight="251659264" behindDoc="0" locked="0" layoutInCell="1" allowOverlap="1">
            <wp:simplePos x="0" y="0"/>
            <wp:positionH relativeFrom="column">
              <wp:posOffset>2797175</wp:posOffset>
            </wp:positionH>
            <wp:positionV relativeFrom="paragraph">
              <wp:posOffset>188595</wp:posOffset>
            </wp:positionV>
            <wp:extent cx="2938780" cy="4413250"/>
            <wp:effectExtent l="0" t="0" r="0" b="6350"/>
            <wp:wrapSquare wrapText="bothSides"/>
            <wp:docPr id="54558813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588132" name="图片 3"/>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a:xfrm>
                      <a:off x="0" y="0"/>
                      <a:ext cx="2938780" cy="4413250"/>
                    </a:xfrm>
                    <a:prstGeom prst="rect">
                      <a:avLst/>
                    </a:prstGeom>
                    <a:noFill/>
                    <a:ln>
                      <a:noFill/>
                    </a:ln>
                  </pic:spPr>
                </pic:pic>
              </a:graphicData>
            </a:graphic>
          </wp:anchor>
        </w:drawing>
      </w:r>
      <w:r>
        <w:rPr>
          <w:rFonts w:eastAsia="等线"/>
          <w:lang w:val="fr-CH" w:eastAsia="zh-CN"/>
        </w:rPr>
        <w:t>Laboratoires Fournier S.A. (France)</w:t>
      </w:r>
    </w:p>
    <w:p w14:paraId="1EDD85DD">
      <w:pPr>
        <w:rPr>
          <w:rFonts w:eastAsia="等线"/>
          <w:lang w:eastAsia="zh-CN"/>
        </w:rPr>
      </w:pPr>
      <w:r>
        <w:rPr>
          <w:rFonts w:eastAsia="等线"/>
          <w:lang w:eastAsia="zh-CN"/>
        </w:rPr>
        <w:t>Laboratorios Alpha S.A. (Mexico)</w:t>
      </w:r>
    </w:p>
    <w:p w14:paraId="33652D1A">
      <w:pPr>
        <w:rPr>
          <w:rFonts w:eastAsia="等线"/>
          <w:lang w:eastAsia="zh-CN"/>
        </w:rPr>
      </w:pPr>
      <w:r>
        <w:rPr>
          <w:rFonts w:eastAsia="等线"/>
          <w:lang w:eastAsia="zh-CN"/>
        </w:rPr>
        <w:t>Ferring Pharmaceuticals (Switzerland)</w:t>
      </w:r>
    </w:p>
    <w:p w14:paraId="4B8012AA">
      <w:pPr>
        <w:rPr>
          <w:rFonts w:eastAsia="等线"/>
          <w:lang w:eastAsia="zh-CN"/>
        </w:rPr>
      </w:pPr>
      <w:r>
        <w:rPr>
          <w:rFonts w:eastAsia="等线"/>
          <w:lang w:eastAsia="zh-CN"/>
        </w:rPr>
        <w:t>UCB S.A. (Belgium)</w:t>
      </w:r>
    </w:p>
    <w:p w14:paraId="008E5F21">
      <w:pPr>
        <w:rPr>
          <w:rFonts w:eastAsia="等线"/>
          <w:lang w:eastAsia="zh-CN"/>
        </w:rPr>
      </w:pPr>
      <w:r>
        <w:rPr>
          <w:rFonts w:eastAsia="等线"/>
          <w:lang w:eastAsia="zh-CN"/>
        </w:rPr>
        <w:t>Boehringer Ingelheim GmbH (Germany)</w:t>
      </w:r>
    </w:p>
    <w:p w14:paraId="5B763DD1">
      <w:pPr>
        <w:rPr>
          <w:rFonts w:eastAsia="等线"/>
          <w:lang w:eastAsia="zh-CN"/>
        </w:rPr>
      </w:pPr>
    </w:p>
    <w:p w14:paraId="2973527A">
      <w:pPr>
        <w:rPr>
          <w:rFonts w:eastAsia="等线"/>
          <w:lang w:eastAsia="zh-CN"/>
        </w:rPr>
      </w:pPr>
    </w:p>
    <w:p w14:paraId="41E07AA7">
      <w:pPr>
        <w:rPr>
          <w:rFonts w:eastAsia="等线"/>
          <w:lang w:eastAsia="zh-CN"/>
        </w:rPr>
      </w:pPr>
      <w:hyperlink r:id="rId8" w:history="1"/>
    </w:p>
    <w:p w14:paraId="4FD0475C">
      <w:pPr>
        <w:rPr>
          <w:rFonts w:eastAsia="等线"/>
          <w:lang w:eastAsia="zh-CN"/>
        </w:rPr>
      </w:pPr>
    </w:p>
    <w:p w14:paraId="73C37882">
      <w:pPr>
        <w:rPr>
          <w:rFonts w:eastAsia="等线"/>
          <w:lang w:eastAsia="zh-CN"/>
        </w:rPr>
      </w:pPr>
    </w:p>
    <w:p w14:paraId="64C5E6ED">
      <w:pPr>
        <w:rPr>
          <w:rFonts w:eastAsia="等线"/>
          <w:lang w:eastAsia="zh-CN"/>
        </w:rPr>
      </w:pPr>
    </w:p>
    <w:p w14:paraId="55D76AB4">
      <w:pPr>
        <w:rPr>
          <w:rFonts w:eastAsia="等线"/>
          <w:lang w:eastAsia="zh-CN"/>
        </w:rPr>
      </w:pPr>
    </w:p>
    <w:p w14:paraId="69502277">
      <w:pPr>
        <w:rPr>
          <w:rFonts w:eastAsia="等线"/>
          <w:lang w:eastAsia="zh-CN"/>
        </w:rPr>
      </w:pPr>
    </w:p>
    <w:p w14:paraId="3BE2F5D0">
      <w:pPr>
        <w:rPr>
          <w:rFonts w:eastAsia="等线"/>
          <w:lang w:eastAsia="zh-CN"/>
        </w:rPr>
      </w:pPr>
    </w:p>
    <w:p w14:paraId="6133775D">
      <w:pPr>
        <w:rPr>
          <w:rFonts w:eastAsia="等线"/>
          <w:lang w:eastAsia="zh-CN"/>
        </w:rPr>
      </w:pPr>
    </w:p>
    <w:p w14:paraId="0BEFC6A3">
      <w:pPr>
        <w:rPr>
          <w:rFonts w:eastAsia="等线"/>
          <w:lang w:eastAsia="zh-CN"/>
        </w:rPr>
      </w:pPr>
    </w:p>
    <w:p w14:paraId="1BBFCC5A">
      <w:pPr>
        <w:rPr>
          <w:rFonts w:eastAsia="等线"/>
          <w:lang w:eastAsia="zh-CN"/>
        </w:rPr>
      </w:pPr>
    </w:p>
    <w:p w14:paraId="6E4041C6">
      <w:pPr>
        <w:rPr>
          <w:rFonts w:eastAsia="等线"/>
          <w:lang w:eastAsia="zh-CN"/>
        </w:rPr>
      </w:pPr>
    </w:p>
    <w:p w14:paraId="4D317E9E">
      <w:pPr>
        <w:rPr>
          <w:rFonts w:eastAsia="等线"/>
          <w:lang w:eastAsia="zh-CN"/>
        </w:rPr>
      </w:pPr>
    </w:p>
    <w:p w14:paraId="502CFBF3">
      <w:pPr>
        <w:rPr>
          <w:rFonts w:eastAsia="等线"/>
          <w:lang w:eastAsia="zh-CN"/>
        </w:rPr>
      </w:pPr>
    </w:p>
    <w:p w14:paraId="2CA7CD49">
      <w:pPr>
        <w:rPr>
          <w:rFonts w:eastAsia="等线"/>
          <w:lang w:eastAsia="zh-CN"/>
        </w:rPr>
      </w:pPr>
      <w:r>
        <w:rPr>
          <w:rFonts w:eastAsia="等线" w:hint="eastAsia"/>
          <w:lang w:eastAsia="zh-CN"/>
        </w:rPr>
        <w:t>3.</w:t>
      </w:r>
      <w:r>
        <w:t xml:space="preserve"> </w:t>
      </w:r>
      <w:r>
        <w:rPr>
          <w:rFonts w:eastAsia="等线" w:hint="eastAsia"/>
          <w:lang w:eastAsia="zh-CN"/>
        </w:rPr>
        <w:t xml:space="preserve">  Diclofenac Sodium Suppositories</w:t>
      </w:r>
      <w:r>
        <w:rPr>
          <w:rFonts w:eastAsia="等线"/>
          <w:lang w:eastAsia="zh-CN"/>
        </w:rPr>
        <w:t xml:space="preserve">, </w:t>
      </w:r>
      <w:r>
        <w:rPr>
          <w:rFonts w:eastAsia="等线" w:hint="eastAsia"/>
          <w:lang w:eastAsia="zh-CN"/>
        </w:rPr>
        <w:t>European</w:t>
      </w:r>
      <w:r>
        <w:rPr>
          <w:rFonts w:eastAsia="等线"/>
          <w:lang w:eastAsia="zh-CN"/>
        </w:rPr>
        <w:t xml:space="preserve"> Market Size, Split by Region</w:t>
      </w:r>
    </w:p>
    <w:p w14:paraId="06ACC254">
      <w:pPr>
        <w:rPr>
          <w:rFonts w:eastAsia="等线"/>
          <w:lang w:eastAsia="zh-CN"/>
        </w:rPr>
      </w:pPr>
    </w:p>
    <w:p w14:paraId="37D7ACC8">
      <w:pPr>
        <w:rPr>
          <w:rFonts w:eastAsia="等线"/>
          <w:lang w:eastAsia="zh-CN"/>
        </w:rPr>
      </w:pPr>
      <w:r>
        <w:drawing>
          <wp:inline distT="0" distB="0" distL="0" distR="0">
            <wp:extent cx="5274310" cy="2433955"/>
            <wp:effectExtent l="0" t="0" r="2540" b="4445"/>
            <wp:docPr id="161704334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043347" name="图片 6"/>
                    <pic:cNvPicPr>
                      <a:picLocks noChangeAspect="1" noChangeArrowheads="1"/>
                    </pic:cNvPicPr>
                  </pic:nvPicPr>
                  <pic:blipFill>
                    <a:blip xmlns:r="http://schemas.openxmlformats.org/officeDocument/2006/relationships" r:embed="rId9"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2433955"/>
                    </a:xfrm>
                    <a:prstGeom prst="rect">
                      <a:avLst/>
                    </a:prstGeom>
                    <a:noFill/>
                    <a:ln>
                      <a:noFill/>
                    </a:ln>
                  </pic:spPr>
                </pic:pic>
              </a:graphicData>
            </a:graphic>
          </wp:inline>
        </w:drawing>
      </w:r>
    </w:p>
    <w:p w14:paraId="38E789EF">
      <w:pPr>
        <w:rPr>
          <w:rFonts w:eastAsia="等线"/>
          <w:lang w:eastAsia="zh-CN"/>
        </w:rPr>
      </w:pPr>
    </w:p>
    <w:p w14:paraId="0833B320">
      <w:pPr>
        <w:rPr>
          <w:rFonts w:eastAsia="等线"/>
          <w:lang w:eastAsia="zh-CN"/>
        </w:rPr>
      </w:pPr>
    </w:p>
    <w:p w14:paraId="56B32511">
      <w:pPr>
        <w:pStyle w:val="ListParagraph"/>
        <w:numPr>
          <w:ilvl w:val="0"/>
          <w:numId w:val="2"/>
        </w:numPr>
        <w:ind w:leftChars="0"/>
        <w:rPr>
          <w:rFonts w:eastAsia="等线"/>
          <w:lang w:eastAsia="zh-CN"/>
        </w:rPr>
      </w:pPr>
      <w:r>
        <w:rPr>
          <w:rFonts w:eastAsia="等线" w:hint="eastAsia"/>
          <w:lang w:eastAsia="zh-CN"/>
        </w:rPr>
        <w:t>Diclofenac Sodium Suppositories</w:t>
      </w:r>
      <w:r>
        <w:rPr>
          <w:rFonts w:eastAsia="等线"/>
          <w:lang w:eastAsia="zh-CN"/>
        </w:rPr>
        <w:t>,</w:t>
      </w:r>
      <w:r>
        <w:rPr>
          <w:rFonts w:eastAsia="等线" w:hint="eastAsia"/>
          <w:lang w:eastAsia="zh-CN"/>
        </w:rPr>
        <w:t xml:space="preserve"> European</w:t>
      </w:r>
      <w:r>
        <w:rPr>
          <w:rFonts w:eastAsia="等线"/>
          <w:lang w:eastAsia="zh-CN"/>
        </w:rPr>
        <w:t xml:space="preserve"> Market Size, Split by Product Segment</w:t>
      </w:r>
    </w:p>
    <w:p w14:paraId="7ADF3281">
      <w:pPr>
        <w:rPr>
          <w:rFonts w:eastAsia="等线"/>
          <w:lang w:eastAsia="zh-CN"/>
        </w:rPr>
      </w:pPr>
      <w:r>
        <w:drawing>
          <wp:inline distT="0" distB="0" distL="0" distR="0">
            <wp:extent cx="5274310" cy="2566035"/>
            <wp:effectExtent l="0" t="0" r="2540" b="5715"/>
            <wp:docPr id="200476552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765526" name="图片 4"/>
                    <pic:cNvPicPr>
                      <a:picLocks noChangeAspect="1" noChangeArrowheads="1"/>
                    </pic:cNvPicPr>
                  </pic:nvPicPr>
                  <pic:blipFill>
                    <a:blip xmlns:r="http://schemas.openxmlformats.org/officeDocument/2006/relationships" r:embed="rId10" cstate="print">
                      <a:extLst>
                        <a:ext xmlns:a="http://schemas.openxmlformats.org/drawingml/2006/main" uri="{28A0092B-C50C-407E-A947-70E740481C1C}">
                          <a14:useLocalDpi xmlns:a14="http://schemas.microsoft.com/office/drawing/2010/main" val="0"/>
                        </a:ext>
                      </a:extLst>
                    </a:blip>
                    <a:stretch>
                      <a:fillRect/>
                    </a:stretch>
                  </pic:blipFill>
                  <pic:spPr>
                    <a:xfrm>
                      <a:off x="0" y="0"/>
                      <a:ext cx="5274310" cy="2566035"/>
                    </a:xfrm>
                    <a:prstGeom prst="rect">
                      <a:avLst/>
                    </a:prstGeom>
                    <a:noFill/>
                    <a:ln>
                      <a:noFill/>
                    </a:ln>
                  </pic:spPr>
                </pic:pic>
              </a:graphicData>
            </a:graphic>
          </wp:inline>
        </w:drawing>
      </w:r>
    </w:p>
    <w:p w14:paraId="6B200A56">
      <w:pPr>
        <w:rPr>
          <w:rFonts w:eastAsia="等线"/>
          <w:lang w:eastAsia="zh-CN"/>
        </w:rPr>
      </w:pPr>
    </w:p>
    <w:p w14:paraId="1B8E69CB">
      <w:pPr>
        <w:rPr>
          <w:rFonts w:eastAsia="等线"/>
          <w:lang w:eastAsia="zh-CN"/>
        </w:rPr>
      </w:pPr>
      <w:hyperlink r:id="rId8" w:history="1"/>
    </w:p>
    <w:p w14:paraId="40F8D893">
      <w:pPr>
        <w:rPr>
          <w:rFonts w:eastAsia="等线"/>
          <w:lang w:eastAsia="zh-CN"/>
        </w:rPr>
      </w:pPr>
    </w:p>
    <w:p w14:paraId="0A8C5660">
      <w:pPr>
        <w:rPr>
          <w:rFonts w:eastAsia="等线"/>
          <w:lang w:eastAsia="zh-CN"/>
        </w:rPr>
      </w:pPr>
    </w:p>
    <w:p w14:paraId="05562438">
      <w:pPr>
        <w:rPr>
          <w:rFonts w:eastAsia="等线"/>
          <w:lang w:eastAsia="zh-CN"/>
        </w:rPr>
      </w:pPr>
    </w:p>
    <w:p w14:paraId="3761F561">
      <w:pPr>
        <w:rPr>
          <w:rFonts w:eastAsia="等线"/>
          <w:lang w:eastAsia="zh-CN"/>
        </w:rPr>
      </w:pPr>
    </w:p>
    <w:p w14:paraId="197A133D">
      <w:pPr>
        <w:rPr>
          <w:rFonts w:eastAsia="等线"/>
          <w:lang w:eastAsia="zh-CN"/>
        </w:rPr>
      </w:pPr>
    </w:p>
    <w:p w14:paraId="006DA768">
      <w:pPr>
        <w:rPr>
          <w:rFonts w:eastAsia="等线"/>
          <w:lang w:eastAsia="zh-CN"/>
        </w:rPr>
      </w:pPr>
    </w:p>
    <w:p w14:paraId="07B67AC3">
      <w:pPr>
        <w:rPr>
          <w:rFonts w:eastAsia="等线"/>
          <w:lang w:eastAsia="zh-CN"/>
        </w:rPr>
      </w:pPr>
    </w:p>
    <w:p w14:paraId="1A067320">
      <w:pPr>
        <w:rPr>
          <w:rFonts w:eastAsia="等线"/>
          <w:lang w:eastAsia="zh-CN"/>
        </w:rPr>
      </w:pPr>
      <w:r>
        <w:rPr>
          <w:rFonts w:eastAsia="等线" w:hint="eastAsia"/>
          <w:lang w:eastAsia="zh-CN"/>
        </w:rPr>
        <w:t>5.</w:t>
      </w:r>
      <w:r>
        <w:t xml:space="preserve"> </w:t>
      </w:r>
      <w:r>
        <w:rPr>
          <w:rFonts w:eastAsia="等线" w:hint="eastAsia"/>
          <w:lang w:eastAsia="zh-CN"/>
        </w:rPr>
        <w:t xml:space="preserve">  Diclofenac Sodium Suppositories</w:t>
      </w:r>
      <w:r>
        <w:rPr>
          <w:rFonts w:eastAsia="等线"/>
          <w:lang w:eastAsia="zh-CN"/>
        </w:rPr>
        <w:t xml:space="preserve">, </w:t>
      </w:r>
      <w:r>
        <w:rPr>
          <w:rFonts w:eastAsia="等线" w:hint="eastAsia"/>
          <w:lang w:eastAsia="zh-CN"/>
        </w:rPr>
        <w:t>European</w:t>
      </w:r>
      <w:r>
        <w:rPr>
          <w:rFonts w:eastAsia="等线"/>
          <w:lang w:eastAsia="zh-CN"/>
        </w:rPr>
        <w:t xml:space="preserve"> Market Size, Split by Application Segment</w:t>
      </w:r>
    </w:p>
    <w:p w14:paraId="0A03C840">
      <w:pPr>
        <w:rPr>
          <w:rFonts w:eastAsia="等线"/>
          <w:lang w:eastAsia="zh-CN"/>
        </w:rPr>
      </w:pPr>
      <w:r>
        <w:drawing>
          <wp:inline distT="0" distB="0" distL="0" distR="0">
            <wp:extent cx="5181600" cy="2642870"/>
            <wp:effectExtent l="0" t="0" r="0" b="5080"/>
            <wp:docPr id="149065567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655677" name="图片 5"/>
                    <pic:cNvPicPr>
                      <a:picLocks noChangeAspect="1" noChangeArrowheads="1"/>
                    </pic:cNvPicPr>
                  </pic:nvPicPr>
                  <pic:blipFill>
                    <a:blip xmlns:r="http://schemas.openxmlformats.org/officeDocument/2006/relationships" r:embed="rId11" cstate="print">
                      <a:extLst>
                        <a:ext xmlns:a="http://schemas.openxmlformats.org/drawingml/2006/main" uri="{28A0092B-C50C-407E-A947-70E740481C1C}">
                          <a14:useLocalDpi xmlns:a14="http://schemas.microsoft.com/office/drawing/2010/main" val="0"/>
                        </a:ext>
                      </a:extLst>
                    </a:blip>
                    <a:stretch>
                      <a:fillRect/>
                    </a:stretch>
                  </pic:blipFill>
                  <pic:spPr>
                    <a:xfrm>
                      <a:off x="0" y="0"/>
                      <a:ext cx="5181600" cy="2642870"/>
                    </a:xfrm>
                    <a:prstGeom prst="rect">
                      <a:avLst/>
                    </a:prstGeom>
                    <a:noFill/>
                    <a:ln>
                      <a:noFill/>
                    </a:ln>
                  </pic:spPr>
                </pic:pic>
              </a:graphicData>
            </a:graphic>
          </wp:inline>
        </w:drawing>
      </w:r>
    </w:p>
    <w:p w14:paraId="20DABB60">
      <w:pPr>
        <w:rPr>
          <w:rFonts w:eastAsia="等线"/>
          <w:lang w:eastAsia="zh-CN"/>
        </w:rPr>
      </w:pPr>
    </w:p>
    <w:p w14:paraId="468DF908">
      <w:pPr>
        <w:rPr>
          <w:rFonts w:eastAsia="等线"/>
          <w:i/>
          <w:iCs/>
          <w:lang w:eastAsia="zh-CN"/>
        </w:rPr>
      </w:pPr>
      <w:r>
        <w:rPr>
          <w:rFonts w:eastAsia="等线"/>
          <w:i/>
          <w:iCs/>
          <w:lang w:eastAsia="zh-CN"/>
        </w:rPr>
        <w:t>Based on or includes research from QYResearch: Global</w:t>
      </w:r>
      <w:r>
        <w:rPr>
          <w:rFonts w:eastAsia="等线" w:hint="eastAsia"/>
          <w:i/>
          <w:iCs/>
          <w:lang w:eastAsia="zh-CN"/>
        </w:rPr>
        <w:t xml:space="preserve"> and European</w:t>
      </w:r>
      <w:r>
        <w:rPr>
          <w:rFonts w:eastAsia="等线"/>
          <w:i/>
          <w:iCs/>
          <w:lang w:eastAsia="zh-CN"/>
        </w:rPr>
        <w:t xml:space="preserve"> </w:t>
      </w:r>
      <w:r>
        <w:rPr>
          <w:rFonts w:eastAsia="等线" w:hint="eastAsia"/>
          <w:i/>
          <w:iCs/>
          <w:lang w:eastAsia="zh-CN"/>
        </w:rPr>
        <w:t>Diclofenac Sodium Suppositories</w:t>
      </w:r>
      <w:r>
        <w:rPr>
          <w:rFonts w:eastAsia="等线"/>
          <w:i/>
          <w:iCs/>
          <w:lang w:eastAsia="zh-CN"/>
        </w:rPr>
        <w:t xml:space="preserve"> Market Report 2025-2031</w:t>
      </w:r>
    </w:p>
    <w:p w14:paraId="230C56B2">
      <w:pPr>
        <w:rPr>
          <w:rFonts w:eastAsia="等线"/>
          <w:i/>
          <w:iCs/>
          <w:lang w:eastAsia="zh-CN"/>
        </w:rPr>
      </w:pPr>
      <w:bookmarkStart w:id="0" w:name="_GoBack"/>
      <w:bookmarkEnd w:id="0"/>
    </w:p>
    <w:p w14:paraId="323F9FAB">
      <w:pPr>
        <w:rPr>
          <w:rFonts w:eastAsia="等线"/>
          <w:i/>
          <w:iCs/>
          <w:lang w:eastAsia="zh-CN"/>
        </w:rPr>
      </w:pPr>
    </w:p>
    <w:p w14:paraId="39A11040">
      <w:pPr>
        <w:rPr>
          <w:rFonts w:eastAsia="等线"/>
          <w:i/>
          <w:iCs/>
          <w:lang w:eastAsia="zh-CN"/>
        </w:rPr>
      </w:pPr>
    </w:p>
    <w:p w14:paraId="647B2D9B">
      <w:pPr>
        <w:rPr>
          <w:rFonts w:eastAsia="等线"/>
          <w:i/>
          <w:iCs/>
          <w:lang w:eastAsia="zh-CN"/>
        </w:rPr>
      </w:pPr>
    </w:p>
    <w:p w14:paraId="72023BDB">
      <w:pPr>
        <w:jc w:val="both"/>
        <w:rPr>
          <w:rFonts w:eastAsia="等线"/>
          <w:b/>
          <w:bCs/>
          <w:u w:val="single"/>
          <w:lang w:eastAsia="zh-CN"/>
        </w:rPr>
      </w:pPr>
      <w:r>
        <w:rPr>
          <w:rFonts w:eastAsia="等线" w:hint="eastAsia"/>
          <w:b/>
          <w:bCs/>
          <w:u w:val="single"/>
          <w:lang w:eastAsia="zh-CN"/>
        </w:rPr>
        <w:t>Related Market Reports From QY Research</w:t>
      </w:r>
    </w:p>
    <w:p w14:paraId="5ABF3E96">
      <w:pPr>
        <w:jc w:val="both"/>
        <w:rPr>
          <w:lang w:eastAsia="zh-CN"/>
        </w:rPr>
      </w:pPr>
    </w:p>
    <w:p w14:paraId="75D0EE69">
      <w:pPr>
        <w:jc w:val="both"/>
        <w:rPr>
          <w:lang w:eastAsia="zh-CN"/>
        </w:rPr>
      </w:pPr>
      <w:r>
        <w:rPr>
          <w:rFonts w:eastAsia="等线"/>
          <w:lang w:eastAsia="zh-CN"/>
        </w:rPr>
        <w:t xml:space="preserve">QY Research Releases Comprehensive Market Reports on the </w:t>
      </w:r>
      <w:r>
        <w:rPr>
          <w:rFonts w:eastAsia="等线" w:hint="eastAsia"/>
          <w:lang w:eastAsia="zh-CN"/>
        </w:rPr>
        <w:t>Diclofenac Sodium Suppositories</w:t>
      </w:r>
      <w:r>
        <w:rPr>
          <w:rFonts w:eastAsia="等线"/>
          <w:lang w:eastAsia="zh-CN"/>
        </w:rPr>
        <w:t xml:space="preserve"> Market, as shown in the links below.</w:t>
      </w:r>
      <w:r>
        <w:rPr>
          <w:rFonts w:eastAsia="等线" w:hint="eastAsia"/>
          <w:lang w:eastAsia="zh-CN"/>
        </w:rPr>
        <w:t xml:space="preserve"> </w:t>
      </w:r>
      <w:r>
        <w:rPr>
          <w:rFonts w:eastAsia="等线"/>
          <w:lang w:eastAsia="zh-CN"/>
        </w:rPr>
        <w:t>These reports provide an in-depth analysis of the current market landscape, key trends, and future growth opportunities.</w:t>
      </w:r>
    </w:p>
    <w:p w14:paraId="3B303FB3">
      <w:pPr>
        <w:rPr>
          <w:rFonts w:eastAsia="等线"/>
          <w:lang w:eastAsia="zh-CN"/>
        </w:rPr>
      </w:pPr>
    </w:p>
    <w:p w14:paraId="60BA500C">
      <w:pPr>
        <w:rPr>
          <w:rFonts w:eastAsia="等线"/>
          <w:lang w:eastAsia="zh-CN"/>
        </w:rPr>
      </w:pPr>
      <w:r>
        <w:rPr>
          <w:rFonts w:eastAsia="等线"/>
          <w:lang w:eastAsia="zh-CN"/>
        </w:rPr>
        <w:t>Diclofenac Sodium Suppositories- Global Market Share and Ranking, Overall Sales and Demand Forecast 2025-2031</w:t>
      </w:r>
    </w:p>
    <w:p w14:paraId="3A93C163">
      <w:pPr>
        <w:rPr>
          <w:rFonts w:eastAsia="等线"/>
          <w:lang w:eastAsia="zh-CN"/>
        </w:rPr>
      </w:pPr>
      <w:r>
        <w:rPr>
          <w:rFonts w:eastAsia="等线"/>
          <w:lang w:eastAsia="zh-CN"/>
        </w:rPr>
        <w:t>reports/3553880/diclofenac-sodium-suppositories</w:t>
      </w:r>
    </w:p>
    <w:p w14:paraId="4C18AC0D">
      <w:pPr>
        <w:rPr>
          <w:rFonts w:eastAsia="等线"/>
          <w:lang w:eastAsia="zh-CN"/>
        </w:rPr>
      </w:pPr>
    </w:p>
    <w:p w14:paraId="6D6A5F5E">
      <w:pPr>
        <w:rPr>
          <w:rFonts w:eastAsia="等线"/>
          <w:lang w:eastAsia="zh-CN"/>
        </w:rPr>
      </w:pPr>
      <w:r>
        <w:rPr>
          <w:rFonts w:eastAsia="等线"/>
          <w:lang w:eastAsia="zh-CN"/>
        </w:rPr>
        <w:t>Global Diclofenac Sodium Suppositories Market Research Report 2025</w:t>
      </w:r>
    </w:p>
    <w:p w14:paraId="402956E8">
      <w:pPr>
        <w:rPr>
          <w:rFonts w:eastAsia="等线"/>
          <w:lang w:eastAsia="zh-CN"/>
        </w:rPr>
      </w:pPr>
      <w:hyperlink r:id="rId12" w:history="1">
        <w:r>
          <w:rPr>
            <w:rStyle w:val="Hyperlink"/>
            <w:rFonts w:eastAsia="等线"/>
            <w:lang w:eastAsia="zh-CN"/>
          </w:rPr>
          <w:t>reports/3553876/diclofenac-sodium-suppositories</w:t>
        </w:r>
      </w:hyperlink>
    </w:p>
    <w:p w14:paraId="2872A78C">
      <w:pPr>
        <w:rPr>
          <w:rFonts w:eastAsia="等线"/>
          <w:lang w:eastAsia="zh-CN"/>
        </w:rPr>
      </w:pPr>
    </w:p>
    <w:p w14:paraId="5FB85E2C">
      <w:pPr>
        <w:rPr>
          <w:rFonts w:eastAsia="等线"/>
          <w:lang w:eastAsia="zh-CN"/>
        </w:rPr>
      </w:pPr>
      <w:r>
        <w:rPr>
          <w:rFonts w:eastAsia="等线"/>
          <w:lang w:eastAsia="zh-CN"/>
        </w:rPr>
        <w:t>Global Diclofenac Sodium Suppositories Sales Market Report, Competitive Analysis and Regional Opportunities 2025-2031</w:t>
      </w:r>
    </w:p>
    <w:p w14:paraId="63493D78">
      <w:pPr>
        <w:rPr>
          <w:rFonts w:eastAsia="等线"/>
          <w:i/>
          <w:iCs/>
          <w:lang w:eastAsia="zh-CN"/>
        </w:rPr>
      </w:pPr>
      <w:hyperlink r:id="rId13" w:history="1">
        <w:r>
          <w:rPr>
            <w:rStyle w:val="Hyperlink"/>
            <w:rFonts w:eastAsia="等线"/>
            <w:lang w:eastAsia="zh-CN"/>
          </w:rPr>
          <w:t>reports/3553861/diclofenac-sodium-suppositories</w:t>
        </w:r>
      </w:hyperlink>
    </w:p>
    <w:sectPr>
      <w:footerReference w:type="even" r:id="rId14"/>
      <w:pgSz w:w="11906" w:h="16838"/>
      <w:pgMar w:top="1440" w:right="1800" w:bottom="1440" w:left="1800" w:header="851" w:footer="992" w:gutter="0"/>
      <w:cols w:num="1" w:space="425"/>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宋体"/>
    <w:panose1 w:val="00000000000000000000"/>
    <w:charset w:val="86"/>
    <w:family w:val="roman"/>
    <w:pitch w:val="default"/>
    <w:sig w:usb0="00000000" w:usb1="00000000" w:usb2="00000000" w:usb3="00000000" w:csb0="00140000"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AC2A77"/>
    <w:multiLevelType w:val="multilevel"/>
    <w:tmpl w:val="11AC2A77"/>
    <w:lvl w:ilvl="0">
      <w:start w:val="4"/>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nsid w:val="5C97631A"/>
    <w:multiLevelType w:val="multilevel"/>
    <w:tmpl w:val="5C97631A"/>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evenAndOddHeaders/>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6DC"/>
    <w:rsid w:val="000360AC"/>
    <w:rsid w:val="00052613"/>
    <w:rsid w:val="000C567E"/>
    <w:rsid w:val="000C787E"/>
    <w:rsid w:val="000F36B5"/>
    <w:rsid w:val="0011222E"/>
    <w:rsid w:val="001B49AF"/>
    <w:rsid w:val="001C1BC6"/>
    <w:rsid w:val="001D58C4"/>
    <w:rsid w:val="002201C7"/>
    <w:rsid w:val="00224FBB"/>
    <w:rsid w:val="00294059"/>
    <w:rsid w:val="002C2E75"/>
    <w:rsid w:val="002E08E0"/>
    <w:rsid w:val="002E4950"/>
    <w:rsid w:val="00307E96"/>
    <w:rsid w:val="003134CA"/>
    <w:rsid w:val="00325B69"/>
    <w:rsid w:val="00344335"/>
    <w:rsid w:val="003C2081"/>
    <w:rsid w:val="00422EB1"/>
    <w:rsid w:val="00441DB4"/>
    <w:rsid w:val="0044269E"/>
    <w:rsid w:val="004A43B3"/>
    <w:rsid w:val="004B058E"/>
    <w:rsid w:val="004C38DA"/>
    <w:rsid w:val="004D3EAE"/>
    <w:rsid w:val="004E07BD"/>
    <w:rsid w:val="005B5813"/>
    <w:rsid w:val="005B6ED1"/>
    <w:rsid w:val="005D3589"/>
    <w:rsid w:val="005D64F5"/>
    <w:rsid w:val="005E370D"/>
    <w:rsid w:val="006033D2"/>
    <w:rsid w:val="00622F24"/>
    <w:rsid w:val="00630E29"/>
    <w:rsid w:val="00657732"/>
    <w:rsid w:val="00664665"/>
    <w:rsid w:val="00666EC4"/>
    <w:rsid w:val="006E7EB9"/>
    <w:rsid w:val="00735AE6"/>
    <w:rsid w:val="00754E99"/>
    <w:rsid w:val="007612D0"/>
    <w:rsid w:val="00774DFF"/>
    <w:rsid w:val="00796E24"/>
    <w:rsid w:val="007C5154"/>
    <w:rsid w:val="007C7B01"/>
    <w:rsid w:val="007D603E"/>
    <w:rsid w:val="00802028"/>
    <w:rsid w:val="00824840"/>
    <w:rsid w:val="008753E6"/>
    <w:rsid w:val="00883AEF"/>
    <w:rsid w:val="008D1CDE"/>
    <w:rsid w:val="008E19E8"/>
    <w:rsid w:val="008E2646"/>
    <w:rsid w:val="00904A17"/>
    <w:rsid w:val="009216FE"/>
    <w:rsid w:val="00974EB8"/>
    <w:rsid w:val="009A291E"/>
    <w:rsid w:val="009E5F22"/>
    <w:rsid w:val="00A10C98"/>
    <w:rsid w:val="00A15462"/>
    <w:rsid w:val="00A35BF1"/>
    <w:rsid w:val="00A73DDF"/>
    <w:rsid w:val="00A765E6"/>
    <w:rsid w:val="00A86B2F"/>
    <w:rsid w:val="00AC44C0"/>
    <w:rsid w:val="00AD63CA"/>
    <w:rsid w:val="00AE1C14"/>
    <w:rsid w:val="00B21570"/>
    <w:rsid w:val="00B25A36"/>
    <w:rsid w:val="00B90B21"/>
    <w:rsid w:val="00BB77BE"/>
    <w:rsid w:val="00BC1F08"/>
    <w:rsid w:val="00BC6DD7"/>
    <w:rsid w:val="00BD6525"/>
    <w:rsid w:val="00C377BE"/>
    <w:rsid w:val="00C37844"/>
    <w:rsid w:val="00C45483"/>
    <w:rsid w:val="00C75D8F"/>
    <w:rsid w:val="00C91A8D"/>
    <w:rsid w:val="00CB632C"/>
    <w:rsid w:val="00D2589E"/>
    <w:rsid w:val="00DA2B65"/>
    <w:rsid w:val="00DA5CE5"/>
    <w:rsid w:val="00DA7755"/>
    <w:rsid w:val="00DE76F6"/>
    <w:rsid w:val="00E047EB"/>
    <w:rsid w:val="00E23494"/>
    <w:rsid w:val="00E5470C"/>
    <w:rsid w:val="00E84D6A"/>
    <w:rsid w:val="00E916DC"/>
    <w:rsid w:val="00EB6ABF"/>
    <w:rsid w:val="00ED6638"/>
    <w:rsid w:val="00EF45CB"/>
    <w:rsid w:val="00EF5404"/>
    <w:rsid w:val="00F151D4"/>
    <w:rsid w:val="00F85CA2"/>
    <w:rsid w:val="563041E4"/>
    <w:rsid w:val="579C5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Theme="minorHAnsi" w:eastAsiaTheme="minorEastAsia" w:hAnsiTheme="minorHAnsi" w:cstheme="minorBidi"/>
      <w:kern w:val="2"/>
      <w:sz w:val="24"/>
      <w:szCs w:val="22"/>
      <w:lang w:val="en-US" w:eastAsia="zh-TW" w:bidi="ar-SA"/>
      <w14:ligatures w14:val="standardContextual"/>
    </w:rPr>
  </w:style>
  <w:style w:type="paragraph" w:styleId="Heading1">
    <w:name w:val="heading 1"/>
    <w:basedOn w:val="Normal"/>
    <w:next w:val="Normal"/>
    <w:link w:val="1"/>
    <w:uiPriority w:val="9"/>
    <w:qFormat/>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Heading2">
    <w:name w:val="heading 2"/>
    <w:basedOn w:val="Normal"/>
    <w:link w:val="2"/>
    <w:uiPriority w:val="9"/>
    <w:qFormat/>
    <w:pPr>
      <w:widowControl/>
      <w:spacing w:before="100" w:beforeAutospacing="1" w:after="100" w:afterAutospacing="1"/>
      <w:outlineLvl w:val="1"/>
    </w:pPr>
    <w:rPr>
      <w:rFonts w:ascii="PMingLiU" w:eastAsia="PMingLiU" w:hAnsi="PMingLiU" w:cs="PMingLiU"/>
      <w:b/>
      <w:bCs/>
      <w:kern w:val="0"/>
      <w:sz w:val="36"/>
      <w:szCs w:val="36"/>
    </w:rPr>
  </w:style>
  <w:style w:type="paragraph" w:styleId="Heading3">
    <w:name w:val="heading 3"/>
    <w:basedOn w:val="Normal"/>
    <w:next w:val="Normal"/>
    <w:link w:val="3"/>
    <w:uiPriority w:val="9"/>
    <w:semiHidden/>
    <w:unhideWhenUsed/>
    <w:qFormat/>
    <w:pPr>
      <w:keepNext/>
      <w:spacing w:line="720" w:lineRule="auto"/>
      <w:outlineLvl w:val="2"/>
    </w:pPr>
    <w:rPr>
      <w:rFonts w:asciiTheme="majorHAnsi" w:eastAsiaTheme="majorEastAsia" w:hAnsiTheme="majorHAnsi" w:cstheme="majorBid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pPr>
    <w:rPr>
      <w:sz w:val="20"/>
      <w:szCs w:val="20"/>
    </w:rPr>
  </w:style>
  <w:style w:type="paragraph" w:styleId="Header">
    <w:name w:val="header"/>
    <w:basedOn w:val="Normal"/>
    <w:link w:val="a"/>
    <w:uiPriority w:val="99"/>
    <w:unhideWhenUsed/>
    <w:qFormat/>
    <w:pPr>
      <w:tabs>
        <w:tab w:val="center" w:pos="4153"/>
        <w:tab w:val="right" w:pos="8306"/>
      </w:tabs>
      <w:snapToGrid w:val="0"/>
    </w:pPr>
    <w:rPr>
      <w:sz w:val="20"/>
      <w:szCs w:val="20"/>
    </w:rPr>
  </w:style>
  <w:style w:type="paragraph" w:styleId="NormalWeb">
    <w:name w:val="Normal (Web)"/>
    <w:basedOn w:val="Normal"/>
    <w:uiPriority w:val="99"/>
    <w:semiHidden/>
    <w:unhideWhenUsed/>
    <w:pPr>
      <w:widowControl/>
      <w:spacing w:before="100" w:beforeAutospacing="1" w:after="100" w:afterAutospacing="1"/>
    </w:pPr>
    <w:rPr>
      <w:rFonts w:ascii="PMingLiU" w:eastAsia="PMingLiU" w:hAnsi="PMingLiU" w:cs="PMingLiU"/>
      <w:kern w:val="0"/>
      <w:szCs w:val="24"/>
      <w14:ligatures w14:val="none"/>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1">
    <w:name w:val="标题 1 字符"/>
    <w:basedOn w:val="DefaultParagraphFont"/>
    <w:link w:val="Heading1"/>
    <w:uiPriority w:val="9"/>
    <w:qFormat/>
    <w:rPr>
      <w:rFonts w:asciiTheme="majorHAnsi" w:eastAsiaTheme="majorEastAsia" w:hAnsiTheme="majorHAnsi" w:cstheme="majorBidi"/>
      <w:b/>
      <w:bCs/>
      <w:kern w:val="52"/>
      <w:sz w:val="52"/>
      <w:szCs w:val="52"/>
    </w:rPr>
  </w:style>
  <w:style w:type="character" w:customStyle="1" w:styleId="2">
    <w:name w:val="标题 2 字符"/>
    <w:basedOn w:val="DefaultParagraphFont"/>
    <w:link w:val="Heading2"/>
    <w:uiPriority w:val="9"/>
    <w:rPr>
      <w:rFonts w:ascii="PMingLiU" w:eastAsia="PMingLiU" w:hAnsi="PMingLiU" w:cs="PMingLiU"/>
      <w:b/>
      <w:bCs/>
      <w:kern w:val="0"/>
      <w:sz w:val="36"/>
      <w:szCs w:val="36"/>
    </w:rPr>
  </w:style>
  <w:style w:type="character" w:customStyle="1" w:styleId="3">
    <w:name w:val="标题 3 字符"/>
    <w:basedOn w:val="DefaultParagraphFont"/>
    <w:link w:val="Heading3"/>
    <w:uiPriority w:val="9"/>
    <w:semiHidden/>
    <w:rPr>
      <w:rFonts w:asciiTheme="majorHAnsi" w:eastAsiaTheme="majorEastAsia" w:hAnsiTheme="majorHAnsi" w:cstheme="majorBidi"/>
      <w:b/>
      <w:bCs/>
      <w:sz w:val="36"/>
      <w:szCs w:val="36"/>
    </w:rPr>
  </w:style>
  <w:style w:type="paragraph" w:styleId="ListParagraph">
    <w:name w:val="List Paragraph"/>
    <w:basedOn w:val="Normal"/>
    <w:uiPriority w:val="34"/>
    <w:qFormat/>
    <w:pPr>
      <w:ind w:left="480" w:leftChars="200"/>
    </w:pPr>
  </w:style>
  <w:style w:type="character" w:customStyle="1" w:styleId="a">
    <w:name w:val="页眉 字符"/>
    <w:basedOn w:val="DefaultParagraphFont"/>
    <w:link w:val="Header"/>
    <w:uiPriority w:val="99"/>
    <w:rPr>
      <w:sz w:val="20"/>
      <w:szCs w:val="20"/>
    </w:rPr>
  </w:style>
  <w:style w:type="character" w:customStyle="1" w:styleId="a0">
    <w:name w:val="页脚 字符"/>
    <w:basedOn w:val="DefaultParagraphFont"/>
    <w:link w:val="Footer"/>
    <w:uiPriority w:val="99"/>
    <w:qFormat/>
    <w:rPr>
      <w:sz w:val="20"/>
      <w:szCs w:val="20"/>
    </w:rPr>
  </w:style>
  <w:style w:type="character" w:customStyle="1" w:styleId="UnresolvedMention">
    <w:name w:val="Unresolved Mention"/>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hyperlink" Target="https://www.qyresearch.com/reports/3553876/diclofenac-sodium-suppositories" TargetMode="External" /><Relationship Id="rId13" Type="http://schemas.openxmlformats.org/officeDocument/2006/relationships/hyperlink" Target="https://www.qyresearch.com/reports/3553861/diclofenac-sodium-suppositories" TargetMode="Externa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hyperlink" Target="https://www.qyresearch.com/" TargetMode="Externa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15FE7-F785-4966-8CB7-F8B104BE719D}">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5</Pages>
  <Words>454</Words>
  <Characters>2887</Characters>
  <Application>Microsoft Office Word</Application>
  <DocSecurity>0</DocSecurity>
  <Lines>41</Lines>
  <Paragraphs>11</Paragraphs>
  <ScaleCrop>false</ScaleCrop>
  <Company/>
  <LinksUpToDate>false</LinksUpToDate>
  <CharactersWithSpaces>3334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Wang</dc:creator>
  <cp:lastModifiedBy>*星*空夜@话</cp:lastModifiedBy>
  <cp:revision>33</cp:revision>
  <dcterms:created xsi:type="dcterms:W3CDTF">2024-10-31T20:17:00Z</dcterms:created>
  <dcterms:modified xsi:type="dcterms:W3CDTF">2025-01-16T05:54:44Z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EC92B2C54C03485CAE5D36B51C623C1D_12</vt:lpwstr>
  </property>
  <property fmtid="{D5CDD505-2E9C-101B-9397-08002B2CF9AE}" pid="3" name="KSOProductBuildVer">
    <vt:lpwstr>2052-12.1.0.19302</vt:lpwstr>
  </property>
  <property fmtid="{D5CDD505-2E9C-101B-9397-08002B2CF9AE}" pid="4" name="KSOTemplateDocerSaveRecord">
    <vt:lpwstr>eyJoZGlkIjoiMDYzNTE3ZmJhYmZjY2ZiNzUxNTI1ZTRkNzNkYTA1OTIiLCJ1c2VySWQiOiIyMzk0NzU0OTUifQ==</vt:lpwstr>
  </property>
</Properties>
</file>