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53597319"/>
      <w:bookmarkStart w:id="2" w:name="_Toc438987549"/>
      <w:bookmarkStart w:id="3" w:name="_Toc481801204"/>
      <w:bookmarkStart w:id="4" w:name="OLE_LINK15"/>
      <w:bookmarkStart w:id="5" w:name="_Toc415818939"/>
      <w:bookmarkStart w:id="6" w:name="OLE_LINK13"/>
      <w:bookmarkStart w:id="7" w:name="OLE_LINK24"/>
      <w:bookmarkStart w:id="8" w:name="_Toc415143481"/>
      <w:bookmarkStart w:id="9" w:name="_Toc415142861"/>
      <w:bookmarkStart w:id="10" w:name="OLE_LINK40"/>
      <w:bookmarkStart w:id="11" w:name="_Toc418070112"/>
      <w:bookmarkStart w:id="12" w:name="OLE_LINK39"/>
      <w:r>
        <w:rPr>
          <w:lang w:eastAsia="zh-CN"/>
        </w:rPr>
        <w:t>电喷雾推进器</w:t>
      </w:r>
      <w:r>
        <w:rPr>
          <w:rFonts w:hint="eastAsia"/>
          <w:lang w:eastAsia="zh-CN"/>
        </w:rPr>
        <w:t>全球市场总体规模</w:t>
      </w:r>
    </w:p>
    <w:p>
      <w:pPr>
        <w:pStyle w:val="145"/>
        <w:rPr>
          <w:lang w:eastAsia="zh-CN"/>
        </w:rPr>
      </w:pPr>
      <w:r>
        <w:rPr>
          <w:rFonts w:hint="eastAsia"/>
          <w:lang w:eastAsia="zh-CN"/>
        </w:rPr>
        <w:t>据调研团队最新报告“全球</w:t>
      </w:r>
      <w:bookmarkStart w:id="13" w:name="_GoBack"/>
      <w:r>
        <w:rPr>
          <w:rFonts w:hint="eastAsia"/>
          <w:lang w:eastAsia="zh-CN"/>
        </w:rPr>
        <w:t>电喷雾推进器</w:t>
      </w:r>
      <w:bookmarkEnd w:id="13"/>
      <w:r>
        <w:rPr>
          <w:rFonts w:hint="eastAsia"/>
          <w:lang w:eastAsia="zh-CN"/>
        </w:rPr>
        <w:t>市场报告2023-2029”显示，预计2029年全球电喷雾推进器市场规模将达到19.6亿美元，未来几年年复合增长率CAGR为12.4%。</w:t>
      </w:r>
    </w:p>
    <w:p>
      <w:pPr>
        <w:pStyle w:val="145"/>
        <w:rPr>
          <w:lang w:eastAsia="zh-CN"/>
        </w:rPr>
      </w:pPr>
      <w:r>
        <w:rPr>
          <w:rFonts w:hint="eastAsia"/>
          <w:lang w:eastAsia="zh-CN"/>
        </w:rPr>
        <w:t>电喷雾推进器是航天器中使用的一种推进技术，通过发射带电液体推进剂液滴来产生推力。该技术利用静电力高速加速并排出这些微小液滴，产生推力并实现对航天器运动的精确控制。电喷雾推进系统以其高效、低功耗和精细控制而闻名，使其适用于各种太空任务。</w:t>
      </w:r>
    </w:p>
    <w:p>
      <w:pPr>
        <w:pStyle w:val="145"/>
        <w:rPr>
          <w:lang w:eastAsia="zh-CN"/>
        </w:rPr>
      </w:pPr>
      <w:r>
        <w:drawing>
          <wp:inline distT="0" distB="0" distL="0" distR="0">
            <wp:extent cx="1743075" cy="1620520"/>
            <wp:effectExtent l="0" t="0" r="0" b="0"/>
            <wp:docPr id="10920232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023233" name="图片 1"/>
                    <pic:cNvPicPr>
                      <a:picLocks noChangeAspect="1"/>
                    </pic:cNvPicPr>
                  </pic:nvPicPr>
                  <pic:blipFill>
                    <a:blip r:embed="rId7"/>
                    <a:stretch>
                      <a:fillRect/>
                    </a:stretch>
                  </pic:blipFill>
                  <pic:spPr>
                    <a:xfrm>
                      <a:off x="0" y="0"/>
                      <a:ext cx="1750582" cy="1628003"/>
                    </a:xfrm>
                    <a:prstGeom prst="rect">
                      <a:avLst/>
                    </a:prstGeom>
                  </pic:spPr>
                </pic:pic>
              </a:graphicData>
            </a:graphic>
          </wp:inline>
        </w:drawing>
      </w:r>
    </w:p>
    <w:p>
      <w:pPr>
        <w:pStyle w:val="145"/>
        <w:rPr>
          <w:rFonts w:hint="eastAsia"/>
          <w:i/>
          <w:sz w:val="16"/>
          <w:lang w:eastAsia="zh-CN"/>
        </w:rPr>
      </w:pPr>
      <w:r>
        <w:rPr>
          <w:rFonts w:hint="eastAsia"/>
          <w:i/>
          <w:sz w:val="16"/>
          <w:lang w:eastAsia="zh-CN"/>
        </w:rPr>
        <w:t>图片来源于</w:t>
      </w:r>
      <w:r>
        <w:rPr>
          <w:i/>
          <w:sz w:val="16"/>
          <w:lang w:eastAsia="zh-CN"/>
        </w:rPr>
        <w:t>Busek</w:t>
      </w:r>
    </w:p>
    <w:p>
      <w:pPr>
        <w:pStyle w:val="148"/>
        <w:rPr>
          <w:lang w:eastAsia="zh-CN"/>
        </w:rPr>
      </w:pPr>
      <w:r>
        <w:rPr>
          <w:lang w:eastAsia="zh-CN"/>
        </w:rPr>
        <w:t>电喷雾推进器</w:t>
      </w:r>
      <w:r>
        <w:rPr>
          <w:rFonts w:hint="eastAsia"/>
          <w:lang w:eastAsia="zh-CN"/>
        </w:rPr>
        <w:t>，全球市场总体规模</w:t>
      </w:r>
    </w:p>
    <w:p>
      <w:pPr>
        <w:pStyle w:val="145"/>
      </w:pPr>
      <w:r>
        <w:drawing>
          <wp:inline distT="0" distB="0" distL="0" distR="0">
            <wp:extent cx="6188710" cy="2936875"/>
            <wp:effectExtent l="0" t="0" r="2540" b="0"/>
            <wp:docPr id="150061130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3"/>
        <w:rPr>
          <w:lang w:eastAsia="zh-CN"/>
        </w:rPr>
      </w:pPr>
      <w:r>
        <w:rPr>
          <w:rFonts w:hint="eastAsia"/>
          <w:lang w:eastAsia="zh-CN"/>
        </w:rPr>
        <w:t>如上图表/数据，摘自QYResearch最新报告“全球</w:t>
      </w:r>
      <w:r>
        <w:rPr>
          <w:lang w:eastAsia="zh-CN"/>
        </w:rPr>
        <w:t>电喷雾推进器</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电喷雾推进器</w:t>
      </w:r>
      <w:r>
        <w:rPr>
          <w:rFonts w:hint="eastAsia"/>
          <w:lang w:eastAsia="zh-CN"/>
        </w:rPr>
        <w:t>市场前</w:t>
      </w:r>
      <w:r>
        <w:rPr>
          <w:lang w:eastAsia="zh-CN"/>
        </w:rPr>
        <w:t>13</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4572000" cy="4399915"/>
            <wp:effectExtent l="0" t="0" r="0" b="635"/>
            <wp:docPr id="91721638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如上图表/数据，摘自QYResearch报告“全球</w:t>
      </w:r>
      <w:r>
        <w:rPr>
          <w:lang w:eastAsia="zh-CN"/>
        </w:rPr>
        <w:t>电喷雾推进器</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lang w:eastAsia="zh-CN"/>
        </w:rPr>
      </w:pPr>
      <w:r>
        <w:rPr>
          <w:rFonts w:hint="eastAsia"/>
          <w:lang w:eastAsia="zh-CN"/>
        </w:rPr>
        <w:t>全球范围内电喷雾推进器生产商主要包括Busek、VACCO Industries、Safran、Avio、Exotrail、Accion、ienai SPACE、Reaction Engines、Phase Four、Orbion Space Technology等。2022年，全球前五大厂商占有大约82.0%的市场份额。</w:t>
      </w: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小型卫星部署的增加：包括立方体卫星在内的小型卫星越来越多地部署用于地球观测、通信和科学研究等各种目的，推动了对紧凑高效推进系统的需求。电喷雾推进器以其适合小型卫星应用而闻名，受益于这一趋势。</w:t>
      </w:r>
    </w:p>
    <w:p>
      <w:pPr>
        <w:pStyle w:val="145"/>
        <w:rPr>
          <w:rFonts w:hint="eastAsia"/>
          <w:lang w:eastAsia="zh-CN"/>
        </w:rPr>
      </w:pPr>
      <w:r>
        <w:rPr>
          <w:rFonts w:hint="eastAsia"/>
          <w:lang w:eastAsia="zh-CN"/>
        </w:rPr>
        <w:t>对精确轨道机动性的需求：电喷雾推进器提供对推力的精确控制并实现精确的轨道机动。随着对卫星精确定位和机动性的需求不断增长，特别是在星座和编队飞行任务中，电喷雾推进器成为首选。</w:t>
      </w:r>
    </w:p>
    <w:p>
      <w:pPr>
        <w:pStyle w:val="145"/>
        <w:rPr>
          <w:lang w:eastAsia="zh-CN"/>
        </w:rPr>
      </w:pPr>
      <w:r>
        <w:rPr>
          <w:rFonts w:hint="eastAsia"/>
          <w:lang w:eastAsia="zh-CN"/>
        </w:rPr>
        <w:t>小型化推进器的进步：包括电喷雾推进器在内的小型化推进技术的不断进步，满足了航天工业不断变化的需求。该市场的驱动力是持续关注为小型航天器开发紧凑高效的推进解决方案。</w:t>
      </w:r>
    </w:p>
    <w:p>
      <w:pPr>
        <w:pStyle w:val="145"/>
        <w:rPr>
          <w:lang w:eastAsia="zh-CN"/>
        </w:rPr>
      </w:pPr>
      <w:r>
        <w:rPr>
          <w:rFonts w:hint="eastAsia"/>
          <w:lang w:eastAsia="zh-CN"/>
        </w:rPr>
        <w:t>主要阻碍因素</w:t>
      </w:r>
      <w:r>
        <w:rPr>
          <w:lang w:eastAsia="zh-CN"/>
        </w:rPr>
        <w:t>:</w:t>
      </w:r>
    </w:p>
    <w:p>
      <w:pPr>
        <w:pStyle w:val="145"/>
        <w:rPr>
          <w:rFonts w:hint="eastAsia"/>
          <w:lang w:eastAsia="zh-CN"/>
        </w:rPr>
      </w:pPr>
      <w:r>
        <w:rPr>
          <w:rFonts w:hint="eastAsia"/>
          <w:lang w:eastAsia="zh-CN"/>
        </w:rPr>
        <w:t>有限的推力输出：与一些传统的化学推进系统相比，电喷雾推进器通常提供相对较低的推力输出。这种限制可能会限制它们在某些需要更高推力水平的任务中的使用，例如快速轨道变化或星际转移。</w:t>
      </w:r>
    </w:p>
    <w:p>
      <w:pPr>
        <w:pStyle w:val="145"/>
        <w:rPr>
          <w:rFonts w:hint="eastAsia"/>
          <w:lang w:eastAsia="zh-CN"/>
        </w:rPr>
      </w:pPr>
      <w:r>
        <w:rPr>
          <w:rFonts w:hint="eastAsia"/>
          <w:lang w:eastAsia="zh-CN"/>
        </w:rPr>
        <w:t>复杂的推进剂处理：液体推进剂（尤其是离子液体）的使用在处理、储存和运输方面可能具有挑战性。某些推进剂的复杂性和潜在危险可能会给确保安全和高效的操作带来挑战。</w:t>
      </w:r>
    </w:p>
    <w:p>
      <w:pPr>
        <w:pStyle w:val="145"/>
        <w:rPr>
          <w:lang w:eastAsia="zh-CN"/>
        </w:rPr>
      </w:pPr>
      <w:r>
        <w:rPr>
          <w:rFonts w:hint="eastAsia"/>
          <w:lang w:eastAsia="zh-CN"/>
        </w:rPr>
        <w:t>对污染的敏感性：电喷雾推进器可能对推进剂中的污染物敏感。即使很小的杂质或颗粒也会影响推进器的性能并导致潜在的问题，需要仔细管理推进剂的纯度。</w:t>
      </w:r>
    </w:p>
    <w:p>
      <w:pPr>
        <w:pStyle w:val="145"/>
        <w:rPr>
          <w:lang w:eastAsia="zh-CN"/>
        </w:rPr>
      </w:pPr>
      <w:r>
        <w:rPr>
          <w:rFonts w:hint="eastAsia"/>
          <w:lang w:eastAsia="zh-CN"/>
        </w:rPr>
        <w:t>行业发展机遇</w:t>
      </w:r>
      <w:r>
        <w:rPr>
          <w:lang w:eastAsia="zh-CN"/>
        </w:rPr>
        <w:t>:</w:t>
      </w:r>
    </w:p>
    <w:p>
      <w:pPr>
        <w:pStyle w:val="145"/>
        <w:rPr>
          <w:rFonts w:hint="eastAsia"/>
          <w:lang w:eastAsia="zh-CN"/>
        </w:rPr>
      </w:pPr>
      <w:r>
        <w:rPr>
          <w:rFonts w:hint="eastAsia"/>
          <w:lang w:eastAsia="zh-CN"/>
        </w:rPr>
        <w:t>航天器小型化程度的提高：航天器（包括立方体卫星和小型卫星）小型化的趋势为电喷雾推进器提供了一个机会，可以在为这些紧凑型航天器提供高效和精确的推进方面发挥关键作用。</w:t>
      </w:r>
    </w:p>
    <w:p>
      <w:pPr>
        <w:pStyle w:val="145"/>
        <w:rPr>
          <w:rFonts w:hint="eastAsia"/>
          <w:lang w:eastAsia="zh-CN"/>
        </w:rPr>
      </w:pPr>
      <w:r>
        <w:rPr>
          <w:rFonts w:hint="eastAsia"/>
          <w:lang w:eastAsia="zh-CN"/>
        </w:rPr>
        <w:t>推进剂开发的进展：存在开发适用于电喷雾推进器的新型和改进推进剂的机会。推进剂化学和配方研究可以提高推进剂的性能、稳定性和安全性。</w:t>
      </w:r>
    </w:p>
    <w:p>
      <w:pPr>
        <w:pStyle w:val="145"/>
        <w:rPr>
          <w:lang w:eastAsia="zh-CN"/>
        </w:rPr>
      </w:pPr>
      <w:r>
        <w:rPr>
          <w:rFonts w:hint="eastAsia"/>
          <w:lang w:eastAsia="zh-CN"/>
        </w:rPr>
        <w:t>与研究机构的合作：电喷雾推进器制造商和研究机构之间的合作可以推动创新。联合研究项目可以探索新技术、材料和设计方法，以克服现有挑战并增强电喷雾推进系统的能力。</w:t>
      </w:r>
    </w:p>
    <w:p>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p>
    <w:p>
      <w:pPr>
        <w:pStyle w:val="145"/>
        <w:rPr>
          <w:lang w:eastAsia="zh-CN"/>
        </w:rPr>
      </w:pPr>
    </w:p>
    <w:sectPr>
      <w:headerReference r:id="rId5" w:type="first"/>
      <w:headerReference r:id="rId4"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5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42"/>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3B06"/>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C40"/>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DCF4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unhideWhenUsed="0" w:uiPriority="0" w:semiHidden="0" w:name="Emphasis"/>
    <w:lsdException w:unhideWhenUsed="0" w:uiPriority="0" w:semiHidden="0"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47077\Documents\Tencent%20Files\470779361\FileRecv\&#35266;&#28857;&#25991;&#20214;\&#35266;&#28857;&#25968;&#25454;&#22270;&#34920;&#27169;&#26495;-&#26368;&#26032;&#20462;&#25913;1103%20-%20&#21103;&#26412;.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47077\Documents\Tencent%20Files\470779361\FileRecv\&#35266;&#28857;&#25991;&#20214;\&#35266;&#28857;&#25968;&#25454;&#22270;&#34920;&#27169;&#26495;-&#26368;&#26032;&#20462;&#25913;1103%20-%20&#21103;&#2641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ysClr val="windowText" lastClr="000000"/>
                </a:solidFill>
                <a:latin typeface="+mn-lt"/>
                <a:ea typeface="+mn-ea"/>
                <a:cs typeface="+mn-cs"/>
              </a:defRPr>
            </a:pPr>
            <a:r>
              <a:rPr lang="zh-CN"/>
              <a:t>全球市场规模（百万美元）</a:t>
            </a:r>
            <a:endParaRPr lang="en-US"/>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675</c:v>
                </c:pt>
                <c:pt idx="1">
                  <c:v>908</c:v>
                </c:pt>
                <c:pt idx="2">
                  <c:v>1963</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ysClr val="windowText" lastClr="000000"/>
                </a:solidFill>
                <a:latin typeface="+mn-lt"/>
                <a:ea typeface="+mn-ea"/>
                <a:cs typeface="+mn-cs"/>
              </a:defRPr>
            </a:pPr>
            <a:r>
              <a:rPr lang="zh-CN"/>
              <a:t>全球市场主要企业排名</a:t>
            </a:r>
            <a:endParaRPr lang="en-US"/>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Lbls>
            <c:delete val="1"/>
          </c:dLbls>
          <c:cat>
            <c:strRef>
              <c:f>企业排序!$F$2:$F$25</c:f>
              <c:strCache>
                <c:ptCount val="13"/>
                <c:pt idx="0">
                  <c:v>Busek</c:v>
                </c:pt>
                <c:pt idx="1">
                  <c:v>VACCO Industries</c:v>
                </c:pt>
                <c:pt idx="2">
                  <c:v>Safran</c:v>
                </c:pt>
                <c:pt idx="3">
                  <c:v>Avio</c:v>
                </c:pt>
                <c:pt idx="4">
                  <c:v>Exotrail</c:v>
                </c:pt>
                <c:pt idx="5">
                  <c:v>Accion</c:v>
                </c:pt>
                <c:pt idx="6">
                  <c:v>ienai SPACE</c:v>
                </c:pt>
                <c:pt idx="7">
                  <c:v>Reaction Engines</c:v>
                </c:pt>
                <c:pt idx="8">
                  <c:v>Phase Four</c:v>
                </c:pt>
                <c:pt idx="9">
                  <c:v>Orbion Space Technology</c:v>
                </c:pt>
                <c:pt idx="10">
                  <c:v>Thrustme</c:v>
                </c:pt>
                <c:pt idx="11">
                  <c:v>Benchmark Space Systems</c:v>
                </c:pt>
                <c:pt idx="12">
                  <c:v>Ursa Major</c:v>
                </c:pt>
              </c:strCache>
            </c:strRef>
          </c:cat>
          <c:val>
            <c:numRef>
              <c:f>企业排序!$G$2:$G$25</c:f>
              <c:numCache>
                <c:formatCode>#,##0.00_ </c:formatCode>
                <c:ptCount val="13"/>
                <c:pt idx="0">
                  <c:v>353</c:v>
                </c:pt>
                <c:pt idx="1">
                  <c:v>153</c:v>
                </c:pt>
                <c:pt idx="2">
                  <c:v>107</c:v>
                </c:pt>
                <c:pt idx="3">
                  <c:v>89</c:v>
                </c:pt>
                <c:pt idx="4">
                  <c:v>46</c:v>
                </c:pt>
                <c:pt idx="5">
                  <c:v>29</c:v>
                </c:pt>
                <c:pt idx="6">
                  <c:v>24</c:v>
                </c:pt>
                <c:pt idx="7">
                  <c:v>21</c:v>
                </c:pt>
                <c:pt idx="8">
                  <c:v>19</c:v>
                </c:pt>
                <c:pt idx="9">
                  <c:v>17</c:v>
                </c:pt>
                <c:pt idx="10">
                  <c:v>15</c:v>
                </c:pt>
                <c:pt idx="11">
                  <c:v>10</c:v>
                </c:pt>
                <c:pt idx="12">
                  <c:v>8</c:v>
                </c:pt>
              </c:numCache>
            </c:numRef>
          </c:val>
        </c:ser>
        <c:dLbls>
          <c:showLegendKey val="0"/>
          <c:showVal val="0"/>
          <c:showCatName val="0"/>
          <c:showSerName val="0"/>
          <c:showPercent val="0"/>
          <c:showBubbleSize val="0"/>
        </c:dLbls>
        <c:gapWidth val="7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0.50552</cdr:x>
      <cdr:y>0.23511</cdr:y>
    </cdr:from>
    <cdr:to>
      <cdr:x>0.71953</cdr:x>
      <cdr:y>0.63884</cdr:y>
    </cdr:to>
    <cdr:grpSp>
      <cdr:nvGrpSpPr>
        <cdr:cNvPr id="2" name="组合 1"/>
        <cdr:cNvGrpSpPr/>
      </cdr:nvGrpSpPr>
      <cdr:grpSpPr xmlns:a="http://schemas.openxmlformats.org/drawingml/2006/main">
        <a:xfrm rot="921964">
          <a:off x="3128517" y="690489"/>
          <a:ext cx="1324446" cy="1185705"/>
          <a:chOff x="2859058" y="1061399"/>
          <a:chExt cx="759437" cy="821673"/>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59058" y="1061399"/>
            <a:ext cx="759437" cy="821673"/>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649119">
            <a:off x="2885602" y="1427757"/>
            <a:ext cx="619687" cy="185800"/>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Book Antiqua" panose="02040602050305030304" pitchFamily="1" charset="0"/>
                <a:ea typeface="宋体" panose="02010600030101010101" charset="-122"/>
              </a:rPr>
              <a:t>12.4%</a:t>
            </a:r>
            <a:endParaRPr lang="zh-CN"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0.20956</cdr:x>
      <cdr:y>0.4696</cdr:y>
    </cdr:from>
    <cdr:to>
      <cdr:x>0.41912</cdr:x>
      <cdr:y>0.76649</cdr:y>
    </cdr:to>
    <cdr:grpSp>
      <cdr:nvGrpSpPr>
        <cdr:cNvPr id="5" name="组合 4"/>
        <cdr:cNvGrpSpPr/>
      </cdr:nvGrpSpPr>
      <cdr:grpSpPr xmlns:a="http://schemas.openxmlformats.org/drawingml/2006/main">
        <a:xfrm rot="2507252">
          <a:off x="1296906" y="1379157"/>
          <a:ext cx="1296906" cy="871929"/>
          <a:chOff x="3065378" y="1615187"/>
          <a:chExt cx="1010935" cy="814928"/>
        </a:xfrm>
      </cdr:grpSpPr>
      <cdr:cxnSp>
        <cdr:nvCxnSpPr>
          <cdr:cNvPr id="6" name="直接箭头连接符 5"/>
          <cdr:cNvCxnSpPr/>
        </cdr:nvCxnSpPr>
        <cdr:spPr xmlns:a="http://schemas.openxmlformats.org/drawingml/2006/main">
          <a:xfrm xmlns:a="http://schemas.openxmlformats.org/drawingml/2006/main" rot="19816677" flipV="1">
            <a:off x="3065378" y="1822248"/>
            <a:ext cx="1010935" cy="464804"/>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584799">
            <a:off x="3135135" y="1935053"/>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latin typeface="Book Antiqua" panose="02040602050305030304" pitchFamily="1" charset="0"/>
              </a:rPr>
              <a:t>7.7%</a:t>
            </a:r>
            <a:endParaRPr lang="zh-CN">
              <a:solidFill>
                <a:sysClr val="windowText" lastClr="000000"/>
              </a:solidFill>
              <a:latin typeface="Book Antiqua" panose="02040602050305030304" pitchFamily="1" charset="0"/>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287</Words>
  <Characters>1637</Characters>
  <Lines>13</Lines>
  <Paragraphs>3</Paragraphs>
  <TotalTime>655</TotalTime>
  <ScaleCrop>false</ScaleCrop>
  <LinksUpToDate>false</LinksUpToDate>
  <CharactersWithSpaces>1921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2024-01-31T09:15:57Z</dcterms:modified>
  <cp:revision>815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0AF762B88E424F4BB48EFA2C202168CC_13</vt:lpwstr>
  </property>
</Properties>
</file>