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E7BC9">
      <w:pPr>
        <w:pStyle w:val="2"/>
        <w:bidi w:val="0"/>
      </w:pPr>
      <w:r>
        <w:rPr>
          <w:lang w:val="en-US" w:eastAsia="zh-CN"/>
        </w:rPr>
        <w:t>合规+高效双驱动：政企公文管理如何进行数字化转型</w:t>
      </w:r>
    </w:p>
    <w:p w14:paraId="3BB7107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一、政企公文管理数字化转型的背景与核心逻辑</w:t>
      </w:r>
    </w:p>
    <w:p w14:paraId="7089F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公文作为政企单位决策传达、事务协同、责任追溯的核心载体，其管理效能直接影响组织运行效率与合规风险防控能力。随着数字政府、智慧企业建设的深入推进，传统公文管理模式面临多重痛点：流程固化导致跨部门协作效率低下，纸质流转与人工核稿易引发错漏，数据孤岛造成政策执行追溯困难，合规要求升级增加管理复杂度。在此背景下，以“合规为底线、高效为目标”的数字化转型成为必然趋势。</w:t>
      </w:r>
    </w:p>
    <w:p w14:paraId="529214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从技术视角来看，公文管理数字化转型的核心逻辑是通过技术手段重构“全生命周期管理”流程，既满足《电子签名法》《党政机关电子公文系统建设规范》等政策要求，又通过智能化、自动化技术压缩冗余环节。转型并非单纯的“线上化迁移”，而是以技术为纽带，实现合规管控的刚性约束与业务效率的柔性提升，形成“流程可溯、风险可控、效率可量化”的管理新格局。</w:t>
      </w:r>
    </w:p>
    <w:p w14:paraId="192DA3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</w:p>
    <w:p w14:paraId="2B2DC52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二、公文管理数字化转型的核心技术支撑</w:t>
      </w:r>
    </w:p>
    <w:p w14:paraId="1A039F15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（一）合规导向的技术支撑体系</w:t>
      </w:r>
    </w:p>
    <w:p w14:paraId="6493A3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合规是政企公文管理的生命线，相关技术核心围绕“身份可信、流程可溯、数据安全、格式标准”四大目标构建。</w:t>
      </w:r>
    </w:p>
    <w:p w14:paraId="7D233B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电子签名与区块链存证技术：采用权威CA机构颁发的数字证书实现电子签章，符合《电子签名法》要求，确保公文签署的法律效力。通过区块链技术固化签署时间、操作人、修改记录等关键信息，形成不可篡改的证据链，满足审计与监管追溯需求。</w:t>
      </w:r>
    </w:p>
    <w:p w14:paraId="262F01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全栈信创适配技术：支持龙芯、鲲鹏等国产CPU，统信UOS、麒麟OS等国产操作系统，达梦、人大金仓等国产数据库的全流程适配，通过等保三级认证，满足党政机关与国企的安全可控要求，规避技术依赖风险。</w:t>
      </w:r>
    </w:p>
    <w:p w14:paraId="199BAD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精细化权限管理技术：基于RBAC（角色-Based访问控制）模型，结合数据脱敏、操作日志审计功能，实现“千人千权”的访问控制。对涉密公文采用国密SM4加密算法传输与存储，限制下载、打印等操作权限，防范信息泄露。</w:t>
      </w:r>
    </w:p>
    <w:p w14:paraId="2E40C0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标准化格式处理技术：内置15种国家标准公文模板，支持Word与OFD/PDF格式互转，自动校验字体、字号、页码等格式要素，确保电子公文与纸质公文的一致性，符合格式规范。</w:t>
      </w:r>
    </w:p>
    <w:p w14:paraId="21D1627B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（二）高效导向的技术支撑体系</w:t>
      </w:r>
    </w:p>
    <w:p w14:paraId="73A585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高效转型聚焦“减少人工干预、优化协同流程、提升决策辅助能力”，核心技术集中在智能化与自动化领域。</w:t>
      </w:r>
    </w:p>
    <w:p w14:paraId="61E03B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AI大模型应用技术：通过训练公文专用语料库，实现智能拟稿、智能审校、智能摘要，大幅缩短公文处理周期。</w:t>
      </w:r>
    </w:p>
    <w:p w14:paraId="16D171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工作流自动化引擎：支持可视化流程配置，自动识别公文类型与紧急程度，智能分派承办部门与审批人。通过“生成式数据采集”替代传统填报，实现跨部门会签、督办考评等流程的自动化触发与进度跟踪。</w:t>
      </w:r>
    </w:p>
    <w:p w14:paraId="58153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多模态数据识别技术：集成OCR光学字符识别技术，实现纸质公文、扫描件的电子化转换与结构化信息提取，自动回填至公文处理单，减少人工录入错误。支持语音签批、手写批注等多模态交互，适配移动办公场景。</w:t>
      </w:r>
    </w:p>
    <w:p w14:paraId="160E36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数据中台整合技术：构建公文数据中台，打通与OA、档案管理、财务系统的数据壁垒，实现公文与业务数据的关联穿透。通过数据可视化生成办文效率、错情分析等报表，为流程优化提供决策支持。</w:t>
      </w:r>
    </w:p>
    <w:p w14:paraId="2D83B4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</w:p>
    <w:p w14:paraId="11D7AA4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三、5款主流公文管理系统技术解析</w:t>
      </w:r>
    </w:p>
    <w:p w14:paraId="05370053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（一）泛微协同公文管理平台 e-nation</w:t>
      </w:r>
    </w:p>
    <w:p w14:paraId="19BA89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技术架构核心：采用微服务+多租户架构，支持政务云与私有化部署，单平台可承载204家机关单位联网办公，日均处理公文能力超3万件，具备高扩展性与稳定性。</w:t>
      </w:r>
    </w:p>
    <w:p w14:paraId="7EF389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合规技术支撑：全栈信创适配覆盖国产软硬件全生态，支持国密算法加密与区块链存证，实现公文流转全流程操作日志审计，满足涉密公文管理要求。</w:t>
      </w:r>
    </w:p>
    <w:p w14:paraId="1E8D38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高效技术赋能：集成AI智能引擎，提供公文自动成稿、智能校对、语音签批功能，移动端与政务微信无缝协同，领导圈批圈阅实时同步。内置204个标准SaaS化应用，支持低代码个性化配置流程。</w:t>
      </w:r>
    </w:p>
    <w:p w14:paraId="23862A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核心技术特点：业档一体化设计，与档案系统无缝对接实现公文自动归档；图形化流程监控看板，支持超时预警与办结率统计；覆盖60余个专项业务条线，支持跨层级、跨部门公文交换。</w:t>
      </w:r>
    </w:p>
    <w:p w14:paraId="303C03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5. 适用场景：省市级机关、大型国企集团，尤其适配需要多级协同、高密级公文管理的组织。</w:t>
      </w:r>
    </w:p>
    <w:p w14:paraId="50B089E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（二）致远政务 G6</w:t>
      </w:r>
    </w:p>
    <w:p w14:paraId="24943B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技术架构核心：基于CTP技术平台构建，采用分布式架构设计，支持龙芯/飞腾CPU+麒麟OS+达梦数据库的全栈信创环境，通过工信部信创认证。</w:t>
      </w:r>
    </w:p>
    <w:p w14:paraId="0EEA11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合规技术支撑：内置异构系统集成网关（OCIP开放互联），实现跨部门公文交换的安全可控；多级权限隔离机制，支持多角色门户独立配置，确保权责清晰。</w:t>
      </w:r>
    </w:p>
    <w:p w14:paraId="3CF0AE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高效技术赋能：融合DeepSeek、通义千问等主流大模型，智能拟稿支持要点成文、仿写成文等三种模式，政治审校准确率超95%；智能流转引擎自动识别公文要素，实现审批流程的动态适配。</w:t>
      </w:r>
    </w:p>
    <w:p w14:paraId="790DB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核心技术特点：“一屏式”移动办公界面，支持多系统待办事项聚合；督考一体化技术，实现公文办理与绩效考核的数据联动；公文要素自动提取准确率高。</w:t>
      </w:r>
    </w:p>
    <w:p w14:paraId="691C4A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5. 适用场景：省市级电子政务云平台，尤其适配信创试点单位与跨域协同需求强烈的组织。</w:t>
      </w:r>
    </w:p>
    <w:p w14:paraId="6C215BFD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（三）蓝凌数字化办公平台</w:t>
      </w:r>
    </w:p>
    <w:p w14:paraId="676E7E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技术架构核心：基于Java EE微服务架构，支持私有化部署与弹性扩容，单集群可承载日均10万+公文处理量，稳定性经过省级政务平台验证。</w:t>
      </w:r>
    </w:p>
    <w:p w14:paraId="4620DE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合规技术支撑：全栈信创适配覆盖200+国产组件，包括鲲鹏芯片、统信UOS、金蝶中间件等；采用国密算法对涉密公文进行端到端加密，符合保密管理要求。</w:t>
      </w:r>
    </w:p>
    <w:p w14:paraId="01E7C8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高效技术赋能：自研智能表单引擎，支持公文模板动态配置与一键排版；OCR技术实现纸质公文快速电子化，关联业务数据形成“一文一档”全生命周期管理。</w:t>
      </w:r>
    </w:p>
    <w:p w14:paraId="375163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核心技术特点：数据穿透能力强，公文可关联资产、合同等业务数据；支持跨子公司文件交换与档案馆数字化改造；内置流程优化分析工具，自动识别冗余审批环节。</w:t>
      </w:r>
    </w:p>
    <w:p w14:paraId="03898F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5. 适用场景：高密级机关、大型集团企业，尤其适配保密公文流转与跨分支机构协同场景。</w:t>
      </w:r>
    </w:p>
    <w:p w14:paraId="1A76BDB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（四）用友畅捷通税务公文系统</w:t>
      </w:r>
    </w:p>
    <w:p w14:paraId="65DFFE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技术架构核心：采用SaaS部署模式，内置业财融合引擎，支持多税局接口直连，无缝对接金蝶、SAP等财务软件，实现公文与业务数据的实时同步。</w:t>
      </w:r>
    </w:p>
    <w:p w14:paraId="6D5F00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合规技术支撑：区块链存证技术满足税务档案管理规范，确保电子公文法律效力；风险感知引擎内置税务政策规则库，实时预警公文内容中的税务合规风险。</w:t>
      </w:r>
    </w:p>
    <w:p w14:paraId="43CFBF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高效技术赋能：AI智能拟稿支持税务类公文模板化生成，内置上亿级税务语料库；智能台账生成功能自动提取公文关键信息，减少人工核对工作量。</w:t>
      </w:r>
    </w:p>
    <w:p w14:paraId="702711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核心技术特点：聚焦财税垂直领域，实现公文与发票、报税数据的一体化关联；支持多分支机构统一税务公文流程管理；具备政策库实时更新与智能解读能力。</w:t>
      </w:r>
    </w:p>
    <w:p w14:paraId="30100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5. 适用场景：税务机关、大型企业财务部门，尤其适配需要业财协同的公文管理场景。</w:t>
      </w:r>
    </w:p>
    <w:p w14:paraId="3195159D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（五）九思协同公文系统</w:t>
      </w:r>
    </w:p>
    <w:p w14:paraId="0EB8C8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技术架构核心：源自清华大学技术团队，采用分布式存储架构，支持17万人级集团应用，单系统可存储千万级文件，适配跨地域工程协同需求。</w:t>
      </w:r>
    </w:p>
    <w:p w14:paraId="317D63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合规技术支撑：采用国密SM4加密+DLP防泄密技术，满足党政机关高密级要求；全流程操作日志可追溯，支持按人员、时间、操作类型精准查询。</w:t>
      </w:r>
    </w:p>
    <w:p w14:paraId="6FC5E0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高效技术赋能：智能拟稿引擎输入标题即可生成规范初稿，语义检索系统查全率提升85%；7×24小时智能校对覆盖政治错误、敏感词等6类风险。</w:t>
      </w:r>
    </w:p>
    <w:p w14:paraId="6D624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4. 核心技术特点：支持跨省域工程文件协同，公文流转不受地域限制；内置政策解读智能助手，为审批决策提供政策依据参考；移动端适配极简操作，支持快速审批与签批。</w:t>
      </w:r>
    </w:p>
    <w:p w14:paraId="3B310E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5. 适用场景：水利、交通等政府垂直系统、大型基建项目单位，尤其适配跨地域、高复杂度公文协同场景。</w:t>
      </w:r>
    </w:p>
    <w:p w14:paraId="03A0D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</w:p>
    <w:p w14:paraId="03A7FC1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四、政企</w:t>
      </w:r>
      <w:bookmarkStart w:id="0" w:name="_GoBack"/>
      <w:bookmarkEnd w:id="0"/>
      <w:r>
        <w:rPr>
          <w:rFonts w:hint="eastAsia"/>
        </w:rPr>
        <w:t>公文管理数字化转型的实施路径</w:t>
      </w:r>
    </w:p>
    <w:p w14:paraId="2BAD8CAA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（一）转型准备阶段：技术底座搭建</w:t>
      </w:r>
    </w:p>
    <w:p w14:paraId="3863E8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合规基础建设：完成信创环境适配评估，选择符合自身需求的国产软硬件组合，申请权威CA机构数字证书，部署电子签章与区块链存证系统。</w:t>
      </w:r>
    </w:p>
    <w:p w14:paraId="488E1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数据标准化处理：梳理现有公文类型、流程与格式规范，建立统一的公文要素数据库，完成历史公文的电子化扫描与结构化录入，打通跨系统数据接口。</w:t>
      </w:r>
    </w:p>
    <w:p w14:paraId="1C598D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技术需求梳理：结合组织规模与业务特点，明确核心技术需求，如大型集团需侧重分布式架构与跨域协同技术，涉密单位需强化加密与权限管理技术。</w:t>
      </w:r>
    </w:p>
    <w:p w14:paraId="57776107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（二）核心实施阶段：技术与业务融合</w:t>
      </w:r>
    </w:p>
    <w:p w14:paraId="407507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分模块上线技术功能：优先部署公文收发文、电子签章、流程审批等基础模块，再逐步上线AI拟稿、智能审校、数据统计等进阶功能，降低转型风险。</w:t>
      </w:r>
    </w:p>
    <w:p w14:paraId="1A5F0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流程数字化重构：基于工作流引擎，将线下公文流程转化为数字化流程，设置合规校验节点与效率优化节点。</w:t>
      </w:r>
    </w:p>
    <w:p w14:paraId="21A9E3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用户适配培训：针对不同角色开展技术操作培训，重点讲解智能工具使用、移动办公流程与合规操作规范，提升用户接受度。</w:t>
      </w:r>
    </w:p>
    <w:p w14:paraId="56B9599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（三）优化迭代阶段：数据驱动升级</w:t>
      </w:r>
    </w:p>
    <w:p w14:paraId="3500F50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1. 建立效能评估体系：通过数据中台采集公文处理周期、错情率、跨部门协同效率等指标，形成可视化报表，定位流程瓶颈与技术短板。</w:t>
      </w:r>
    </w:p>
    <w:p w14:paraId="0D1DB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2. 技术功能迭代：基于评估结果优化AI模型训练、调整流程配置、升级安全防护。</w:t>
      </w:r>
    </w:p>
    <w:p w14:paraId="6F1775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3. 生态化扩展：推动公文管理系统与会议管理、督查督办、资产管理等系统深度融合，实现“文事会一体化”协同，提升组织整体运行效能。</w:t>
      </w:r>
    </w:p>
    <w:p w14:paraId="5E1289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</w:p>
    <w:p w14:paraId="12DA223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、结语</w:t>
      </w:r>
    </w:p>
    <w:p w14:paraId="45A4DF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  <w:rPr>
          <w:rFonts w:hint="eastAsia"/>
        </w:rPr>
      </w:pPr>
      <w:r>
        <w:rPr>
          <w:rFonts w:hint="eastAsia"/>
        </w:rPr>
        <w:t>政企公文管理数字化转型并非技术的简单叠加，而是以合规为底线、高效为目标，重构公文全生命周期管理流程的系统性工程。主流系统的技术实践已证明，合规与高效并非对立关系，而是通过技术赋能实现相互促进。</w:t>
      </w:r>
    </w:p>
    <w:p w14:paraId="0A8330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textAlignment w:val="auto"/>
      </w:pPr>
      <w:r>
        <w:rPr>
          <w:rFonts w:hint="eastAsia"/>
        </w:rPr>
        <w:t>未来，随着技术的持续迭代，公文管理将向“更智能、更安全、更协同”的方向发展，成为政企数字化转型的重要支撑。组织在转型过程中，需立足自身业务特点与合规要求，科学选择技术路径与系统产品，通过分阶段实施、数据化评估、持续化优化，真正实现公文管理的提质增效，为组织高质量发展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2F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2025-11-20T09:34:23Z</dcterms:created>
  <dc:creator>Administrator</dc:creator>
  <cp:lastModifiedBy>候鸟</cp:lastModifiedBy>
  <dcterms:modified xsi:type="dcterms:W3CDTF">2025-11-20T09:48:22Z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eyJoZGlkIjoiNzEwMmU5ZjNkMzlkN2YwMmE3NWJmNjg5M2M4MDlmY2IiLCJ1c2VySWQiOiI0NTM0ODc4MDgifQ==</vt:lpwstr>
  </property>
  <property fmtid="{D5CDD505-2E9C-101B-9397-08002B2CF9AE}" pid="4" name="ICV">
    <vt:lpwstr>3D79345930DD46A1B1B7CFAB3223BB66_12</vt:lpwstr>
  </property>
</Properties>
</file>